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i w:val="0"/>
          <w:caps w:val="0"/>
          <w:color w:val="333333"/>
          <w:spacing w:val="0"/>
          <w:sz w:val="44"/>
          <w:szCs w:val="44"/>
          <w:bdr w:val="none" w:color="auto" w:sz="0" w:space="0"/>
          <w:shd w:val="clear" w:fill="FFFFFF"/>
        </w:rPr>
      </w:pPr>
      <w:r>
        <w:rPr>
          <w:rFonts w:hint="eastAsia" w:ascii="方正小标宋简体" w:hAnsi="方正小标宋简体" w:eastAsia="方正小标宋简体" w:cs="方正小标宋简体"/>
          <w:b w:val="0"/>
          <w:i w:val="0"/>
          <w:caps w:val="0"/>
          <w:color w:val="333333"/>
          <w:spacing w:val="0"/>
          <w:sz w:val="44"/>
          <w:szCs w:val="44"/>
          <w:bdr w:val="none" w:color="auto" w:sz="0" w:space="0"/>
          <w:shd w:val="clear" w:fill="FFFFFF"/>
        </w:rPr>
        <w:t>霍邱县农村工作领导组关于印发2018年度发展现代农业奖补资金实施方案的通知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bdr w:val="none" w:color="auto" w:sz="0" w:space="0"/>
          <w:shd w:val="clear" w:fill="FFFFFF"/>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各乡镇党委、政府，开发区、示范区工委、管委，县直相关单位：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为认真贯彻落实县委、县政府《关于推进乡村振兴战略的实施意见》(邱发〔2018〕1号)文件精神，充分发挥财政扶持资金的放大导向作用，确保2018年度现代农业奖补资金发挥最大效益，经县委研究同意制定本实施方案，请遵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jc w:val="right"/>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霍邱县农村工作领导组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420" w:right="420" w:firstLine="0"/>
        <w:jc w:val="right"/>
        <w:rPr>
          <w:rFonts w:hint="eastAsia" w:ascii="仿宋_GB2312" w:hAnsi="仿宋_GB2312" w:eastAsia="仿宋_GB2312" w:cs="仿宋_GB2312"/>
          <w:b w:val="0"/>
          <w:i w:val="0"/>
          <w:caps w:val="0"/>
          <w:color w:val="333333"/>
          <w:spacing w:val="0"/>
          <w:sz w:val="32"/>
          <w:szCs w:val="32"/>
          <w:lang w:val="en-US"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2018年2月24日</w:t>
      </w:r>
      <w:r>
        <w:rPr>
          <w:rFonts w:hint="eastAsia" w:ascii="仿宋_GB2312" w:hAnsi="仿宋_GB2312" w:eastAsia="仿宋_GB2312" w:cs="仿宋_GB2312"/>
          <w:b w:val="0"/>
          <w:i w:val="0"/>
          <w:caps w:val="0"/>
          <w:color w:val="333333"/>
          <w:spacing w:val="0"/>
          <w:sz w:val="32"/>
          <w:szCs w:val="32"/>
          <w:bdr w:val="none" w:color="auto" w:sz="0" w:space="0"/>
          <w:shd w:val="clear" w:fill="FFFFFF"/>
          <w:lang w:val="en-US"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42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2018年度发展现代农业奖补资金实施方案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按照 “创新、协调、绿色、开放、共享”五大发展理念，根据“稳粮增收、提质增效、创新驱动”的总要求，以提质增效转方式为主线，鼓励发展多种形式的农业适度规模经营；以培育新型农业经营主体为核心，大力发展现代农业新型农业经营主体；以整合涉农资金为抓手，加强农业基础设施建设；以实施“以奖代补”政策为契机，深化农业和农村改革，激发发展活力，为现代农业发展探索新路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二、奖补范围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2018年现代农业奖补资金重点用于育秧工厂、“互联网+农业”、农业产业化、土地流转、休闲农业和乡村旅游业、农产品展示展销、标准化养殖、特色农业生产、农机装备建设、农业保险补贴、新型农业主体贴息贷款、林业增绿增效、淮淠河（果岭）经济带建设和秸秆综合利用等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三、奖补原则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实行“社会投资为主，财政奖补为辅”和“先实施后补助，同一项目不重复奖补”的原则，实施主体必须能够带动贫困户脱贫致富，奖补资金直接兑付给实施主体。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四、奖补对象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全县范围内从事农业生产经营的企业、专业合作组织、家庭农场和种养大户等新型农业经营主体。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五、工作程序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实施主体在次年元月底前自行申报-→经所属乡镇政府初审初验同意后上报-→县业务主管部门验收合格-→县农村工作领导组研究同意-→在县府网站及项目所在地公示7天无异议-→县政府批准-→县财政兑现奖补。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六、实施内容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（一）育秧工厂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1.育秧钢架大棚 </w:t>
      </w:r>
      <w:r>
        <w:rPr>
          <w:rFonts w:hint="eastAsia" w:ascii="仿宋_GB2312" w:hAnsi="仿宋_GB2312" w:eastAsia="仿宋_GB2312" w:cs="仿宋_GB2312"/>
          <w:b w:val="0"/>
          <w:i w:val="0"/>
          <w:caps w:val="0"/>
          <w:color w:val="333333"/>
          <w:spacing w:val="0"/>
          <w:sz w:val="32"/>
          <w:szCs w:val="32"/>
          <w:bdr w:val="none" w:color="auto" w:sz="0" w:space="0"/>
          <w:shd w:val="clear" w:fill="FFFFFF"/>
        </w:rPr>
        <w:t>分大棚宽度为6米和8米两种规格。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宽度6米的育秧大棚质量要求：钢管为热镀锌钢管，直径≥25mm, 厚度≥1.2mm,拱杆间距80cm，三纵两卡并加防风杆，两端留门，薄膜为8丝无滴膜，达到以上标准每平方米补贴20元；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宽度8米的育秧大棚质量要求：钢管为热镀锌钢管，直径≥32mm, 厚度≥1.2mm,拱杆间距90cm，三纵四卡并加防风杆，两端留门，薄膜为8丝无滴膜，达到以上标准每平方米补贴23元。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卷膜器质量要求：钢管为热镀锌钢管，直径≥25mm, 厚度≥1.2mm, 达到以上标准每米补贴5元。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喷灌设备质量要求：达到满足水稻育秧生产需求的喷灌设备每平方米补贴5元。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2.生产操作间 </w:t>
      </w:r>
      <w:r>
        <w:rPr>
          <w:rFonts w:hint="eastAsia" w:ascii="仿宋_GB2312" w:hAnsi="仿宋_GB2312" w:eastAsia="仿宋_GB2312" w:cs="仿宋_GB2312"/>
          <w:b w:val="0"/>
          <w:i w:val="0"/>
          <w:caps w:val="0"/>
          <w:color w:val="333333"/>
          <w:spacing w:val="0"/>
          <w:sz w:val="32"/>
          <w:szCs w:val="32"/>
          <w:bdr w:val="none" w:color="auto" w:sz="0" w:space="0"/>
          <w:shd w:val="clear" w:fill="FFFFFF"/>
        </w:rPr>
        <w:t>要求结构为钢构活动板房或砖瓦结构以上的房屋,面积在50平方米以上，门窗、地坪齐全。每座补贴15000元。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3.播种流水线 </w:t>
      </w:r>
      <w:r>
        <w:rPr>
          <w:rFonts w:hint="eastAsia" w:ascii="仿宋_GB2312" w:hAnsi="仿宋_GB2312" w:eastAsia="仿宋_GB2312" w:cs="仿宋_GB2312"/>
          <w:b w:val="0"/>
          <w:i w:val="0"/>
          <w:caps w:val="0"/>
          <w:color w:val="333333"/>
          <w:spacing w:val="0"/>
          <w:sz w:val="32"/>
          <w:szCs w:val="32"/>
          <w:bdr w:val="none" w:color="auto" w:sz="0" w:space="0"/>
          <w:shd w:val="clear" w:fill="FFFFFF"/>
        </w:rPr>
        <w:t>由农户自购省农机补贴目录中的播种流水线，每条播种流水线叠加补贴12000元，余款农户自付。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4.育秧硬盘 </w:t>
      </w:r>
      <w:r>
        <w:rPr>
          <w:rFonts w:hint="eastAsia" w:ascii="仿宋_GB2312" w:hAnsi="仿宋_GB2312" w:eastAsia="仿宋_GB2312" w:cs="仿宋_GB2312"/>
          <w:b w:val="0"/>
          <w:i w:val="0"/>
          <w:caps w:val="0"/>
          <w:color w:val="333333"/>
          <w:spacing w:val="0"/>
          <w:sz w:val="32"/>
          <w:szCs w:val="32"/>
          <w:bdr w:val="none" w:color="auto" w:sz="0" w:space="0"/>
          <w:shd w:val="clear" w:fill="FFFFFF"/>
        </w:rPr>
        <w:t>由农户自购白色育秧硬盘，每张硬盘补贴2元，余款农户自付。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以上设施设备由建设主体先自建自购，且当年投入育秧生产后方可享受奖补。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（二）电商“互联网+农业”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w:t>
      </w:r>
      <w:r>
        <w:rPr>
          <w:rFonts w:hint="eastAsia" w:ascii="仿宋_GB2312" w:hAnsi="仿宋_GB2312" w:eastAsia="仿宋_GB2312" w:cs="仿宋_GB2312"/>
          <w:b w:val="0"/>
          <w:i w:val="0"/>
          <w:caps w:val="0"/>
          <w:color w:val="333333"/>
          <w:spacing w:val="0"/>
          <w:sz w:val="32"/>
          <w:szCs w:val="32"/>
          <w:bdr w:val="none" w:color="auto" w:sz="0" w:space="0"/>
          <w:shd w:val="clear" w:fill="FFFFFF"/>
        </w:rPr>
        <w:t>鼓励个人、企业销售县域农特产品，对年线上销售额达到10万元以上、50万元以上、100万元以上、300万元以上的，每年分别一次性给予0.5万元、1万元、3万元、5万元奖励。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bookmarkStart w:id="0" w:name="_GoBack"/>
      <w:bookmarkEnd w:id="0"/>
      <w:r>
        <w:rPr>
          <w:rFonts w:hint="eastAsia" w:ascii="仿宋_GB2312" w:hAnsi="仿宋_GB2312" w:eastAsia="仿宋_GB2312" w:cs="仿宋_GB2312"/>
          <w:b/>
          <w:i w:val="0"/>
          <w:caps w:val="0"/>
          <w:color w:val="333333"/>
          <w:spacing w:val="0"/>
          <w:sz w:val="32"/>
          <w:szCs w:val="32"/>
          <w:bdr w:val="none" w:color="auto" w:sz="0" w:space="0"/>
          <w:shd w:val="clear" w:fill="FFFFFF"/>
        </w:rPr>
        <w:t>2.</w:t>
      </w:r>
      <w:r>
        <w:rPr>
          <w:rFonts w:hint="eastAsia" w:ascii="仿宋_GB2312" w:hAnsi="仿宋_GB2312" w:eastAsia="仿宋_GB2312" w:cs="仿宋_GB2312"/>
          <w:b w:val="0"/>
          <w:i w:val="0"/>
          <w:caps w:val="0"/>
          <w:color w:val="333333"/>
          <w:spacing w:val="0"/>
          <w:sz w:val="32"/>
          <w:szCs w:val="32"/>
          <w:bdr w:val="none" w:color="auto" w:sz="0" w:space="0"/>
          <w:shd w:val="clear" w:fill="FFFFFF"/>
        </w:rPr>
        <w:t>对加入并有效使用我县电商农产品品牌培育和防伪溯源体系的新型农业经营主体或电商企业，一次性给予1万元奖励，对采购并运用物联网设备技术的新型农业经营主体或电商企业，按照其物联网设备投资总额的20%给予一次性奖补，奖补上限为10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3.</w:t>
      </w:r>
      <w:r>
        <w:rPr>
          <w:rFonts w:hint="eastAsia" w:ascii="仿宋_GB2312" w:hAnsi="仿宋_GB2312" w:eastAsia="仿宋_GB2312" w:cs="仿宋_GB2312"/>
          <w:b w:val="0"/>
          <w:i w:val="0"/>
          <w:caps w:val="0"/>
          <w:color w:val="333333"/>
          <w:spacing w:val="0"/>
          <w:sz w:val="32"/>
          <w:szCs w:val="32"/>
          <w:bdr w:val="none" w:color="auto" w:sz="0" w:space="0"/>
          <w:shd w:val="clear" w:fill="FFFFFF"/>
        </w:rPr>
        <w:t>对租用场地从事县域农特产品线上销售的新型农业经营主体或电商企业，按其实际使用面积给予每平方米10元/月的补贴，年补助金额不超过5万元且不高于其年租金的70%。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4.</w:t>
      </w:r>
      <w:r>
        <w:rPr>
          <w:rFonts w:hint="eastAsia" w:ascii="仿宋_GB2312" w:hAnsi="仿宋_GB2312" w:eastAsia="仿宋_GB2312" w:cs="仿宋_GB2312"/>
          <w:b w:val="0"/>
          <w:i w:val="0"/>
          <w:caps w:val="0"/>
          <w:color w:val="333333"/>
          <w:spacing w:val="0"/>
          <w:sz w:val="32"/>
          <w:szCs w:val="32"/>
          <w:bdr w:val="none" w:color="auto" w:sz="0" w:space="0"/>
          <w:shd w:val="clear" w:fill="FFFFFF"/>
        </w:rPr>
        <w:t>对当年新注册电子商务公司、开设网店销售县域农特产品且当年销售实绩5000元以上的，给予一次性2000元奖励。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（三）农业产业化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w:t>
      </w:r>
      <w:r>
        <w:rPr>
          <w:rFonts w:hint="eastAsia" w:ascii="仿宋_GB2312" w:hAnsi="仿宋_GB2312" w:eastAsia="仿宋_GB2312" w:cs="仿宋_GB2312"/>
          <w:b w:val="0"/>
          <w:i w:val="0"/>
          <w:caps w:val="0"/>
          <w:color w:val="333333"/>
          <w:spacing w:val="0"/>
          <w:sz w:val="32"/>
          <w:szCs w:val="32"/>
          <w:bdr w:val="none" w:color="auto" w:sz="0" w:space="0"/>
          <w:shd w:val="clear" w:fill="FFFFFF"/>
        </w:rPr>
        <w:t>全县农产品加工产值完成增幅10%奖励农委40万元，具体奖励办法由农委制定。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w:t>
      </w:r>
      <w:r>
        <w:rPr>
          <w:rFonts w:hint="eastAsia" w:ascii="仿宋_GB2312" w:hAnsi="仿宋_GB2312" w:eastAsia="仿宋_GB2312" w:cs="仿宋_GB2312"/>
          <w:b w:val="0"/>
          <w:i w:val="0"/>
          <w:caps w:val="0"/>
          <w:color w:val="333333"/>
          <w:spacing w:val="0"/>
          <w:sz w:val="32"/>
          <w:szCs w:val="32"/>
          <w:bdr w:val="none" w:color="auto" w:sz="0" w:space="0"/>
          <w:shd w:val="clear" w:fill="FFFFFF"/>
        </w:rPr>
        <w:t>新认定为国家级、省级、市级农（林）业产业化龙头企业的，分别给予100万元、50万元和10万元的奖励；新认定国家级、省级、市级现代农（林）业产业化联合体或现代林业示范区的，分别给予30万元、15万元和5万元的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3.</w:t>
      </w:r>
      <w:r>
        <w:rPr>
          <w:rFonts w:hint="eastAsia" w:ascii="仿宋_GB2312" w:hAnsi="仿宋_GB2312" w:eastAsia="仿宋_GB2312" w:cs="仿宋_GB2312"/>
          <w:b w:val="0"/>
          <w:i w:val="0"/>
          <w:caps w:val="0"/>
          <w:color w:val="333333"/>
          <w:spacing w:val="0"/>
          <w:sz w:val="32"/>
          <w:szCs w:val="32"/>
          <w:bdr w:val="none" w:color="auto" w:sz="0" w:space="0"/>
          <w:shd w:val="clear" w:fill="FFFFFF"/>
        </w:rPr>
        <w:t>新评为国家、省、市级农民专业合作社示范社、家庭农（林）场、电商，分别给予10万元、5万元、2万元的奖励。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4.</w:t>
      </w:r>
      <w:r>
        <w:rPr>
          <w:rFonts w:hint="eastAsia" w:ascii="仿宋_GB2312" w:hAnsi="仿宋_GB2312" w:eastAsia="仿宋_GB2312" w:cs="仿宋_GB2312"/>
          <w:b w:val="0"/>
          <w:i w:val="0"/>
          <w:caps w:val="0"/>
          <w:color w:val="333333"/>
          <w:spacing w:val="0"/>
          <w:sz w:val="32"/>
          <w:szCs w:val="32"/>
          <w:bdr w:val="none" w:color="auto" w:sz="0" w:space="0"/>
          <w:shd w:val="clear" w:fill="FFFFFF"/>
        </w:rPr>
        <w:t>对当年新认定为国家驰名商标、省著名商标、市知名商标的分别给予100万元、20万元、3万元奖励；新认定为无公害农产品、绿色食品、有机食品的，每个产品分别给予2万元、4万元、6万元的奖励；新认定为省、市网销品牌的分别给予5万元、2万元的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5.</w:t>
      </w:r>
      <w:r>
        <w:rPr>
          <w:rFonts w:hint="eastAsia" w:ascii="仿宋_GB2312" w:hAnsi="仿宋_GB2312" w:eastAsia="仿宋_GB2312" w:cs="仿宋_GB2312"/>
          <w:b w:val="0"/>
          <w:i w:val="0"/>
          <w:caps w:val="0"/>
          <w:color w:val="333333"/>
          <w:spacing w:val="0"/>
          <w:sz w:val="32"/>
          <w:szCs w:val="32"/>
          <w:bdr w:val="none" w:color="auto" w:sz="0" w:space="0"/>
          <w:shd w:val="clear" w:fill="FFFFFF"/>
        </w:rPr>
        <w:t>新获得国家农产品地理标志登记的组织或机构，给予20万元的奖励。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6.</w:t>
      </w:r>
      <w:r>
        <w:rPr>
          <w:rFonts w:hint="eastAsia" w:ascii="仿宋_GB2312" w:hAnsi="仿宋_GB2312" w:eastAsia="仿宋_GB2312" w:cs="仿宋_GB2312"/>
          <w:b w:val="0"/>
          <w:i w:val="0"/>
          <w:caps w:val="0"/>
          <w:color w:val="333333"/>
          <w:spacing w:val="0"/>
          <w:sz w:val="32"/>
          <w:szCs w:val="32"/>
          <w:bdr w:val="none" w:color="auto" w:sz="0" w:space="0"/>
          <w:shd w:val="clear" w:fill="FFFFFF"/>
        </w:rPr>
        <w:t>市级（含市级）以上龙头企业当年在省会城市和省辖城市注册开设霍邱知名商标产品专卖店，门面一间且正常营业的分别给予10万元和5万元的扶持奖补；门面两间以上（含两间）且正常营业的分别给予20万元和10万元的扶持奖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（四）土地流转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土地流转继续按照市、县财政3：7的上级要求给予配套。对新增流转面积500亩以上，且流转期限3年以上的，并签订规范流转合同，从事粮、油、棉等大宗农产品生产的经营主体，除国家和省政策奖补外，市、县另行给予奖励。奖补标准为：土地流转面积500—1000亩，每亩奖励30元；1001—2000亩，每亩奖励40元；2001—3000亩，每亩奖励50元，3001亩以上，每亩奖励60元。以上奖补资金实行分段计算。土地流转大户申报奖励不得超过3次。对新增流转面积200亩以上，从事特色农业生产的，每亩按30元的标准给予奖励，奖补资金不得与其他扶持资金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（五）休闲农业和乡村旅游示范点（村）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园区面积300亩以上，具备观光、采摘、休闲、垂钓、餐饮、住宿、娱乐等功能，拥有停车场、A级厕所（不少于一座），安装规范的标识标牌和垃圾箱，当年被国家、省、市及县政府组织认定的示范点，每个分别给予300万元、200万元、50万元、10万元的奖励（以最高获奖标准奖励，不重复计算）。对经县批准举办的农林节庆活动新型农业经营主体每次给予10万元的奖补。对新认定的省级以上森林旅游康养项目每个奖补50万元；新认定的省、市森林城镇分别奖补50万元、20万元；新认定的省、市森林村庄分别奖补5万元、2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（六）农产品展示展销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经县级以上政府部门组织当年在省内、省外参加涉农产品（含林业、旅游业和农业电商等）展示展销的农业产业化龙头企业、合作社和家庭农场每次分别奖励1万元、2万元。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（七）标准化养殖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1.畜牧业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支持当年建成投产的新建规模畜禽养殖场（小区）发展规模化、标准化、产业化、设施化、无害化生产建设；申报企业必须取得《动物防疫条件合格证》，土地使用合规，且符合规范化畜禽养殖场建设要求（见附件1），是种畜禽场的需取得“种畜禽生产经营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w:t>
      </w:r>
      <w:r>
        <w:rPr>
          <w:rFonts w:hint="eastAsia" w:ascii="仿宋_GB2312" w:hAnsi="仿宋_GB2312" w:eastAsia="仿宋_GB2312" w:cs="仿宋_GB2312"/>
          <w:b w:val="0"/>
          <w:i w:val="0"/>
          <w:caps w:val="0"/>
          <w:color w:val="333333"/>
          <w:spacing w:val="0"/>
          <w:sz w:val="32"/>
          <w:szCs w:val="32"/>
          <w:bdr w:val="none" w:color="auto" w:sz="0" w:space="0"/>
          <w:shd w:val="clear" w:fill="FFFFFF"/>
        </w:rPr>
        <w:t>支持种畜禽场建设。对存栏能繁母猪1000头以上的祖代新建种猪场，一次性给予100万元奖补。对存栏能繁母猪500头以上的父母代新建种猪场，一次性给予30万元奖补。超过1000头的，一次性给予60万元奖补。对存栏3万套以上的祖代种鸡（鸭）场，存栏5万套以上的父母代种鸡（鸭）场，存栏2000只以上的祖代鹅场（含朗德鹅），存栏10000只以上父母代鹅场，一次性给予50万奖补。奖补资金主要用于引进优良品种和粪污处理工程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w:t>
      </w:r>
      <w:r>
        <w:rPr>
          <w:rFonts w:hint="eastAsia" w:ascii="仿宋_GB2312" w:hAnsi="仿宋_GB2312" w:eastAsia="仿宋_GB2312" w:cs="仿宋_GB2312"/>
          <w:b w:val="0"/>
          <w:i w:val="0"/>
          <w:caps w:val="0"/>
          <w:color w:val="333333"/>
          <w:spacing w:val="0"/>
          <w:sz w:val="32"/>
          <w:szCs w:val="32"/>
          <w:bdr w:val="none" w:color="auto" w:sz="0" w:space="0"/>
          <w:shd w:val="clear" w:fill="FFFFFF"/>
        </w:rPr>
        <w:t>支持商品畜禽生产。对规模养殖猪、牛、羊、鸡、鸭、鹅等给予80%的保费补贴。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（3）</w:t>
      </w:r>
      <w:r>
        <w:rPr>
          <w:rFonts w:hint="eastAsia" w:ascii="仿宋_GB2312" w:hAnsi="仿宋_GB2312" w:eastAsia="仿宋_GB2312" w:cs="仿宋_GB2312"/>
          <w:b w:val="0"/>
          <w:i w:val="0"/>
          <w:caps w:val="0"/>
          <w:color w:val="333333"/>
          <w:spacing w:val="0"/>
          <w:sz w:val="32"/>
          <w:szCs w:val="32"/>
          <w:bdr w:val="none" w:color="auto" w:sz="0" w:space="0"/>
          <w:shd w:val="clear" w:fill="FFFFFF"/>
        </w:rPr>
        <w:t>奖励规模畜禽养殖场创建部、省、市级畜禽标准化养殖示范场。对当年获得部、省、市级标准化示范场称号的畜禽养殖企业，一次性分别给予50万元、30万元、10万元奖补。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（4）</w:t>
      </w:r>
      <w:r>
        <w:rPr>
          <w:rFonts w:hint="eastAsia" w:ascii="仿宋_GB2312" w:hAnsi="仿宋_GB2312" w:eastAsia="仿宋_GB2312" w:cs="仿宋_GB2312"/>
          <w:b w:val="0"/>
          <w:i w:val="0"/>
          <w:caps w:val="0"/>
          <w:color w:val="333333"/>
          <w:spacing w:val="0"/>
          <w:sz w:val="32"/>
          <w:szCs w:val="32"/>
          <w:bdr w:val="none" w:color="auto" w:sz="0" w:space="0"/>
          <w:shd w:val="clear" w:fill="FFFFFF"/>
        </w:rPr>
        <w:t>对未涉及的其他养殖品种和特色养殖，依据品种特性和规模，由专家评审确定奖补数额。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2.水产产业化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w:t>
      </w:r>
      <w:r>
        <w:rPr>
          <w:rFonts w:hint="eastAsia" w:ascii="仿宋_GB2312" w:hAnsi="仿宋_GB2312" w:eastAsia="仿宋_GB2312" w:cs="仿宋_GB2312"/>
          <w:b w:val="0"/>
          <w:i w:val="0"/>
          <w:caps w:val="0"/>
          <w:color w:val="333333"/>
          <w:spacing w:val="0"/>
          <w:sz w:val="32"/>
          <w:szCs w:val="32"/>
          <w:bdr w:val="none" w:color="auto" w:sz="0" w:space="0"/>
          <w:shd w:val="clear" w:fill="FFFFFF"/>
        </w:rPr>
        <w:t>对当年荣获国家级、省级、市级标准化健康养殖示范项目的分别奖补10万元、5万元、2万元；当年获得国家级、省级、市级休闲渔业示范基地的分别奖补20万元、10万元、5万元；当年获得全省大水面生态友好型渔业示范基地的（集中水面2000亩以上）奖补20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w:t>
      </w:r>
      <w:r>
        <w:rPr>
          <w:rFonts w:hint="eastAsia" w:ascii="仿宋_GB2312" w:hAnsi="仿宋_GB2312" w:eastAsia="仿宋_GB2312" w:cs="仿宋_GB2312"/>
          <w:b w:val="0"/>
          <w:i w:val="0"/>
          <w:caps w:val="0"/>
          <w:color w:val="333333"/>
          <w:spacing w:val="0"/>
          <w:sz w:val="32"/>
          <w:szCs w:val="32"/>
          <w:bdr w:val="none" w:color="auto" w:sz="0" w:space="0"/>
          <w:shd w:val="clear" w:fill="FFFFFF"/>
        </w:rPr>
        <w:t>对成功争创国家级、省级稻渔综合种养示范区的新型经营主体分别给予30万元、10万元奖补；当年推广稻渔综合种养万亩示范区的乡镇奖补30万元；稻渔综合种养面积达到100亩以上，每亩奖补100元；100亩以上鱼塘标准化改造项目，每个奖补2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（3）</w:t>
      </w:r>
      <w:r>
        <w:rPr>
          <w:rFonts w:hint="eastAsia" w:ascii="仿宋_GB2312" w:hAnsi="仿宋_GB2312" w:eastAsia="仿宋_GB2312" w:cs="仿宋_GB2312"/>
          <w:b w:val="0"/>
          <w:i w:val="0"/>
          <w:caps w:val="0"/>
          <w:color w:val="333333"/>
          <w:spacing w:val="0"/>
          <w:sz w:val="32"/>
          <w:szCs w:val="32"/>
          <w:bdr w:val="none" w:color="auto" w:sz="0" w:space="0"/>
          <w:shd w:val="clear" w:fill="FFFFFF"/>
        </w:rPr>
        <w:t>给予国家级、省级、市级水产良种场每年分别奖补100万元、60万元、20万元；对新建优质水产良种基地（面积不低于300亩）的，每个一次性奖补8万元，固定资产投资额达到500万元以上的项目，再给予投资总额2%的奖补，最高奖补额不超过50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（4）</w:t>
      </w:r>
      <w:r>
        <w:rPr>
          <w:rFonts w:hint="eastAsia" w:ascii="仿宋_GB2312" w:hAnsi="仿宋_GB2312" w:eastAsia="仿宋_GB2312" w:cs="仿宋_GB2312"/>
          <w:b w:val="0"/>
          <w:i w:val="0"/>
          <w:caps w:val="0"/>
          <w:color w:val="333333"/>
          <w:spacing w:val="0"/>
          <w:sz w:val="32"/>
          <w:szCs w:val="32"/>
          <w:bdr w:val="none" w:color="auto" w:sz="0" w:space="0"/>
          <w:shd w:val="clear" w:fill="FFFFFF"/>
        </w:rPr>
        <w:t>对当年建设水产专业市场项目的，给予不超过投资额的40%补助，最多不超过20万元。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（5）</w:t>
      </w:r>
      <w:r>
        <w:rPr>
          <w:rFonts w:hint="eastAsia" w:ascii="仿宋_GB2312" w:hAnsi="仿宋_GB2312" w:eastAsia="仿宋_GB2312" w:cs="仿宋_GB2312"/>
          <w:b w:val="0"/>
          <w:i w:val="0"/>
          <w:caps w:val="0"/>
          <w:color w:val="333333"/>
          <w:spacing w:val="0"/>
          <w:sz w:val="32"/>
          <w:szCs w:val="32"/>
          <w:bdr w:val="none" w:color="auto" w:sz="0" w:space="0"/>
          <w:shd w:val="clear" w:fill="FFFFFF"/>
        </w:rPr>
        <w:t>对全省推广的绿色低碳节水养殖示范项目每个奖补10万元。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（八）农林特色产业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w:t>
      </w:r>
      <w:r>
        <w:rPr>
          <w:rFonts w:hint="eastAsia" w:ascii="仿宋_GB2312" w:hAnsi="仿宋_GB2312" w:eastAsia="仿宋_GB2312" w:cs="仿宋_GB2312"/>
          <w:b w:val="0"/>
          <w:i w:val="0"/>
          <w:caps w:val="0"/>
          <w:color w:val="333333"/>
          <w:spacing w:val="0"/>
          <w:sz w:val="32"/>
          <w:szCs w:val="32"/>
          <w:bdr w:val="none" w:color="auto" w:sz="0" w:space="0"/>
          <w:shd w:val="clear" w:fill="FFFFFF"/>
        </w:rPr>
        <w:t>配套供肥蔬菜基地项目建设资金100万元，按2018年供肥蔬菜基地实施方案操作。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w:t>
      </w:r>
      <w:r>
        <w:rPr>
          <w:rFonts w:hint="eastAsia" w:ascii="仿宋_GB2312" w:hAnsi="仿宋_GB2312" w:eastAsia="仿宋_GB2312" w:cs="仿宋_GB2312"/>
          <w:b w:val="0"/>
          <w:i w:val="0"/>
          <w:caps w:val="0"/>
          <w:color w:val="333333"/>
          <w:spacing w:val="0"/>
          <w:sz w:val="32"/>
          <w:szCs w:val="32"/>
          <w:bdr w:val="none" w:color="auto" w:sz="0" w:space="0"/>
          <w:shd w:val="clear" w:fill="FFFFFF"/>
        </w:rPr>
        <w:t>对棚内从事设施果蔬、苗木花卉、食用菌等特色农作物给予80%的保费补贴。当年新建达标连栋温室1000㎡以上的给予100元/㎡奖补（见附件2连栋温室建设质量要求）。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3.</w:t>
      </w:r>
      <w:r>
        <w:rPr>
          <w:rFonts w:hint="eastAsia" w:ascii="仿宋_GB2312" w:hAnsi="仿宋_GB2312" w:eastAsia="仿宋_GB2312" w:cs="仿宋_GB2312"/>
          <w:b w:val="0"/>
          <w:i w:val="0"/>
          <w:caps w:val="0"/>
          <w:color w:val="333333"/>
          <w:spacing w:val="0"/>
          <w:sz w:val="32"/>
          <w:szCs w:val="32"/>
          <w:bdr w:val="none" w:color="auto" w:sz="0" w:space="0"/>
          <w:shd w:val="clear" w:fill="FFFFFF"/>
        </w:rPr>
        <w:t>对集中连片种植中药材100亩以上的给予保费补贴且同时给予200元/亩奖补。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4</w:t>
      </w:r>
      <w:r>
        <w:rPr>
          <w:rFonts w:hint="eastAsia" w:ascii="仿宋_GB2312" w:hAnsi="仿宋_GB2312" w:eastAsia="仿宋_GB2312" w:cs="仿宋_GB2312"/>
          <w:b w:val="0"/>
          <w:i w:val="0"/>
          <w:caps w:val="0"/>
          <w:color w:val="333333"/>
          <w:spacing w:val="0"/>
          <w:sz w:val="32"/>
          <w:szCs w:val="32"/>
          <w:bdr w:val="none" w:color="auto" w:sz="0" w:space="0"/>
          <w:shd w:val="clear" w:fill="FFFFFF"/>
        </w:rPr>
        <w:t>.对于发展林下经济规模100亩以上且带动贫困户10户以上的给予300元/亩奖补；对于国家级以上公益林管护给予每亩30元的补助；对于市级以上森林长廊示范工程给予每公里4万元补助；对市级以上林业名特优种养殖项目，每个奖补3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5</w:t>
      </w:r>
      <w:r>
        <w:rPr>
          <w:rFonts w:hint="eastAsia" w:ascii="仿宋_GB2312" w:hAnsi="仿宋_GB2312" w:eastAsia="仿宋_GB2312" w:cs="仿宋_GB2312"/>
          <w:b w:val="0"/>
          <w:i w:val="0"/>
          <w:caps w:val="0"/>
          <w:color w:val="333333"/>
          <w:spacing w:val="0"/>
          <w:sz w:val="32"/>
          <w:szCs w:val="32"/>
          <w:bdr w:val="none" w:color="auto" w:sz="0" w:space="0"/>
          <w:shd w:val="clear" w:fill="FFFFFF"/>
        </w:rPr>
        <w:t>.对2017年以来集中连片成功种植杞柳和构树100亩以上的企业(种植户)，在第一年、第二年、第三年分别给予每亩800元、600元、400元奖补。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（九）农机装备建设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w:t>
      </w:r>
      <w:r>
        <w:rPr>
          <w:rFonts w:hint="eastAsia" w:ascii="仿宋_GB2312" w:hAnsi="仿宋_GB2312" w:eastAsia="仿宋_GB2312" w:cs="仿宋_GB2312"/>
          <w:b w:val="0"/>
          <w:i w:val="0"/>
          <w:caps w:val="0"/>
          <w:color w:val="333333"/>
          <w:spacing w:val="0"/>
          <w:sz w:val="32"/>
          <w:szCs w:val="32"/>
          <w:bdr w:val="none" w:color="auto" w:sz="0" w:space="0"/>
          <w:shd w:val="clear" w:fill="FFFFFF"/>
        </w:rPr>
        <w:t>对新购列入安徽省农机购置补贴范围的烘干机、乘坐式插秧机、自走式植保机以及植保无人机的农业服务企业、专业合作社、家庭农场和种粮大户给予国补同等数额的叠加补贴。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w:t>
      </w:r>
      <w:r>
        <w:rPr>
          <w:rFonts w:hint="eastAsia" w:ascii="仿宋_GB2312" w:hAnsi="仿宋_GB2312" w:eastAsia="仿宋_GB2312" w:cs="仿宋_GB2312"/>
          <w:b w:val="0"/>
          <w:i w:val="0"/>
          <w:caps w:val="0"/>
          <w:color w:val="333333"/>
          <w:spacing w:val="0"/>
          <w:sz w:val="32"/>
          <w:szCs w:val="32"/>
          <w:bdr w:val="none" w:color="auto" w:sz="0" w:space="0"/>
          <w:shd w:val="clear" w:fill="FFFFFF"/>
        </w:rPr>
        <w:t>对当年新建农业机具等库棚达到一定标准（即用地合规，使用面积不少于400平方米以上，檐口高度不低于6米，主梁为H钢结构，地面为混凝土硬化）的新型农业经营主体（土地面积500亩以上种植大户或拥有10台套以上大中型农业机械大户），给予150元/㎡奖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（十）农业保险补贴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对50亩以上种粮大户、家庭农场、专业合作组织等经营主体，按照省皖政办（2017）92号文件规定给予粮食作物大灾险80%的保费补贴。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（十一）新型农业经营主体贴息贷款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给予合作社、家庭农场等新型农业经营主体给予50%贷款贴息，每户不超过3万元（按照新型经营主体贷款贴息实施方案操作）。同时在全县新型经营主体中开展“劝耕贷”工作（具体实施方案另行制定）。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（十二）淮淠河（果岭）经济带建设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淮淠河（果岭）经济带建设专项资金由淮淠河生态领导组负责操作实施。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（十三）秸秆综合利用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w:t>
      </w:r>
      <w:r>
        <w:rPr>
          <w:rFonts w:hint="eastAsia" w:ascii="仿宋_GB2312" w:hAnsi="仿宋_GB2312" w:eastAsia="仿宋_GB2312" w:cs="仿宋_GB2312"/>
          <w:b w:val="0"/>
          <w:i w:val="0"/>
          <w:caps w:val="0"/>
          <w:color w:val="333333"/>
          <w:spacing w:val="0"/>
          <w:sz w:val="32"/>
          <w:szCs w:val="32"/>
          <w:bdr w:val="none" w:color="auto" w:sz="0" w:space="0"/>
          <w:shd w:val="clear" w:fill="FFFFFF"/>
        </w:rPr>
        <w:t>对当年新建并投入使用的规范化秸秆收储站（占地20亩以上，配套建设简易办公用房、变压器、地磅、打捆装载设备等），经验收合格后给予20万元建设补助。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jc w:val="left"/>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w:t>
      </w:r>
      <w:r>
        <w:rPr>
          <w:rFonts w:hint="eastAsia" w:ascii="仿宋_GB2312" w:hAnsi="仿宋_GB2312" w:eastAsia="仿宋_GB2312" w:cs="仿宋_GB2312"/>
          <w:b w:val="0"/>
          <w:i w:val="0"/>
          <w:caps w:val="0"/>
          <w:color w:val="333333"/>
          <w:spacing w:val="0"/>
          <w:sz w:val="32"/>
          <w:szCs w:val="32"/>
          <w:bdr w:val="none" w:color="auto" w:sz="0" w:space="0"/>
          <w:shd w:val="clear" w:fill="FFFFFF"/>
        </w:rPr>
        <w:t>对秸秆收储转运至县内凯迪电厂或其它途径利用的，按距离远近给予100元/吨、80元/吨的运费补助（周集、临水、冯井、范桥、王截流、冯瓴6乡镇按100元/吨标准补助，其余乡镇按80元/吨标准补助）；对转运销售至县外的秸秆，一律补助运费130元/吨；所需资金从省级奖补资金中列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七、严明责任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1.实施主体职责</w:t>
      </w:r>
      <w:r>
        <w:rPr>
          <w:rFonts w:hint="eastAsia" w:ascii="仿宋_GB2312" w:hAnsi="仿宋_GB2312" w:eastAsia="仿宋_GB2312" w:cs="仿宋_GB2312"/>
          <w:b w:val="0"/>
          <w:i w:val="0"/>
          <w:caps w:val="0"/>
          <w:color w:val="333333"/>
          <w:spacing w:val="0"/>
          <w:sz w:val="32"/>
          <w:szCs w:val="32"/>
          <w:bdr w:val="none" w:color="auto" w:sz="0" w:space="0"/>
          <w:shd w:val="clear" w:fill="FFFFFF"/>
        </w:rPr>
        <w:t> 实施主体（或申报单位）对项目建设内容和申报材料的真实性负责，对弄虚作假、套取资金的，一经发现，予以通报批评，追回资金，五年内取消申报各级财政补助和奖励资格，涉嫌犯罪的移交司法机关依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2.公职人员职责 </w:t>
      </w:r>
      <w:r>
        <w:rPr>
          <w:rFonts w:hint="eastAsia" w:ascii="仿宋_GB2312" w:hAnsi="仿宋_GB2312" w:eastAsia="仿宋_GB2312" w:cs="仿宋_GB2312"/>
          <w:b w:val="0"/>
          <w:i w:val="0"/>
          <w:caps w:val="0"/>
          <w:color w:val="333333"/>
          <w:spacing w:val="0"/>
          <w:sz w:val="32"/>
          <w:szCs w:val="32"/>
          <w:bdr w:val="none" w:color="auto" w:sz="0" w:space="0"/>
          <w:shd w:val="clear" w:fill="FFFFFF"/>
        </w:rPr>
        <w:t>对验收把关不严格造成资金流失的，追究验收单位和经办人员的责任；对工作失职渎职的国家工作人员，移交司法机关依法处理。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八、本奖补方案由县业务主管部门负责解释。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附件：1.规范化畜禽饲养场建设要求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2.连栋温室建设质量要求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3.霍邱县现代农业以奖代补资金申请表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4.霍邱县现代农业以奖代补资金项目验收表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规范化畜禽养殖场建设要求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_GB2312" w:hAnsi="仿宋_GB2312" w:eastAsia="仿宋_GB2312" w:cs="仿宋_GB2312"/>
          <w:b w:val="0"/>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1、</w:t>
      </w:r>
      <w:r>
        <w:rPr>
          <w:rFonts w:hint="eastAsia" w:ascii="仿宋_GB2312" w:hAnsi="仿宋_GB2312" w:eastAsia="仿宋_GB2312" w:cs="仿宋_GB2312"/>
          <w:b w:val="0"/>
          <w:i w:val="0"/>
          <w:caps w:val="0"/>
          <w:color w:val="333333"/>
          <w:spacing w:val="0"/>
          <w:sz w:val="32"/>
          <w:szCs w:val="32"/>
          <w:bdr w:val="none" w:color="auto" w:sz="0" w:space="0"/>
          <w:shd w:val="clear" w:fill="FFFFFF"/>
        </w:rPr>
        <w:t>选址符合动物防疫条件规定要求，取得《动物防疫条件合格证》。用地符合农业设施建设用地要求，取得合法使用土地证明。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2、</w:t>
      </w:r>
      <w:r>
        <w:rPr>
          <w:rFonts w:hint="eastAsia" w:ascii="仿宋_GB2312" w:hAnsi="仿宋_GB2312" w:eastAsia="仿宋_GB2312" w:cs="仿宋_GB2312"/>
          <w:b w:val="0"/>
          <w:i w:val="0"/>
          <w:caps w:val="0"/>
          <w:color w:val="333333"/>
          <w:spacing w:val="0"/>
          <w:sz w:val="32"/>
          <w:szCs w:val="32"/>
          <w:bdr w:val="none" w:color="auto" w:sz="0" w:space="0"/>
          <w:shd w:val="clear" w:fill="FFFFFF"/>
        </w:rPr>
        <w:t>较大规模的示范场（小区）应进行环境影响评价，办理有关环保审批手续。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3、</w:t>
      </w:r>
      <w:r>
        <w:rPr>
          <w:rFonts w:hint="eastAsia" w:ascii="仿宋_GB2312" w:hAnsi="仿宋_GB2312" w:eastAsia="仿宋_GB2312" w:cs="仿宋_GB2312"/>
          <w:b w:val="0"/>
          <w:i w:val="0"/>
          <w:caps w:val="0"/>
          <w:color w:val="333333"/>
          <w:spacing w:val="0"/>
          <w:sz w:val="32"/>
          <w:szCs w:val="32"/>
          <w:bdr w:val="none" w:color="auto" w:sz="0" w:space="0"/>
          <w:shd w:val="clear" w:fill="FFFFFF"/>
        </w:rPr>
        <w:t>公共设施方面实现“三通”，即水通、电通、路通，道路便利，水源充足，水质符合养殖要求。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4、</w:t>
      </w:r>
      <w:r>
        <w:rPr>
          <w:rFonts w:hint="eastAsia" w:ascii="仿宋_GB2312" w:hAnsi="仿宋_GB2312" w:eastAsia="仿宋_GB2312" w:cs="仿宋_GB2312"/>
          <w:b w:val="0"/>
          <w:i w:val="0"/>
          <w:caps w:val="0"/>
          <w:color w:val="333333"/>
          <w:spacing w:val="0"/>
          <w:sz w:val="32"/>
          <w:szCs w:val="32"/>
          <w:bdr w:val="none" w:color="auto" w:sz="0" w:space="0"/>
          <w:shd w:val="clear" w:fill="FFFFFF"/>
        </w:rPr>
        <w:t>建筑布局科学合理，管理区、生产区和隔离区分区明显。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管理区：有消毒室、办公室，饲养场大门口设置消毒池，消毒室安装必要消毒设施。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生产区：包括畜禽舍、饲料库和饲养员住所等。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隔离区：设兽医室、病畜禽隔离室、无害化处理场，较大规模养殖场设病死畜禽无害化处理间。有粪污处理设施，实行雨污分流。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5、</w:t>
      </w:r>
      <w:r>
        <w:rPr>
          <w:rFonts w:hint="eastAsia" w:ascii="仿宋_GB2312" w:hAnsi="仿宋_GB2312" w:eastAsia="仿宋_GB2312" w:cs="仿宋_GB2312"/>
          <w:b w:val="0"/>
          <w:i w:val="0"/>
          <w:caps w:val="0"/>
          <w:color w:val="333333"/>
          <w:spacing w:val="0"/>
          <w:sz w:val="32"/>
          <w:szCs w:val="32"/>
          <w:bdr w:val="none" w:color="auto" w:sz="0" w:space="0"/>
          <w:shd w:val="clear" w:fill="FFFFFF"/>
        </w:rPr>
        <w:t>场区内净道和污道要严格分开。人员、畜禽和物资运转采取单一流向。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6、</w:t>
      </w:r>
      <w:r>
        <w:rPr>
          <w:rFonts w:hint="eastAsia" w:ascii="仿宋_GB2312" w:hAnsi="仿宋_GB2312" w:eastAsia="仿宋_GB2312" w:cs="仿宋_GB2312"/>
          <w:b w:val="0"/>
          <w:i w:val="0"/>
          <w:caps w:val="0"/>
          <w:color w:val="333333"/>
          <w:spacing w:val="0"/>
          <w:sz w:val="32"/>
          <w:szCs w:val="32"/>
          <w:bdr w:val="none" w:color="auto" w:sz="0" w:space="0"/>
          <w:shd w:val="clear" w:fill="FFFFFF"/>
        </w:rPr>
        <w:t>畜舍建筑结构要求砖混以上。舍内地面和墙壁便于耐酸、碱等消毒药液的清洗和消毒。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7、</w:t>
      </w:r>
      <w:r>
        <w:rPr>
          <w:rFonts w:hint="eastAsia" w:ascii="仿宋_GB2312" w:hAnsi="仿宋_GB2312" w:eastAsia="仿宋_GB2312" w:cs="仿宋_GB2312"/>
          <w:b w:val="0"/>
          <w:i w:val="0"/>
          <w:caps w:val="0"/>
          <w:color w:val="333333"/>
          <w:spacing w:val="0"/>
          <w:sz w:val="32"/>
          <w:szCs w:val="32"/>
          <w:bdr w:val="none" w:color="auto" w:sz="0" w:space="0"/>
          <w:shd w:val="clear" w:fill="FFFFFF"/>
        </w:rPr>
        <w:t>有必要的生产设施设备。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bdr w:val="none" w:color="auto" w:sz="0" w:space="0"/>
          <w:shd w:val="clear" w:fill="FFFFFF"/>
        </w:rPr>
        <w:t>8、</w:t>
      </w:r>
      <w:r>
        <w:rPr>
          <w:rFonts w:hint="eastAsia" w:ascii="仿宋_GB2312" w:hAnsi="仿宋_GB2312" w:eastAsia="仿宋_GB2312" w:cs="仿宋_GB2312"/>
          <w:b w:val="0"/>
          <w:i w:val="0"/>
          <w:caps w:val="0"/>
          <w:color w:val="333333"/>
          <w:spacing w:val="0"/>
          <w:sz w:val="32"/>
          <w:szCs w:val="32"/>
          <w:bdr w:val="none" w:color="auto" w:sz="0" w:space="0"/>
          <w:shd w:val="clear" w:fill="FFFFFF"/>
        </w:rPr>
        <w:t>场区以围墙或防疫沟与外界隔离，周围设绿化隔离带植物。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连栋温室建设质量要求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i w:val="0"/>
          <w:caps w:val="0"/>
          <w:color w:val="333333"/>
          <w:spacing w:val="0"/>
          <w:sz w:val="32"/>
          <w:szCs w:val="32"/>
          <w:bdr w:val="none" w:color="auto" w:sz="0" w:space="0"/>
          <w:shd w:val="clear" w:fill="FFFFFF"/>
          <w:lang w:eastAsia="zh-CN"/>
        </w:rPr>
        <w:t>          连栋温室主要零件用材要求 单位：毫米</w:t>
      </w:r>
    </w:p>
    <w:tbl>
      <w:tblPr>
        <w:tblW w:w="9495" w:type="dxa"/>
        <w:jc w:val="center"/>
        <w:tblInd w:w="-51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978"/>
        <w:gridCol w:w="3056"/>
        <w:gridCol w:w="44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零件名称</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材料规格</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技术要求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端横梁</w:t>
            </w:r>
          </w:p>
        </w:tc>
        <w:tc>
          <w:tcPr>
            <w:tcW w:w="3056"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矩形管 </w:t>
            </w:r>
            <w:r>
              <w:rPr>
                <w:rFonts w:hint="eastAsia" w:ascii="仿宋_GB2312" w:hAnsi="仿宋_GB2312" w:eastAsia="仿宋_GB2312" w:cs="仿宋_GB2312"/>
                <w:sz w:val="32"/>
                <w:szCs w:val="32"/>
                <w:bdr w:val="none" w:color="auto" w:sz="0" w:space="0"/>
                <w:lang w:val="en-US"/>
              </w:rPr>
              <w:t>60X40X2/Q235</w:t>
            </w:r>
          </w:p>
        </w:tc>
        <w:tc>
          <w:tcPr>
            <w:tcW w:w="4461"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材质符合</w:t>
            </w:r>
            <w:r>
              <w:rPr>
                <w:rFonts w:hint="eastAsia" w:ascii="仿宋_GB2312" w:hAnsi="仿宋_GB2312" w:eastAsia="仿宋_GB2312" w:cs="仿宋_GB2312"/>
                <w:sz w:val="32"/>
                <w:szCs w:val="32"/>
                <w:bdr w:val="none" w:color="auto" w:sz="0" w:space="0"/>
                <w:lang w:val="en-US"/>
              </w:rPr>
              <w:t>GB/T </w:t>
            </w:r>
            <w:r>
              <w:rPr>
                <w:rFonts w:hint="eastAsia" w:ascii="仿宋_GB2312" w:hAnsi="仿宋_GB2312" w:eastAsia="仿宋_GB2312" w:cs="仿宋_GB2312"/>
                <w:sz w:val="32"/>
                <w:szCs w:val="32"/>
                <w:bdr w:val="none" w:color="auto" w:sz="0" w:space="0"/>
                <w:lang w:eastAsia="zh-TW"/>
              </w:rPr>
              <w:t>700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表面镀锌层质量符合</w:t>
            </w:r>
            <w:r>
              <w:rPr>
                <w:rFonts w:hint="eastAsia" w:ascii="仿宋_GB2312" w:hAnsi="仿宋_GB2312" w:eastAsia="仿宋_GB2312" w:cs="仿宋_GB2312"/>
                <w:sz w:val="32"/>
                <w:szCs w:val="32"/>
                <w:bdr w:val="none" w:color="auto" w:sz="0" w:space="0"/>
                <w:lang w:val="en-US"/>
              </w:rPr>
              <w:t>GB/T </w:t>
            </w:r>
            <w:r>
              <w:rPr>
                <w:rFonts w:hint="eastAsia" w:ascii="仿宋_GB2312" w:hAnsi="仿宋_GB2312" w:eastAsia="仿宋_GB2312" w:cs="仿宋_GB2312"/>
                <w:sz w:val="32"/>
                <w:szCs w:val="32"/>
                <w:bdr w:val="none" w:color="auto" w:sz="0" w:space="0"/>
                <w:lang w:eastAsia="zh-TW"/>
              </w:rPr>
              <w:t>13912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壁厚偏差</w:t>
            </w:r>
            <w:r>
              <w:rPr>
                <w:rFonts w:hint="eastAsia" w:ascii="仿宋_GB2312" w:hAnsi="仿宋_GB2312" w:eastAsia="仿宋_GB2312" w:cs="仿宋_GB2312"/>
                <w:sz w:val="32"/>
                <w:szCs w:val="32"/>
                <w:bdr w:val="none" w:color="auto" w:sz="0" w:space="0"/>
                <w:lang w:val="en-US"/>
              </w:rPr>
              <w:t>2.0-0. </w:t>
            </w:r>
            <w:r>
              <w:rPr>
                <w:rFonts w:hint="eastAsia" w:ascii="仿宋_GB2312" w:hAnsi="仿宋_GB2312" w:eastAsia="仿宋_GB2312" w:cs="仿宋_GB2312"/>
                <w:sz w:val="32"/>
                <w:szCs w:val="32"/>
                <w:bdr w:val="none" w:color="auto" w:sz="0" w:space="0"/>
                <w:lang w:eastAsia="zh-TW"/>
              </w:rPr>
              <w:t>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热镀梓层厚度≥</w:t>
            </w:r>
            <w:r>
              <w:rPr>
                <w:rFonts w:hint="eastAsia" w:ascii="仿宋_GB2312" w:hAnsi="仿宋_GB2312" w:eastAsia="仿宋_GB2312" w:cs="仿宋_GB2312"/>
                <w:sz w:val="32"/>
                <w:szCs w:val="32"/>
                <w:bdr w:val="none" w:color="auto" w:sz="0" w:space="0"/>
                <w:lang w:val="en-US"/>
              </w:rPr>
              <w:t>0.055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1"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端面加强横梁</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侧墙中柱</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1"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山墙中柱</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30"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中间水平拉杆</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1"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侧横梁</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外遮阳端横梁</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矩形管 </w:t>
            </w:r>
            <w:r>
              <w:rPr>
                <w:rFonts w:hint="eastAsia" w:ascii="仿宋_GB2312" w:hAnsi="仿宋_GB2312" w:eastAsia="仿宋_GB2312" w:cs="仿宋_GB2312"/>
                <w:sz w:val="32"/>
                <w:szCs w:val="32"/>
                <w:bdr w:val="none" w:color="auto" w:sz="0" w:space="0"/>
                <w:lang w:val="en-US"/>
              </w:rPr>
              <w:t>70X50X2/Q235</w:t>
            </w: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外遮阳横纵梁</w:t>
            </w:r>
          </w:p>
        </w:tc>
        <w:tc>
          <w:tcPr>
            <w:tcW w:w="3056"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矩形管 </w:t>
            </w:r>
            <w:r>
              <w:rPr>
                <w:rFonts w:hint="eastAsia" w:ascii="仿宋_GB2312" w:hAnsi="仿宋_GB2312" w:eastAsia="仿宋_GB2312" w:cs="仿宋_GB2312"/>
                <w:sz w:val="32"/>
                <w:szCs w:val="32"/>
                <w:bdr w:val="none" w:color="auto" w:sz="0" w:space="0"/>
                <w:lang w:val="en-US"/>
              </w:rPr>
              <w:t>50X50X2/Q235</w:t>
            </w: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外遮阳立柱</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rPr>
                <w:rFonts w:hint="eastAsia" w:ascii="仿宋_GB2312" w:hAnsi="仿宋_GB2312" w:eastAsia="仿宋_GB2312" w:cs="仿宋_GB2312"/>
                <w:sz w:val="32"/>
                <w:szCs w:val="32"/>
              </w:rPr>
            </w:pP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1"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主</w:t>
            </w:r>
            <w:r>
              <w:rPr>
                <w:rFonts w:hint="eastAsia" w:ascii="仿宋_GB2312" w:hAnsi="仿宋_GB2312" w:eastAsia="仿宋_GB2312" w:cs="仿宋_GB2312"/>
                <w:sz w:val="32"/>
                <w:szCs w:val="32"/>
                <w:bdr w:val="none" w:color="auto" w:sz="0" w:space="0"/>
                <w:lang w:eastAsia="zh-TW"/>
              </w:rPr>
              <w:t>立柱</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363"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矩形管 </w:t>
            </w:r>
            <w:r>
              <w:rPr>
                <w:rFonts w:hint="eastAsia" w:ascii="仿宋_GB2312" w:hAnsi="仿宋_GB2312" w:eastAsia="仿宋_GB2312" w:cs="仿宋_GB2312"/>
                <w:sz w:val="32"/>
                <w:szCs w:val="32"/>
                <w:bdr w:val="none" w:color="auto" w:sz="0" w:space="0"/>
                <w:lang w:val="en-US"/>
              </w:rPr>
              <w:t>100X60X3/Q235</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壁厚偏差</w:t>
            </w:r>
            <w:r>
              <w:rPr>
                <w:rFonts w:hint="eastAsia" w:ascii="仿宋_GB2312" w:hAnsi="仿宋_GB2312" w:eastAsia="仿宋_GB2312" w:cs="仿宋_GB2312"/>
                <w:sz w:val="32"/>
                <w:szCs w:val="32"/>
                <w:bdr w:val="none" w:color="auto" w:sz="0" w:space="0"/>
                <w:lang w:eastAsia="zh-TW"/>
              </w:rPr>
              <w:t>：</w:t>
            </w:r>
            <w:r>
              <w:rPr>
                <w:rFonts w:hint="eastAsia" w:ascii="仿宋_GB2312" w:hAnsi="仿宋_GB2312" w:eastAsia="仿宋_GB2312" w:cs="仿宋_GB2312"/>
                <w:sz w:val="32"/>
                <w:szCs w:val="32"/>
                <w:bdr w:val="none" w:color="auto" w:sz="0" w:space="0"/>
                <w:lang w:val="en-US"/>
              </w:rPr>
              <w:t>3-0. </w:t>
            </w:r>
            <w:r>
              <w:rPr>
                <w:rFonts w:hint="eastAsia" w:ascii="仿宋_GB2312" w:hAnsi="仿宋_GB2312" w:eastAsia="仿宋_GB2312" w:cs="仿宋_GB2312"/>
                <w:sz w:val="32"/>
                <w:szCs w:val="32"/>
                <w:bdr w:val="none" w:color="auto" w:sz="0" w:space="0"/>
                <w:lang w:eastAsia="zh-TW"/>
              </w:rPr>
              <w:t>12 其余同上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门滑道</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159"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val="en-US"/>
              </w:rPr>
              <w:t>C </w:t>
            </w:r>
            <w:r>
              <w:rPr>
                <w:rFonts w:hint="eastAsia" w:ascii="仿宋_GB2312" w:hAnsi="仿宋_GB2312" w:eastAsia="仿宋_GB2312" w:cs="仿宋_GB2312"/>
                <w:sz w:val="32"/>
                <w:szCs w:val="32"/>
                <w:bdr w:val="none" w:color="auto" w:sz="0" w:space="0"/>
                <w:lang w:eastAsia="zh-TW"/>
              </w:rPr>
              <w:t>型钢 60 X 30 X15 X </w:t>
            </w:r>
            <w:r>
              <w:rPr>
                <w:rFonts w:hint="eastAsia" w:ascii="仿宋_GB2312" w:hAnsi="仿宋_GB2312" w:eastAsia="仿宋_GB2312" w:cs="仿宋_GB2312"/>
                <w:sz w:val="32"/>
                <w:szCs w:val="32"/>
                <w:bdr w:val="none" w:color="auto" w:sz="0" w:space="0"/>
                <w:lang w:val="en-US"/>
              </w:rPr>
              <w:t>2. 0/Q235</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壁厚偏差</w:t>
            </w:r>
            <w:r>
              <w:rPr>
                <w:rFonts w:hint="eastAsia" w:ascii="仿宋_GB2312" w:hAnsi="仿宋_GB2312" w:eastAsia="仿宋_GB2312" w:cs="仿宋_GB2312"/>
                <w:sz w:val="32"/>
                <w:szCs w:val="32"/>
                <w:bdr w:val="none" w:color="auto" w:sz="0" w:space="0"/>
                <w:lang w:eastAsia="zh-TW"/>
              </w:rPr>
              <w:t>：</w:t>
            </w:r>
            <w:r>
              <w:rPr>
                <w:rFonts w:hint="eastAsia" w:ascii="仿宋_GB2312" w:hAnsi="仿宋_GB2312" w:eastAsia="仿宋_GB2312" w:cs="仿宋_GB2312"/>
                <w:sz w:val="32"/>
                <w:szCs w:val="32"/>
                <w:bdr w:val="none" w:color="auto" w:sz="0" w:space="0"/>
                <w:lang w:val="en-US"/>
              </w:rPr>
              <w:t>2.0-0. </w:t>
            </w:r>
            <w:r>
              <w:rPr>
                <w:rFonts w:hint="eastAsia" w:ascii="仿宋_GB2312" w:hAnsi="仿宋_GB2312" w:eastAsia="仿宋_GB2312" w:cs="仿宋_GB2312"/>
                <w:sz w:val="32"/>
                <w:szCs w:val="32"/>
                <w:bdr w:val="none" w:color="auto" w:sz="0" w:space="0"/>
                <w:lang w:eastAsia="zh-TW"/>
              </w:rPr>
              <w:t>16其余同上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5"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门框零件</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错合金型基材</w:t>
            </w:r>
            <w:r>
              <w:rPr>
                <w:rFonts w:hint="eastAsia" w:ascii="仿宋_GB2312" w:hAnsi="仿宋_GB2312" w:eastAsia="仿宋_GB2312" w:cs="仿宋_GB2312"/>
                <w:sz w:val="32"/>
                <w:szCs w:val="32"/>
                <w:bdr w:val="none" w:color="auto" w:sz="0" w:space="0"/>
                <w:lang w:val="en-US"/>
              </w:rPr>
              <w:t>6063-T5</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化学成分、力学性能、尺寸允许偏差和外观质 量符合</w:t>
            </w:r>
            <w:r>
              <w:rPr>
                <w:rFonts w:hint="eastAsia" w:ascii="仿宋_GB2312" w:hAnsi="仿宋_GB2312" w:eastAsia="仿宋_GB2312" w:cs="仿宋_GB2312"/>
                <w:sz w:val="32"/>
                <w:szCs w:val="32"/>
                <w:bdr w:val="none" w:color="auto" w:sz="0" w:space="0"/>
                <w:lang w:val="en-US"/>
              </w:rPr>
              <w:t>GB/T </w:t>
            </w:r>
            <w:r>
              <w:rPr>
                <w:rFonts w:hint="eastAsia" w:ascii="仿宋_GB2312" w:hAnsi="仿宋_GB2312" w:eastAsia="仿宋_GB2312" w:cs="仿宋_GB2312"/>
                <w:sz w:val="32"/>
                <w:szCs w:val="32"/>
                <w:bdr w:val="none" w:color="auto" w:sz="0" w:space="0"/>
                <w:lang w:eastAsia="zh-TW"/>
              </w:rPr>
              <w:t>5237 </w:t>
            </w:r>
            <w:r>
              <w:rPr>
                <w:rFonts w:hint="eastAsia" w:ascii="仿宋_GB2312" w:hAnsi="仿宋_GB2312" w:eastAsia="仿宋_GB2312" w:cs="仿宋_GB2312"/>
                <w:sz w:val="32"/>
                <w:szCs w:val="32"/>
                <w:bdr w:val="none" w:color="auto" w:sz="0" w:space="0"/>
                <w:lang w:eastAsia="zh-CN"/>
              </w:rPr>
              <w:t>• </w:t>
            </w:r>
            <w:r>
              <w:rPr>
                <w:rFonts w:hint="eastAsia" w:ascii="仿宋_GB2312" w:hAnsi="仿宋_GB2312" w:eastAsia="仿宋_GB2312" w:cs="仿宋_GB2312"/>
                <w:sz w:val="32"/>
                <w:szCs w:val="32"/>
                <w:bdr w:val="none" w:color="auto" w:sz="0" w:space="0"/>
                <w:lang w:eastAsia="zh-TW"/>
              </w:rPr>
              <w:t>1,表面阳极氧化膜质量 符合 </w:t>
            </w:r>
            <w:r>
              <w:rPr>
                <w:rFonts w:hint="eastAsia" w:ascii="仿宋_GB2312" w:hAnsi="仿宋_GB2312" w:eastAsia="仿宋_GB2312" w:cs="仿宋_GB2312"/>
                <w:sz w:val="32"/>
                <w:szCs w:val="32"/>
                <w:bdr w:val="none" w:color="auto" w:sz="0" w:space="0"/>
                <w:lang w:val="en-US"/>
              </w:rPr>
              <w:t>GB/T </w:t>
            </w:r>
            <w:r>
              <w:rPr>
                <w:rFonts w:hint="eastAsia" w:ascii="仿宋_GB2312" w:hAnsi="仿宋_GB2312" w:eastAsia="仿宋_GB2312" w:cs="仿宋_GB2312"/>
                <w:sz w:val="32"/>
                <w:szCs w:val="32"/>
                <w:bdr w:val="none" w:color="auto" w:sz="0" w:space="0"/>
                <w:lang w:eastAsia="zh-TW"/>
              </w:rPr>
              <w:t>5237 </w:t>
            </w:r>
            <w:r>
              <w:rPr>
                <w:rFonts w:hint="eastAsia" w:ascii="仿宋_GB2312" w:hAnsi="仿宋_GB2312" w:eastAsia="仿宋_GB2312" w:cs="仿宋_GB2312"/>
                <w:sz w:val="32"/>
                <w:szCs w:val="32"/>
                <w:bdr w:val="none" w:color="auto" w:sz="0" w:space="0"/>
                <w:lang w:val="en-US"/>
              </w:rPr>
              <w:t>• </w:t>
            </w:r>
            <w:r>
              <w:rPr>
                <w:rFonts w:hint="eastAsia" w:ascii="仿宋_GB2312" w:hAnsi="仿宋_GB2312" w:eastAsia="仿宋_GB2312" w:cs="仿宋_GB2312"/>
                <w:sz w:val="32"/>
                <w:szCs w:val="32"/>
                <w:bdr w:val="none" w:color="auto" w:sz="0" w:space="0"/>
                <w:lang w:eastAsia="zh-TW"/>
              </w:rPr>
              <w:t>2 中 </w:t>
            </w:r>
            <w:r>
              <w:rPr>
                <w:rFonts w:hint="eastAsia" w:ascii="仿宋_GB2312" w:hAnsi="仿宋_GB2312" w:eastAsia="仿宋_GB2312" w:cs="仿宋_GB2312"/>
                <w:sz w:val="32"/>
                <w:szCs w:val="32"/>
                <w:bdr w:val="none" w:color="auto" w:sz="0" w:space="0"/>
                <w:lang w:val="en-US"/>
              </w:rPr>
              <w:t>AA10 </w:t>
            </w:r>
            <w:r>
              <w:rPr>
                <w:rFonts w:hint="eastAsia" w:ascii="仿宋_GB2312" w:hAnsi="仿宋_GB2312" w:eastAsia="仿宋_GB2312" w:cs="仿宋_GB2312"/>
                <w:sz w:val="32"/>
                <w:szCs w:val="32"/>
                <w:bdr w:val="none" w:color="auto" w:sz="0" w:space="0"/>
                <w:lang w:eastAsia="zh-TW"/>
              </w:rPr>
              <w:t>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30"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拱杆</w:t>
            </w:r>
          </w:p>
        </w:tc>
        <w:tc>
          <w:tcPr>
            <w:tcW w:w="3056"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直缝焊管φ</w:t>
            </w:r>
            <w:r>
              <w:rPr>
                <w:rFonts w:hint="eastAsia" w:ascii="仿宋_GB2312" w:hAnsi="仿宋_GB2312" w:eastAsia="仿宋_GB2312" w:cs="仿宋_GB2312"/>
                <w:sz w:val="32"/>
                <w:szCs w:val="32"/>
                <w:bdr w:val="none" w:color="auto" w:sz="0" w:space="0"/>
                <w:lang w:val="en-US"/>
              </w:rPr>
              <w:t>32X1.5/Q235</w:t>
            </w:r>
          </w:p>
        </w:tc>
        <w:tc>
          <w:tcPr>
            <w:tcW w:w="4461"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2"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壁厚偏差</w:t>
            </w:r>
            <w:r>
              <w:rPr>
                <w:rFonts w:hint="eastAsia" w:ascii="仿宋_GB2312" w:hAnsi="仿宋_GB2312" w:eastAsia="仿宋_GB2312" w:cs="仿宋_GB2312"/>
                <w:sz w:val="32"/>
                <w:szCs w:val="32"/>
                <w:bdr w:val="none" w:color="auto" w:sz="0" w:space="0"/>
                <w:lang w:eastAsia="zh-TW"/>
              </w:rPr>
              <w:t>：</w:t>
            </w:r>
            <w:r>
              <w:rPr>
                <w:rFonts w:hint="eastAsia" w:ascii="仿宋_GB2312" w:hAnsi="仿宋_GB2312" w:eastAsia="仿宋_GB2312" w:cs="仿宋_GB2312"/>
                <w:sz w:val="32"/>
                <w:szCs w:val="32"/>
                <w:bdr w:val="none" w:color="auto" w:sz="0" w:space="0"/>
                <w:lang w:val="en-US"/>
              </w:rPr>
              <w:t>1.5-0. </w:t>
            </w:r>
            <w:r>
              <w:rPr>
                <w:rFonts w:hint="eastAsia" w:ascii="仿宋_GB2312" w:hAnsi="仿宋_GB2312" w:eastAsia="仿宋_GB2312" w:cs="仿宋_GB2312"/>
                <w:sz w:val="32"/>
                <w:szCs w:val="32"/>
                <w:bdr w:val="none" w:color="auto" w:sz="0" w:space="0"/>
                <w:lang w:eastAsia="zh-TW"/>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2"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其余同上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吊杆</w:t>
            </w:r>
            <w:r>
              <w:rPr>
                <w:rFonts w:hint="eastAsia" w:ascii="仿宋_GB2312" w:hAnsi="仿宋_GB2312" w:eastAsia="仿宋_GB2312" w:cs="仿宋_GB2312"/>
                <w:sz w:val="32"/>
                <w:szCs w:val="32"/>
                <w:bdr w:val="none" w:color="auto" w:sz="0" w:space="0"/>
                <w:lang w:eastAsia="zh-TW"/>
              </w:rPr>
              <w:t>/</w:t>
            </w:r>
            <w:r>
              <w:rPr>
                <w:rFonts w:hint="eastAsia" w:ascii="仿宋_GB2312" w:hAnsi="仿宋_GB2312" w:eastAsia="仿宋_GB2312" w:cs="仿宋_GB2312"/>
                <w:sz w:val="32"/>
                <w:szCs w:val="32"/>
                <w:bdr w:val="none" w:color="auto" w:sz="0" w:space="0"/>
                <w:lang w:eastAsia="zh-TW"/>
              </w:rPr>
              <w:t>M</w:t>
            </w:r>
            <w:r>
              <w:rPr>
                <w:rFonts w:hint="eastAsia" w:ascii="仿宋_GB2312" w:hAnsi="仿宋_GB2312" w:eastAsia="仿宋_GB2312" w:cs="仿宋_GB2312"/>
                <w:sz w:val="32"/>
                <w:szCs w:val="32"/>
                <w:bdr w:val="none" w:color="auto" w:sz="0" w:space="0"/>
                <w:lang w:eastAsia="zh-CN"/>
              </w:rPr>
              <w:t>撑</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1"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纵杆</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拱杆</w:t>
            </w:r>
            <w:r>
              <w:rPr>
                <w:rFonts w:hint="eastAsia" w:ascii="仿宋_GB2312" w:hAnsi="仿宋_GB2312" w:eastAsia="仿宋_GB2312" w:cs="仿宋_GB2312"/>
                <w:sz w:val="32"/>
                <w:szCs w:val="32"/>
                <w:bdr w:val="none" w:color="auto" w:sz="0" w:space="0"/>
                <w:lang w:eastAsia="zh-TW"/>
              </w:rPr>
              <w:t>连接管</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直缝焊管φ</w:t>
            </w:r>
            <w:r>
              <w:rPr>
                <w:rFonts w:hint="eastAsia" w:ascii="仿宋_GB2312" w:hAnsi="仿宋_GB2312" w:eastAsia="仿宋_GB2312" w:cs="仿宋_GB2312"/>
                <w:sz w:val="32"/>
                <w:szCs w:val="32"/>
                <w:bdr w:val="none" w:color="auto" w:sz="0" w:space="0"/>
                <w:lang w:val="en-US"/>
              </w:rPr>
              <w:t>37X1.5/Q235</w:t>
            </w: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水平八字撑</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直缝焊管φ</w:t>
            </w:r>
            <w:r>
              <w:rPr>
                <w:rFonts w:hint="eastAsia" w:ascii="仿宋_GB2312" w:hAnsi="仿宋_GB2312" w:eastAsia="仿宋_GB2312" w:cs="仿宋_GB2312"/>
                <w:sz w:val="32"/>
                <w:szCs w:val="32"/>
                <w:bdr w:val="none" w:color="auto" w:sz="0" w:space="0"/>
                <w:lang w:val="en-US"/>
              </w:rPr>
              <w:t>42X2.5/Q235</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壁厚偏差</w:t>
            </w:r>
            <w:r>
              <w:rPr>
                <w:rFonts w:hint="eastAsia" w:ascii="仿宋_GB2312" w:hAnsi="仿宋_GB2312" w:eastAsia="仿宋_GB2312" w:cs="仿宋_GB2312"/>
                <w:sz w:val="32"/>
                <w:szCs w:val="32"/>
                <w:bdr w:val="none" w:color="auto" w:sz="0" w:space="0"/>
                <w:lang w:eastAsia="zh-TW"/>
              </w:rPr>
              <w:t>：</w:t>
            </w:r>
            <w:r>
              <w:rPr>
                <w:rFonts w:hint="eastAsia" w:ascii="仿宋_GB2312" w:hAnsi="仿宋_GB2312" w:eastAsia="仿宋_GB2312" w:cs="仿宋_GB2312"/>
                <w:sz w:val="32"/>
                <w:szCs w:val="32"/>
                <w:bdr w:val="none" w:color="auto" w:sz="0" w:space="0"/>
                <w:lang w:val="en-US"/>
              </w:rPr>
              <w:t>2.5-0. </w:t>
            </w:r>
            <w:r>
              <w:rPr>
                <w:rFonts w:hint="eastAsia" w:ascii="仿宋_GB2312" w:hAnsi="仿宋_GB2312" w:eastAsia="仿宋_GB2312" w:cs="仿宋_GB2312"/>
                <w:sz w:val="32"/>
                <w:szCs w:val="32"/>
                <w:bdr w:val="none" w:color="auto" w:sz="0" w:space="0"/>
                <w:lang w:eastAsia="zh-TW"/>
              </w:rPr>
              <w:t>1其余同上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卷膜杆</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直缝焊管φ</w:t>
            </w:r>
            <w:r>
              <w:rPr>
                <w:rFonts w:hint="eastAsia" w:ascii="仿宋_GB2312" w:hAnsi="仿宋_GB2312" w:eastAsia="仿宋_GB2312" w:cs="仿宋_GB2312"/>
                <w:sz w:val="32"/>
                <w:szCs w:val="32"/>
                <w:bdr w:val="none" w:color="auto" w:sz="0" w:space="0"/>
                <w:lang w:val="en-US"/>
              </w:rPr>
              <w:t>22X1. 2/Q235</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钢管壁厚偏差:</w:t>
            </w:r>
            <w:r>
              <w:rPr>
                <w:rFonts w:hint="eastAsia" w:ascii="仿宋_GB2312" w:hAnsi="仿宋_GB2312" w:eastAsia="仿宋_GB2312" w:cs="仿宋_GB2312"/>
                <w:sz w:val="32"/>
                <w:szCs w:val="32"/>
                <w:bdr w:val="none" w:color="auto" w:sz="0" w:space="0"/>
                <w:lang w:val="en-US"/>
              </w:rPr>
              <w:t>1.2-0. </w:t>
            </w:r>
            <w:r>
              <w:rPr>
                <w:rFonts w:hint="eastAsia" w:ascii="仿宋_GB2312" w:hAnsi="仿宋_GB2312" w:eastAsia="仿宋_GB2312" w:cs="仿宋_GB2312"/>
                <w:sz w:val="32"/>
                <w:szCs w:val="32"/>
                <w:bdr w:val="none" w:color="auto" w:sz="0" w:space="0"/>
                <w:lang w:eastAsia="zh-TW"/>
              </w:rPr>
              <w:t>10 其余同上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加强型</w:t>
            </w:r>
            <w:r>
              <w:rPr>
                <w:rFonts w:hint="eastAsia" w:ascii="仿宋_GB2312" w:hAnsi="仿宋_GB2312" w:eastAsia="仿宋_GB2312" w:cs="仿宋_GB2312"/>
                <w:sz w:val="32"/>
                <w:szCs w:val="32"/>
                <w:bdr w:val="none" w:color="auto" w:sz="0" w:space="0"/>
                <w:lang w:eastAsia="zh-TW"/>
              </w:rPr>
              <w:t>天沟</w:t>
            </w:r>
          </w:p>
        </w:tc>
        <w:tc>
          <w:tcPr>
            <w:tcW w:w="3056"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热轧钢板</w:t>
            </w:r>
            <w:r>
              <w:rPr>
                <w:rFonts w:hint="eastAsia" w:ascii="仿宋_GB2312" w:hAnsi="仿宋_GB2312" w:eastAsia="仿宋_GB2312" w:cs="仿宋_GB2312"/>
                <w:sz w:val="32"/>
                <w:szCs w:val="32"/>
                <w:bdr w:val="none" w:color="auto" w:sz="0" w:space="0"/>
                <w:lang w:val="en-US"/>
              </w:rPr>
              <w:t>2.5/SGH340/440</w:t>
            </w:r>
          </w:p>
        </w:tc>
        <w:tc>
          <w:tcPr>
            <w:tcW w:w="4461"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天沟结构详见安徽省温室建造协会温室建造标准</w:t>
            </w:r>
            <w:r>
              <w:rPr>
                <w:rFonts w:hint="eastAsia" w:ascii="仿宋_GB2312" w:hAnsi="仿宋_GB2312" w:eastAsia="仿宋_GB2312" w:cs="仿宋_GB2312"/>
                <w:sz w:val="32"/>
                <w:szCs w:val="32"/>
                <w:bdr w:val="none" w:color="auto" w:sz="0" w:space="0"/>
                <w:lang w:eastAsia="zh-TW"/>
              </w:rPr>
              <w:t>材质符合</w:t>
            </w:r>
            <w:r>
              <w:rPr>
                <w:rFonts w:hint="eastAsia" w:ascii="仿宋_GB2312" w:hAnsi="仿宋_GB2312" w:eastAsia="仿宋_GB2312" w:cs="仿宋_GB2312"/>
                <w:sz w:val="32"/>
                <w:szCs w:val="32"/>
                <w:bdr w:val="none" w:color="auto" w:sz="0" w:space="0"/>
                <w:lang w:val="en-US"/>
              </w:rPr>
              <w:t>GB/T </w:t>
            </w:r>
            <w:r>
              <w:rPr>
                <w:rFonts w:hint="eastAsia" w:ascii="仿宋_GB2312" w:hAnsi="仿宋_GB2312" w:eastAsia="仿宋_GB2312" w:cs="仿宋_GB2312"/>
                <w:sz w:val="32"/>
                <w:szCs w:val="32"/>
                <w:bdr w:val="none" w:color="auto" w:sz="0" w:space="0"/>
                <w:lang w:eastAsia="zh-TW"/>
              </w:rPr>
              <w:t>700,厚度偏差：</w:t>
            </w:r>
            <w:r>
              <w:rPr>
                <w:rFonts w:hint="eastAsia" w:ascii="仿宋_GB2312" w:hAnsi="仿宋_GB2312" w:eastAsia="仿宋_GB2312" w:cs="仿宋_GB2312"/>
                <w:sz w:val="32"/>
                <w:szCs w:val="32"/>
                <w:bdr w:val="none" w:color="auto" w:sz="0" w:space="0"/>
                <w:lang w:val="en-US"/>
              </w:rPr>
              <w:t>2.5+0. </w:t>
            </w:r>
            <w:r>
              <w:rPr>
                <w:rFonts w:hint="eastAsia" w:ascii="仿宋_GB2312" w:hAnsi="仿宋_GB2312" w:eastAsia="仿宋_GB2312" w:cs="仿宋_GB2312"/>
                <w:sz w:val="32"/>
                <w:szCs w:val="32"/>
                <w:bdr w:val="none" w:color="auto" w:sz="0" w:space="0"/>
                <w:lang w:eastAsia="zh-TW"/>
              </w:rPr>
              <w:t>5, </w:t>
            </w:r>
            <w:r>
              <w:rPr>
                <w:rFonts w:hint="eastAsia" w:ascii="仿宋_GB2312" w:hAnsi="仿宋_GB2312" w:eastAsia="仿宋_GB2312" w:cs="仿宋_GB2312"/>
                <w:sz w:val="32"/>
                <w:szCs w:val="32"/>
                <w:bdr w:val="none" w:color="auto" w:sz="0" w:space="0"/>
                <w:lang w:eastAsia="zh-CN"/>
              </w:rPr>
              <w:t>锌层</w:t>
            </w:r>
            <w:r>
              <w:rPr>
                <w:rFonts w:hint="eastAsia" w:ascii="仿宋_GB2312" w:hAnsi="仿宋_GB2312" w:eastAsia="仿宋_GB2312" w:cs="仿宋_GB2312"/>
                <w:sz w:val="32"/>
                <w:szCs w:val="32"/>
                <w:bdr w:val="none" w:color="auto" w:sz="0" w:space="0"/>
                <w:lang w:eastAsia="zh-TW"/>
              </w:rPr>
              <w:t>厚度≥275g/</w:t>
            </w:r>
            <w:r>
              <w:rPr>
                <w:rFonts w:hint="eastAsia" w:ascii="仿宋_GB2312" w:hAnsi="仿宋_GB2312" w:eastAsia="仿宋_GB2312" w:cs="仿宋_GB2312"/>
                <w:sz w:val="32"/>
                <w:szCs w:val="32"/>
                <w:bdr w:val="none" w:color="auto" w:sz="0" w:space="0"/>
                <w:lang w:eastAsia="zh-CN"/>
              </w:rPr>
              <w:t>㎡</w:t>
            </w:r>
            <w:r>
              <w:rPr>
                <w:rFonts w:hint="eastAsia" w:ascii="仿宋_GB2312" w:hAnsi="仿宋_GB2312" w:eastAsia="仿宋_GB2312" w:cs="仿宋_GB2312"/>
                <w:sz w:val="32"/>
                <w:szCs w:val="32"/>
                <w:bdr w:val="none" w:color="auto" w:sz="0" w:space="0"/>
                <w:lang w:eastAsia="zh-TW"/>
              </w:rPr>
              <w:t>,表面镀锌层质量符合</w:t>
            </w:r>
            <w:r>
              <w:rPr>
                <w:rFonts w:hint="eastAsia" w:ascii="仿宋_GB2312" w:hAnsi="仿宋_GB2312" w:eastAsia="仿宋_GB2312" w:cs="仿宋_GB2312"/>
                <w:sz w:val="32"/>
                <w:szCs w:val="32"/>
                <w:bdr w:val="none" w:color="auto" w:sz="0" w:space="0"/>
                <w:lang w:val="en-US"/>
              </w:rPr>
              <w:t>GB/T</w:t>
            </w:r>
            <w:r>
              <w:rPr>
                <w:rFonts w:hint="eastAsia" w:ascii="仿宋_GB2312" w:hAnsi="仿宋_GB2312" w:eastAsia="仿宋_GB2312" w:cs="仿宋_GB2312"/>
                <w:sz w:val="32"/>
                <w:szCs w:val="32"/>
                <w:bdr w:val="none" w:color="auto" w:sz="0" w:space="0"/>
                <w:lang w:eastAsia="zh-TW"/>
              </w:rPr>
              <w:t>13912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1"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CN"/>
              </w:rPr>
              <w:t>落水斗</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8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天沟拱托架</w:t>
            </w:r>
          </w:p>
        </w:tc>
        <w:tc>
          <w:tcPr>
            <w:tcW w:w="3056"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c>
          <w:tcPr>
            <w:tcW w:w="4461"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0"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门滑道槽</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热镀锌薄钢板</w:t>
            </w:r>
            <w:r>
              <w:rPr>
                <w:rFonts w:hint="eastAsia" w:ascii="仿宋_GB2312" w:hAnsi="仿宋_GB2312" w:eastAsia="仿宋_GB2312" w:cs="仿宋_GB2312"/>
                <w:sz w:val="32"/>
                <w:szCs w:val="32"/>
                <w:bdr w:val="none" w:color="auto" w:sz="0" w:space="0"/>
                <w:lang w:val="en-US"/>
              </w:rPr>
              <w:t>2/DX51D+Z</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厚度偏差：</w:t>
            </w:r>
            <w:r>
              <w:rPr>
                <w:rFonts w:hint="eastAsia" w:ascii="仿宋_GB2312" w:hAnsi="仿宋_GB2312" w:eastAsia="仿宋_GB2312" w:cs="仿宋_GB2312"/>
                <w:sz w:val="32"/>
                <w:szCs w:val="32"/>
                <w:bdr w:val="none" w:color="auto" w:sz="0" w:space="0"/>
                <w:lang w:val="en-US"/>
              </w:rPr>
              <w:t>2.0-0. </w:t>
            </w:r>
            <w:r>
              <w:rPr>
                <w:rFonts w:hint="eastAsia" w:ascii="仿宋_GB2312" w:hAnsi="仿宋_GB2312" w:eastAsia="仿宋_GB2312" w:cs="仿宋_GB2312"/>
                <w:sz w:val="32"/>
                <w:szCs w:val="32"/>
                <w:bdr w:val="none" w:color="auto" w:sz="0" w:space="0"/>
                <w:lang w:eastAsia="zh-TW"/>
              </w:rPr>
              <w:t>15,</w:t>
            </w:r>
            <w:r>
              <w:rPr>
                <w:rFonts w:hint="eastAsia" w:ascii="仿宋_GB2312" w:hAnsi="仿宋_GB2312" w:eastAsia="仿宋_GB2312" w:cs="仿宋_GB2312"/>
                <w:spacing w:val="30"/>
                <w:sz w:val="32"/>
                <w:szCs w:val="32"/>
                <w:bdr w:val="none" w:color="auto" w:sz="0" w:space="0"/>
                <w:lang w:eastAsia="zh-TW"/>
              </w:rPr>
              <w:t>镀层重量大于等于</w:t>
            </w:r>
            <w:r>
              <w:rPr>
                <w:rFonts w:hint="eastAsia" w:ascii="仿宋_GB2312" w:hAnsi="仿宋_GB2312" w:eastAsia="仿宋_GB2312" w:cs="仿宋_GB2312"/>
                <w:sz w:val="32"/>
                <w:szCs w:val="32"/>
                <w:bdr w:val="none" w:color="auto" w:sz="0" w:space="0"/>
                <w:lang w:val="en-US"/>
              </w:rPr>
              <w:t>180g/m</w:t>
            </w:r>
            <w:r>
              <w:rPr>
                <w:rFonts w:hint="eastAsia" w:ascii="仿宋_GB2312" w:hAnsi="仿宋_GB2312" w:eastAsia="仿宋_GB2312" w:cs="仿宋_GB2312"/>
                <w:sz w:val="32"/>
                <w:szCs w:val="32"/>
                <w:bdr w:val="none" w:color="auto" w:sz="0" w:space="0"/>
                <w:vertAlign w:val="superscript"/>
                <w:lang w:val="en-US"/>
              </w:rPr>
              <w:t>2</w:t>
            </w:r>
            <w:r>
              <w:rPr>
                <w:rFonts w:hint="eastAsia" w:ascii="仿宋_GB2312" w:hAnsi="仿宋_GB2312" w:eastAsia="仿宋_GB2312" w:cs="仿宋_GB2312"/>
                <w:sz w:val="32"/>
                <w:szCs w:val="32"/>
                <w:bdr w:val="none" w:color="auto" w:sz="0" w:space="0"/>
                <w:lang w:eastAsia="zh-TW"/>
              </w:rPr>
              <w:t>，</w:t>
            </w:r>
            <w:r>
              <w:rPr>
                <w:rFonts w:hint="eastAsia" w:ascii="仿宋_GB2312" w:hAnsi="仿宋_GB2312" w:eastAsia="仿宋_GB2312" w:cs="仿宋_GB2312"/>
                <w:sz w:val="32"/>
                <w:szCs w:val="32"/>
                <w:bdr w:val="none" w:color="auto" w:sz="0" w:space="0"/>
                <w:lang w:eastAsia="zh-TW"/>
              </w:rPr>
              <w:t>镀锌层厚度多</w:t>
            </w:r>
            <w:r>
              <w:rPr>
                <w:rFonts w:hint="eastAsia" w:ascii="仿宋_GB2312" w:hAnsi="仿宋_GB2312" w:eastAsia="仿宋_GB2312" w:cs="仿宋_GB2312"/>
                <w:sz w:val="32"/>
                <w:szCs w:val="32"/>
                <w:bdr w:val="none" w:color="auto" w:sz="0" w:space="0"/>
                <w:lang w:eastAsia="zh-CN"/>
              </w:rPr>
              <w:t>0. </w:t>
            </w:r>
            <w:r>
              <w:rPr>
                <w:rFonts w:hint="eastAsia" w:ascii="仿宋_GB2312" w:hAnsi="仿宋_GB2312" w:eastAsia="仿宋_GB2312" w:cs="仿宋_GB2312"/>
                <w:sz w:val="32"/>
                <w:szCs w:val="32"/>
                <w:bdr w:val="none" w:color="auto" w:sz="0" w:space="0"/>
                <w:lang w:eastAsia="zh-TW"/>
              </w:rPr>
              <w:t>026,表面质量符合</w:t>
            </w:r>
            <w:r>
              <w:rPr>
                <w:rFonts w:hint="eastAsia" w:ascii="仿宋_GB2312" w:hAnsi="仿宋_GB2312" w:eastAsia="仿宋_GB2312" w:cs="仿宋_GB2312"/>
                <w:sz w:val="32"/>
                <w:szCs w:val="32"/>
                <w:bdr w:val="none" w:color="auto" w:sz="0" w:space="0"/>
                <w:lang w:val="en-US"/>
              </w:rPr>
              <w:t>GB2518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1"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托板</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热镀锌薄钢板</w:t>
            </w:r>
            <w:r>
              <w:rPr>
                <w:rFonts w:hint="eastAsia" w:ascii="仿宋_GB2312" w:hAnsi="仿宋_GB2312" w:eastAsia="仿宋_GB2312" w:cs="仿宋_GB2312"/>
                <w:sz w:val="32"/>
                <w:szCs w:val="32"/>
                <w:bdr w:val="none" w:color="auto" w:sz="0" w:space="0"/>
                <w:lang w:val="en-US"/>
              </w:rPr>
              <w:t>1/DX51D+Z</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厚度偏差:</w:t>
            </w:r>
            <w:r>
              <w:rPr>
                <w:rFonts w:hint="eastAsia" w:ascii="仿宋_GB2312" w:hAnsi="仿宋_GB2312" w:eastAsia="仿宋_GB2312" w:cs="仿宋_GB2312"/>
                <w:sz w:val="32"/>
                <w:szCs w:val="32"/>
                <w:bdr w:val="none" w:color="auto" w:sz="0" w:space="0"/>
                <w:lang w:val="en-US"/>
              </w:rPr>
              <w:t>1.0-0. </w:t>
            </w:r>
            <w:r>
              <w:rPr>
                <w:rFonts w:hint="eastAsia" w:ascii="仿宋_GB2312" w:hAnsi="仿宋_GB2312" w:eastAsia="仿宋_GB2312" w:cs="仿宋_GB2312"/>
                <w:sz w:val="32"/>
                <w:szCs w:val="32"/>
                <w:bdr w:val="none" w:color="auto" w:sz="0" w:space="0"/>
                <w:lang w:eastAsia="zh-TW"/>
              </w:rPr>
              <w:t>08,其余同上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防风卡槽</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铝合金型材</w:t>
            </w:r>
            <w:r>
              <w:rPr>
                <w:rFonts w:hint="eastAsia" w:ascii="仿宋_GB2312" w:hAnsi="仿宋_GB2312" w:eastAsia="仿宋_GB2312" w:cs="仿宋_GB2312"/>
                <w:sz w:val="32"/>
                <w:szCs w:val="32"/>
                <w:bdr w:val="none" w:color="auto" w:sz="0" w:space="0"/>
                <w:lang w:val="en-US"/>
              </w:rPr>
              <w:t>1.2/6063-T5</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化学成分、力学性能、尺寸允许偏差和外观质 量符合</w:t>
            </w:r>
            <w:r>
              <w:rPr>
                <w:rFonts w:hint="eastAsia" w:ascii="仿宋_GB2312" w:hAnsi="仿宋_GB2312" w:eastAsia="仿宋_GB2312" w:cs="仿宋_GB2312"/>
                <w:sz w:val="32"/>
                <w:szCs w:val="32"/>
                <w:bdr w:val="none" w:color="auto" w:sz="0" w:space="0"/>
                <w:lang w:val="en-US"/>
              </w:rPr>
              <w:t>GB/T </w:t>
            </w:r>
            <w:r>
              <w:rPr>
                <w:rFonts w:hint="eastAsia" w:ascii="仿宋_GB2312" w:hAnsi="仿宋_GB2312" w:eastAsia="仿宋_GB2312" w:cs="仿宋_GB2312"/>
                <w:sz w:val="32"/>
                <w:szCs w:val="32"/>
                <w:bdr w:val="none" w:color="auto" w:sz="0" w:space="0"/>
                <w:lang w:eastAsia="zh-TW"/>
              </w:rPr>
              <w:t>5237 </w:t>
            </w:r>
            <w:r>
              <w:rPr>
                <w:rFonts w:hint="eastAsia" w:ascii="仿宋_GB2312" w:hAnsi="仿宋_GB2312" w:eastAsia="仿宋_GB2312" w:cs="仿宋_GB2312"/>
                <w:sz w:val="32"/>
                <w:szCs w:val="32"/>
                <w:bdr w:val="none" w:color="auto" w:sz="0" w:space="0"/>
                <w:lang w:val="en-US"/>
              </w:rPr>
              <w:t>• </w:t>
            </w:r>
            <w:r>
              <w:rPr>
                <w:rFonts w:hint="eastAsia" w:ascii="仿宋_GB2312" w:hAnsi="仿宋_GB2312" w:eastAsia="仿宋_GB2312" w:cs="仿宋_GB2312"/>
                <w:sz w:val="32"/>
                <w:szCs w:val="32"/>
                <w:bdr w:val="none" w:color="auto" w:sz="0" w:space="0"/>
                <w:lang w:eastAsia="zh-TW"/>
              </w:rPr>
              <w:t>1,表面阳极氧化膜质量 符合 </w:t>
            </w:r>
            <w:r>
              <w:rPr>
                <w:rFonts w:hint="eastAsia" w:ascii="仿宋_GB2312" w:hAnsi="仿宋_GB2312" w:eastAsia="仿宋_GB2312" w:cs="仿宋_GB2312"/>
                <w:sz w:val="32"/>
                <w:szCs w:val="32"/>
                <w:bdr w:val="none" w:color="auto" w:sz="0" w:space="0"/>
                <w:lang w:val="en-US"/>
              </w:rPr>
              <w:t>GB/T </w:t>
            </w:r>
            <w:r>
              <w:rPr>
                <w:rFonts w:hint="eastAsia" w:ascii="仿宋_GB2312" w:hAnsi="仿宋_GB2312" w:eastAsia="仿宋_GB2312" w:cs="仿宋_GB2312"/>
                <w:sz w:val="32"/>
                <w:szCs w:val="32"/>
                <w:bdr w:val="none" w:color="auto" w:sz="0" w:space="0"/>
                <w:lang w:eastAsia="zh-TW"/>
              </w:rPr>
              <w:t>5237 </w:t>
            </w:r>
            <w:r>
              <w:rPr>
                <w:rFonts w:hint="eastAsia" w:ascii="仿宋_GB2312" w:hAnsi="仿宋_GB2312" w:eastAsia="仿宋_GB2312" w:cs="仿宋_GB2312"/>
                <w:sz w:val="32"/>
                <w:szCs w:val="32"/>
                <w:bdr w:val="none" w:color="auto" w:sz="0" w:space="0"/>
                <w:lang w:val="en-US"/>
              </w:rPr>
              <w:t>• </w:t>
            </w:r>
            <w:r>
              <w:rPr>
                <w:rFonts w:hint="eastAsia" w:ascii="仿宋_GB2312" w:hAnsi="仿宋_GB2312" w:eastAsia="仿宋_GB2312" w:cs="仿宋_GB2312"/>
                <w:sz w:val="32"/>
                <w:szCs w:val="32"/>
                <w:bdr w:val="none" w:color="auto" w:sz="0" w:space="0"/>
                <w:lang w:eastAsia="zh-TW"/>
              </w:rPr>
              <w:t>2 中 </w:t>
            </w:r>
            <w:r>
              <w:rPr>
                <w:rFonts w:hint="eastAsia" w:ascii="仿宋_GB2312" w:hAnsi="仿宋_GB2312" w:eastAsia="仿宋_GB2312" w:cs="仿宋_GB2312"/>
                <w:sz w:val="32"/>
                <w:szCs w:val="32"/>
                <w:bdr w:val="none" w:color="auto" w:sz="0" w:space="0"/>
                <w:lang w:val="en-US"/>
              </w:rPr>
              <w:t>M10 </w:t>
            </w:r>
            <w:r>
              <w:rPr>
                <w:rFonts w:hint="eastAsia" w:ascii="仿宋_GB2312" w:hAnsi="仿宋_GB2312" w:eastAsia="仿宋_GB2312" w:cs="仿宋_GB2312"/>
                <w:sz w:val="32"/>
                <w:szCs w:val="32"/>
                <w:bdr w:val="none" w:color="auto" w:sz="0" w:space="0"/>
                <w:lang w:eastAsia="zh-TW"/>
              </w:rPr>
              <w:t>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1978"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卡簧</w:t>
            </w:r>
          </w:p>
        </w:tc>
        <w:tc>
          <w:tcPr>
            <w:tcW w:w="3056"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油淬火碳素弹簧钢丝</w:t>
            </w:r>
            <w:r>
              <w:rPr>
                <w:rFonts w:hint="eastAsia" w:ascii="仿宋_GB2312" w:hAnsi="仿宋_GB2312" w:eastAsia="仿宋_GB2312" w:cs="仿宋_GB2312"/>
                <w:sz w:val="32"/>
                <w:szCs w:val="32"/>
                <w:bdr w:val="none" w:color="auto" w:sz="0" w:space="0"/>
                <w:lang w:val="en-US"/>
              </w:rPr>
              <w:t>4) 2.5-65Mn</w:t>
            </w:r>
          </w:p>
        </w:tc>
        <w:tc>
          <w:tcPr>
            <w:tcW w:w="4461"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bdr w:val="none" w:color="auto" w:sz="0" w:space="0"/>
                <w:lang w:eastAsia="zh-TW"/>
              </w:rPr>
              <w:t>符合 </w:t>
            </w:r>
            <w:r>
              <w:rPr>
                <w:rFonts w:hint="eastAsia" w:ascii="仿宋_GB2312" w:hAnsi="仿宋_GB2312" w:eastAsia="仿宋_GB2312" w:cs="仿宋_GB2312"/>
                <w:sz w:val="32"/>
                <w:szCs w:val="32"/>
                <w:bdr w:val="none" w:color="auto" w:sz="0" w:space="0"/>
                <w:lang w:val="en-US"/>
              </w:rPr>
              <w:t>GB/T 4360-1989</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GSW8430连栋塑料温室规格及技术要求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一、GSW8430型连栋温室主要技术要求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1、结构参数: 顶高H=5.2m 跨度b=8m开间 a=4m肩高h=3m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标准温室宽度B=8X5=40m标准温室长度L=4X10=40m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2、性能参数：风荷载≥0.55kN/m</w:t>
      </w:r>
      <w:r>
        <w:rPr>
          <w:rFonts w:hint="eastAsia" w:ascii="仿宋_GB2312" w:hAnsi="仿宋_GB2312" w:eastAsia="仿宋_GB2312" w:cs="仿宋_GB2312"/>
          <w:b w:val="0"/>
          <w:i w:val="0"/>
          <w:caps w:val="0"/>
          <w:color w:val="333333"/>
          <w:spacing w:val="0"/>
          <w:sz w:val="32"/>
          <w:szCs w:val="32"/>
          <w:bdr w:val="none" w:color="auto" w:sz="0" w:space="0"/>
          <w:shd w:val="clear" w:fill="FFFFFF"/>
          <w:vertAlign w:val="superscript"/>
          <w:lang w:eastAsia="zh-CN"/>
        </w:rPr>
        <w:t>2 </w:t>
      </w: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雪荷载≥0.20 kN/m</w:t>
      </w:r>
      <w:r>
        <w:rPr>
          <w:rFonts w:hint="eastAsia" w:ascii="仿宋_GB2312" w:hAnsi="仿宋_GB2312" w:eastAsia="仿宋_GB2312" w:cs="仿宋_GB2312"/>
          <w:b w:val="0"/>
          <w:i w:val="0"/>
          <w:caps w:val="0"/>
          <w:color w:val="333333"/>
          <w:spacing w:val="0"/>
          <w:sz w:val="32"/>
          <w:szCs w:val="32"/>
          <w:bdr w:val="none" w:color="auto" w:sz="0" w:space="0"/>
          <w:shd w:val="clear" w:fill="FFFFFF"/>
          <w:vertAlign w:val="superscript"/>
          <w:lang w:eastAsia="zh-CN"/>
        </w:rPr>
        <w:t>2 </w:t>
      </w: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最大排水量&gt;140mm/h</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作物载荷≥0.15 kN/m</w:t>
      </w:r>
      <w:r>
        <w:rPr>
          <w:rFonts w:hint="eastAsia" w:ascii="仿宋_GB2312" w:hAnsi="仿宋_GB2312" w:eastAsia="仿宋_GB2312" w:cs="仿宋_GB2312"/>
          <w:b w:val="0"/>
          <w:i w:val="0"/>
          <w:caps w:val="0"/>
          <w:color w:val="333333"/>
          <w:spacing w:val="0"/>
          <w:sz w:val="32"/>
          <w:szCs w:val="32"/>
          <w:bdr w:val="none" w:color="auto" w:sz="0" w:space="0"/>
          <w:shd w:val="clear" w:fill="FFFFFF"/>
          <w:vertAlign w:val="superscript"/>
          <w:lang w:eastAsia="zh-CN"/>
        </w:rPr>
        <w:t>2</w:t>
      </w: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   温室主体结构设计使用年限&gt;15年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3、标准温室排列：屋脊为南北走向  南北长：4m X 10间=40m  东西宽：8mX5跨=40m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二、温室的组成部分及技术要求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GSW8430温室主要由土建部分、主体钢结构、手动卷膜天窗、 手动卷膜侧窗、外遮阳系统、内保温幕帘系统、雨水排放系统、道路、门、覆 盖材料、电控系统等组成。各部分技术要求如下：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1、土建部分：由独立基础、挡土墙、散水坡组成。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温室基础宜采用现浇的钢筋混凝土独立基础，一般基础承台尺寸为800mm*800mm,承台内配钢架网片，采用φ12螺纹钢，间距150mm,成井字形布置，承台高度为250mm；承台上独立基础尺寸为200mm*200mm*600mm高，基础总深度为800mm，钢筋笼采用4根φ12螺纹钢制作，箍筋为φ6.5圆钢，间距150mm；立柱连接螺栓应预埋在基础桩内，并与基础短柱钢筋焊接。 当采用现浇混凝土基础施工时，施工质量应符合NY/T1145的有关规定。四周为200mm高240mm宽的砖砌挡土墙，当有管线要穿过圈梁时应预留孔洞，不允许现场再凿洞。混凝土强度等级不得低于 C20。根据具体现场土质情况需稍作调整，保证基础承载力不低于80Kpa。基础桩顶面位于标髙地平面 以上200mm± 10,沿天沟方向排列的每列基础粧通过调整其顶面髙度，天沟应按双向坡度安装，坡度为2.5%。，中间处为最髙。基础坑尺寸为800X800X900mm，坑底部应夯实，用碎石做垫层，厚度不小于100mm，基础坑的底面标髙允许偏差为-50m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预埋立柱连接螺栓为两个M16 X 350mm,两头带弯钩钢筋与钢筋笼钢筋焊合。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温室基础的施工符合NY/T 1145规定的施工要求。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四周挡土墙尺寸为200X240mm，砖砌结构，两面抹灰处理。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四周有散水坡。散水坡宽度为500mm，厚度为50mm，C20 砼浇制。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2、主体钢结构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温室框架由立柱、天沟、横梁、拱杆、纵梁等组成。 所有型钢金属材料宜采用牌号Q235的碳素结构钢，表面进行热浸镀锌防腐。当采用其它牌号的材质时，应符合相关标准的要求。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立柱：采用100X60X3mm矩形管。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拱杆：采用φ32X1.5mm直缝焊管经热浸镀锌处理，(拱杆间距为lm)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天沟：采用S=2.5mm镀锌钢板成型，材质为SGH340/440，锌层厚度≥275g/㎡。</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天沟拱杆托架：采用S=2.5mm镀锌钢板成型。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天沟加强板：采用S=2.5mm镀锌钢板成型，每条天沟布置三个，间距1m，与拱杆连接板一起螺栓固定。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顶纵杆：采用φ32X1.5mm直缝焊管经热浸镀锌处理，三道纵杆。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水平拉杆：采用60X40X2mm矩形管。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端横梁：采用60X40X2mm矩形管。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端面副立柱：采用60X40X2mm矩形管。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侧横梁：采用60X40X2mm矩形管。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侧面副立柱：采用60X40X2mm矩形管。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端面加强横梁：采用60X40X2mm矩形管。长度为8m，固定于端面立柱内侧。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外遮阳横纵梁：采用50X50X2mm矩形管。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外遮阳端面横梁：采用70X50X2mm矩形管。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外遮阳立柱：采用50X50X2mm矩形管。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框架及外遮阳水平八字撑：φ42X2.5mm直缝焊管。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外遮阳横梁八字撑：φ32X1.5mm直缝焊管。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立柱剪刀撑：采用φ12mm热镀锌圆钢，配置安装M14花兰 螺旋扣可调节。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立柱剪刀撑上下横梁：采用60X40X2mm矩形管。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外遮阳剪刀撑：采用φ10mm热镀锌圆钢，配置安装M12花兰螺旋扣可调节。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卷膜杆：采用φ22X1.2mm直缝焊管经热浸镀锌。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防风卡槽：采用S&gt;l.2mm铝合金型材6063-T5 (LD31RCS)。</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受力部件的联接必须采用对穿螺栓固定。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3、门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GSW8430温室的一端山墙面装有2樘尺寸为2100mm(宽）X 2200mm (高）的移门。移门由铝合金型材制作，采用厚度为6mm的PC中空 板作芯板，悬挂式安装，上有滑道，下有导向轨道。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4、通风系统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温室四周立面应装有手动卷膜侧窗，侧窗内侧装有密度为25 目（或32目）防虫网，卷膜髙度为1.8m。温室每跨屋面沿天沟 长度方向应安装2条手动或者电动卷膜天窗，卷膜开度为1. 2m，每条卷膜天窗一端配有卷膜器和导向支撑杆。立面卷膜装有金属压膜杆，配有密度为25 目（或32目）防虫网。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5、内保温幕帘系统（选配）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GSW8430温室装有采用A型齿轮齿条传动系统的保温幕帘系统。保温幕帘系统水平安装于温室水平拉杆平面上；安装传动轴的水平横梁应加装水平八字拉筋加固。系统各构件规格及要求如下：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传动轴采用φ33.5X3.25mm热镀锌钢管，动膜杆采用专用铝合金驱动边型材，推拉杆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为φ32 X 1.5mm热镀锌。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齿条间距≤4m，行程3.8米。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选用铝箔式保温幕，寿命&gt;5年。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采用聚酯型托压膜线。托膜线间距0.5m，压膜线间距lm。山墙端固定托压膜线横梁采用60X40X2mm矩形钢管。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水平八字撑拉筋采用钢丝绳固定。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选用国产减速机组，要求电机功率为≥0.55kW，速比为1: 300 或 1: 500。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6、外遮阳系统（选配）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外遮阳系统外遮阳系统安装在温室顶部，用于夏天遮光保 护作物生长系统，主要由金属网架、遮阳网、传动系统等组成。</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textAlignment w:val="bottom"/>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1" w:lineRule="atLeast"/>
        <w:ind w:left="0" w:right="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金属网架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textAlignment w:val="bottom"/>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采用钢结构组成的外遮阳金属网架由外遮阳立柱、中间横梁、 外遮阳纵梁、托压网线固定梁、外遮阳斜撑等组成。遮阳立柱与中间横梁采用50X50X2腿矩形管，外遮阳纵梁采用50X50X2mm矩形管，位于两端的托压网线固定梁采用70X50X2mm矩形管。 外遮阳端面横梁水平八字撑采用φ42X2.5mm直缝焊管，纵向外遮阳立柱之间的斜拉筋采 用φ10mm热镀锌圆钢。</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textAlignment w:val="bottom"/>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1" w:lineRule="atLeast"/>
        <w:ind w:left="0" w:right="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遮阳网</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textAlignment w:val="bottom"/>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采用圆丝黑网，遮阳率≥70%。托压膜线为防紫外线的黑色 UV聚酯线。压膜线间距lm，托膜线间距0.5m，寿命彡5年。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•传动装置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采用齿轮齿条传动系统实现遮阳网的启闭。传动轴为φ33. 5 X 3.25mm热镀锌钢管，国产减速机组配A型齿轮齿条，齿条间距≤4m，行程3.8米；安装传动轴的水平横梁应加装水平八字拉筋加固。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动膜杆采用专用铝合金驱动边型材，推拉杆为φ32 X 1.5mm热镀锌。钢管。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7、雨水排放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在温室两端山墙外的端天沟采用落水口φ90mm与端部安装φ110mm PVC落水管，落水管的中部和底部应用抱箍固定在山墙立柱上和挡土墙基础上。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8、 覆盖材料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温室采用PEP利得薄膜覆盖，薄膜厚度为0.15mm，使 用寿命&gt;4年。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9、 电控系统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控制系统由控制箱、电线、电缆等组成。各部分要求如下：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电控箱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温室内所有电气设备应经电控箱进行供电与控制，控制箱面 板应装有各种指示灯及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按钮、开关，标识清楚、准确，安装 有序。指示灯、按钮、开关等电气产品必须选用国家标准的 合格产品。电控箱壳体采用厚度&gt;1.5mm钢板制作，壳体具 有可靠防腐保护层，防腐年限&gt;3年。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直流电源及控制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卷膜电机为低压大电流直流电机，控制箱内应安装能提供相 应的直流电源。直流电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源由变压器及二极管整流桥组成。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i w:val="0"/>
          <w:caps w:val="0"/>
          <w:color w:val="333333"/>
          <w:spacing w:val="0"/>
          <w:sz w:val="32"/>
          <w:szCs w:val="32"/>
          <w:lang w:eastAsia="zh-CN"/>
        </w:rPr>
      </w:pPr>
      <w:r>
        <w:rPr>
          <w:rFonts w:hint="eastAsia" w:ascii="仿宋_GB2312" w:hAnsi="仿宋_GB2312" w:eastAsia="仿宋_GB2312" w:cs="仿宋_GB2312"/>
          <w:b w:val="0"/>
          <w:i w:val="0"/>
          <w:caps w:val="0"/>
          <w:color w:val="333333"/>
          <w:spacing w:val="0"/>
          <w:sz w:val="32"/>
          <w:szCs w:val="32"/>
          <w:bdr w:val="none" w:color="auto" w:sz="0" w:space="0"/>
          <w:shd w:val="clear" w:fill="FFFFFF"/>
          <w:lang w:eastAsia="zh-CN"/>
        </w:rPr>
        <w:t>选配的内保温减速机组、外遮阳减速电机、天窗卷膜电机应装有限位保护装置，要求限位准确，有效。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控制系统应具有正常的过载过流保护装置及相序保护装置。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bdr w:val="none" w:color="auto" w:sz="0" w:space="0"/>
          <w:shd w:val="clear" w:fill="FFFFFF"/>
        </w:rPr>
        <w:t>电源进线为三相四线制，PE线和温室结构框架相连，保护性能指标符合国家标准。电线、电缆的选型和敷设应符合国家标准，线缆应穿管敷设。</w:t>
      </w:r>
    </w:p>
    <w:tbl>
      <w:tblPr>
        <w:tblW w:w="10095" w:type="dxa"/>
        <w:jc w:val="center"/>
        <w:tblInd w:w="-89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05" w:type="dxa"/>
          <w:left w:w="105" w:type="dxa"/>
          <w:bottom w:w="105" w:type="dxa"/>
          <w:right w:w="105" w:type="dxa"/>
        </w:tblCellMar>
      </w:tblPr>
      <w:tblGrid>
        <w:gridCol w:w="989"/>
        <w:gridCol w:w="300"/>
        <w:gridCol w:w="541"/>
        <w:gridCol w:w="118"/>
        <w:gridCol w:w="871"/>
        <w:gridCol w:w="774"/>
        <w:gridCol w:w="697"/>
        <w:gridCol w:w="1471"/>
        <w:gridCol w:w="14"/>
        <w:gridCol w:w="1207"/>
        <w:gridCol w:w="660"/>
        <w:gridCol w:w="1517"/>
        <w:gridCol w:w="9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05" w:type="dxa"/>
            <w:left w:w="105" w:type="dxa"/>
            <w:bottom w:w="105" w:type="dxa"/>
            <w:right w:w="105" w:type="dxa"/>
          </w:tblCellMar>
        </w:tblPrEx>
        <w:trPr>
          <w:trHeight w:val="226" w:hRule="atLeast"/>
          <w:jc w:val="center"/>
        </w:trPr>
        <w:tc>
          <w:tcPr>
            <w:tcW w:w="1948" w:type="dxa"/>
            <w:gridSpan w:val="4"/>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bdr w:val="none" w:color="auto" w:sz="0" w:space="0"/>
              </w:rPr>
            </w:pPr>
            <w:bookmarkStart w:id="1" w:name="RANGE!A1:F19"/>
            <w:bookmarkEnd w:id="1"/>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附件</w:t>
            </w:r>
            <w:r>
              <w:rPr>
                <w:rFonts w:hint="eastAsia" w:ascii="仿宋_GB2312" w:hAnsi="仿宋_GB2312" w:eastAsia="仿宋_GB2312" w:cs="仿宋_GB2312"/>
                <w:sz w:val="32"/>
                <w:szCs w:val="32"/>
                <w:bdr w:val="none" w:color="auto" w:sz="0" w:space="0"/>
                <w:lang w:val="en-US"/>
              </w:rPr>
              <w:t>3</w:t>
            </w:r>
          </w:p>
        </w:tc>
        <w:tc>
          <w:tcPr>
            <w:tcW w:w="7211" w:type="dxa"/>
            <w:gridSpan w:val="8"/>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tc>
        <w:tc>
          <w:tcPr>
            <w:tcW w:w="936" w:type="dxa"/>
            <w:tcBorders>
              <w:top w:val="nil"/>
              <w:left w:val="nil"/>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690" w:hRule="atLeast"/>
          <w:jc w:val="center"/>
        </w:trPr>
        <w:tc>
          <w:tcPr>
            <w:tcW w:w="9159" w:type="dxa"/>
            <w:gridSpan w:val="1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霍邱县现代农业以奖代补资金申请表</w:t>
            </w:r>
          </w:p>
        </w:tc>
        <w:tc>
          <w:tcPr>
            <w:tcW w:w="936" w:type="dxa"/>
            <w:tcBorders>
              <w:top w:val="nil"/>
              <w:left w:val="nil"/>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390" w:hRule="atLeast"/>
          <w:jc w:val="center"/>
        </w:trPr>
        <w:tc>
          <w:tcPr>
            <w:tcW w:w="2819" w:type="dxa"/>
            <w:gridSpan w:val="5"/>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申报单位（盖章）：</w:t>
            </w:r>
          </w:p>
        </w:tc>
        <w:tc>
          <w:tcPr>
            <w:tcW w:w="1471"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tc>
        <w:tc>
          <w:tcPr>
            <w:tcW w:w="1471" w:type="dxa"/>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tc>
        <w:tc>
          <w:tcPr>
            <w:tcW w:w="1221"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tc>
        <w:tc>
          <w:tcPr>
            <w:tcW w:w="2177"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tc>
        <w:tc>
          <w:tcPr>
            <w:tcW w:w="936" w:type="dxa"/>
            <w:tcBorders>
              <w:top w:val="nil"/>
              <w:left w:val="nil"/>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510" w:hRule="atLeast"/>
          <w:jc w:val="center"/>
        </w:trPr>
        <w:tc>
          <w:tcPr>
            <w:tcW w:w="1948" w:type="dxa"/>
            <w:gridSpan w:val="4"/>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申请单位名称</w:t>
            </w:r>
          </w:p>
        </w:tc>
        <w:tc>
          <w:tcPr>
            <w:tcW w:w="871" w:type="dxa"/>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471" w:type="dxa"/>
            <w:gridSpan w:val="2"/>
            <w:tcBorders>
              <w:top w:val="single" w:color="000000" w:sz="6" w:space="0"/>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471" w:type="dxa"/>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单位负责人</w:t>
            </w:r>
          </w:p>
        </w:tc>
        <w:tc>
          <w:tcPr>
            <w:tcW w:w="1221" w:type="dxa"/>
            <w:gridSpan w:val="2"/>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tc>
        <w:tc>
          <w:tcPr>
            <w:tcW w:w="2177" w:type="dxa"/>
            <w:gridSpan w:val="2"/>
            <w:tcBorders>
              <w:top w:val="single" w:color="000000" w:sz="6" w:space="0"/>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510" w:hRule="atLeast"/>
          <w:jc w:val="center"/>
        </w:trPr>
        <w:tc>
          <w:tcPr>
            <w:tcW w:w="1948" w:type="dxa"/>
            <w:gridSpan w:val="4"/>
            <w:tcBorders>
              <w:top w:val="nil"/>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所在地</w:t>
            </w:r>
          </w:p>
        </w:tc>
        <w:tc>
          <w:tcPr>
            <w:tcW w:w="871" w:type="dxa"/>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tc>
        <w:tc>
          <w:tcPr>
            <w:tcW w:w="1471" w:type="dxa"/>
            <w:gridSpan w:val="2"/>
            <w:tcBorders>
              <w:top w:val="nil"/>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471" w:type="dxa"/>
            <w:tcBorders>
              <w:top w:val="nil"/>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联系电话</w:t>
            </w:r>
          </w:p>
        </w:tc>
        <w:tc>
          <w:tcPr>
            <w:tcW w:w="1221" w:type="dxa"/>
            <w:gridSpan w:val="2"/>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tc>
        <w:tc>
          <w:tcPr>
            <w:tcW w:w="2177" w:type="dxa"/>
            <w:gridSpan w:val="2"/>
            <w:tcBorders>
              <w:top w:val="nil"/>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465" w:hRule="atLeast"/>
          <w:jc w:val="center"/>
        </w:trPr>
        <w:tc>
          <w:tcPr>
            <w:tcW w:w="1948" w:type="dxa"/>
            <w:gridSpan w:val="4"/>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经营规模</w:t>
            </w:r>
          </w:p>
        </w:tc>
        <w:tc>
          <w:tcPr>
            <w:tcW w:w="7211" w:type="dxa"/>
            <w:gridSpan w:val="8"/>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435" w:hRule="atLeast"/>
          <w:jc w:val="center"/>
        </w:trPr>
        <w:tc>
          <w:tcPr>
            <w:tcW w:w="1948" w:type="dxa"/>
            <w:gridSpan w:val="4"/>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申报奖补项目</w:t>
            </w:r>
          </w:p>
        </w:tc>
        <w:tc>
          <w:tcPr>
            <w:tcW w:w="7211" w:type="dxa"/>
            <w:gridSpan w:val="8"/>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570" w:hRule="atLeast"/>
          <w:jc w:val="center"/>
        </w:trPr>
        <w:tc>
          <w:tcPr>
            <w:tcW w:w="1948" w:type="dxa"/>
            <w:gridSpan w:val="4"/>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28"/>
                <w:szCs w:val="28"/>
                <w:bdr w:val="none" w:color="auto" w:sz="0" w:space="0"/>
              </w:rPr>
              <w:t>申报项目介绍</w:t>
            </w:r>
          </w:p>
        </w:tc>
        <w:tc>
          <w:tcPr>
            <w:tcW w:w="7211" w:type="dxa"/>
            <w:gridSpan w:val="8"/>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 </w:t>
            </w: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375" w:hRule="atLeast"/>
          <w:jc w:val="center"/>
        </w:trPr>
        <w:tc>
          <w:tcPr>
            <w:tcW w:w="4290" w:type="dxa"/>
            <w:gridSpan w:val="7"/>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乡镇业务单位意见（盖章）</w:t>
            </w:r>
          </w:p>
        </w:tc>
        <w:tc>
          <w:tcPr>
            <w:tcW w:w="4869" w:type="dxa"/>
            <w:gridSpan w:val="5"/>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乡镇政府意见（盖章）</w:t>
            </w: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375" w:hRule="atLeast"/>
          <w:jc w:val="center"/>
        </w:trPr>
        <w:tc>
          <w:tcPr>
            <w:tcW w:w="2819" w:type="dxa"/>
            <w:gridSpan w:val="5"/>
            <w:tcBorders>
              <w:top w:val="nil"/>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主要负责人签名：</w:t>
            </w:r>
          </w:p>
        </w:tc>
        <w:tc>
          <w:tcPr>
            <w:tcW w:w="1471"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4869" w:type="dxa"/>
            <w:gridSpan w:val="5"/>
            <w:tcBorders>
              <w:top w:val="nil"/>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主要负责人签名：</w:t>
            </w: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05" w:type="dxa"/>
            <w:left w:w="105" w:type="dxa"/>
            <w:bottom w:w="105" w:type="dxa"/>
            <w:right w:w="105" w:type="dxa"/>
          </w:tblCellMar>
        </w:tblPrEx>
        <w:trPr>
          <w:trHeight w:val="375" w:hRule="atLeast"/>
          <w:jc w:val="center"/>
        </w:trPr>
        <w:tc>
          <w:tcPr>
            <w:tcW w:w="4290" w:type="dxa"/>
            <w:gridSpan w:val="7"/>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年 月 日</w:t>
            </w:r>
          </w:p>
        </w:tc>
        <w:tc>
          <w:tcPr>
            <w:tcW w:w="4869" w:type="dxa"/>
            <w:gridSpan w:val="5"/>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bookmarkStart w:id="3" w:name="_GoBack"/>
            <w:bookmarkEnd w:id="3"/>
            <w:r>
              <w:rPr>
                <w:rFonts w:hint="eastAsia" w:ascii="仿宋_GB2312" w:hAnsi="仿宋_GB2312" w:eastAsia="仿宋_GB2312" w:cs="仿宋_GB2312"/>
                <w:sz w:val="32"/>
                <w:szCs w:val="32"/>
                <w:bdr w:val="none" w:color="auto" w:sz="0" w:space="0"/>
              </w:rPr>
              <w:t>年 月 日</w:t>
            </w: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jc w:val="center"/>
        </w:trPr>
        <w:tc>
          <w:tcPr>
            <w:tcW w:w="4290" w:type="dxa"/>
            <w:gridSpan w:val="7"/>
            <w:vMerge w:val="restart"/>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县业务主管部门意见（盖章）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主要负责人签名</w:t>
            </w:r>
          </w:p>
        </w:tc>
        <w:tc>
          <w:tcPr>
            <w:tcW w:w="4869" w:type="dxa"/>
            <w:gridSpan w:val="5"/>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县农村工作领导组意见（盖章）</w:t>
            </w: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jc w:val="center"/>
        </w:trPr>
        <w:tc>
          <w:tcPr>
            <w:tcW w:w="4290" w:type="dxa"/>
            <w:gridSpan w:val="7"/>
            <w:vMerge w:val="continue"/>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rPr>
                <w:rFonts w:hint="eastAsia" w:ascii="仿宋_GB2312" w:hAnsi="仿宋_GB2312" w:eastAsia="仿宋_GB2312" w:cs="仿宋_GB2312"/>
                <w:sz w:val="32"/>
                <w:szCs w:val="32"/>
              </w:rPr>
            </w:pPr>
          </w:p>
        </w:tc>
        <w:tc>
          <w:tcPr>
            <w:tcW w:w="4869" w:type="dxa"/>
            <w:gridSpan w:val="5"/>
            <w:vMerge w:val="restart"/>
            <w:tcBorders>
              <w:top w:val="nil"/>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年 月 日</w:t>
            </w: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05" w:type="dxa"/>
            <w:left w:w="105" w:type="dxa"/>
            <w:bottom w:w="105" w:type="dxa"/>
            <w:right w:w="105" w:type="dxa"/>
          </w:tblCellMar>
        </w:tblPrEx>
        <w:trPr>
          <w:trHeight w:val="226" w:hRule="atLeast"/>
          <w:jc w:val="center"/>
        </w:trPr>
        <w:tc>
          <w:tcPr>
            <w:tcW w:w="4290" w:type="dxa"/>
            <w:gridSpan w:val="7"/>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年 月 日</w:t>
            </w:r>
          </w:p>
        </w:tc>
        <w:tc>
          <w:tcPr>
            <w:tcW w:w="4869" w:type="dxa"/>
            <w:gridSpan w:val="5"/>
            <w:vMerge w:val="continue"/>
            <w:tcBorders>
              <w:top w:val="nil"/>
              <w:left w:val="single" w:color="000000" w:sz="6" w:space="0"/>
              <w:bottom w:val="nil"/>
              <w:right w:val="nil"/>
            </w:tcBorders>
            <w:shd w:val="clear"/>
            <w:tcMar>
              <w:top w:w="0" w:type="dxa"/>
              <w:left w:w="108" w:type="dxa"/>
              <w:bottom w:w="0" w:type="dxa"/>
              <w:right w:w="0" w:type="dxa"/>
            </w:tcMar>
            <w:vAlign w:val="center"/>
          </w:tcPr>
          <w:p>
            <w:pPr>
              <w:rPr>
                <w:rFonts w:hint="eastAsia" w:ascii="仿宋_GB2312" w:hAnsi="仿宋_GB2312" w:eastAsia="仿宋_GB2312" w:cs="仿宋_GB2312"/>
                <w:sz w:val="32"/>
                <w:szCs w:val="32"/>
              </w:rPr>
            </w:pPr>
          </w:p>
        </w:tc>
        <w:tc>
          <w:tcPr>
            <w:tcW w:w="936" w:type="dxa"/>
            <w:tcBorders>
              <w:top w:val="nil"/>
              <w:left w:val="single" w:color="000000" w:sz="6" w:space="0"/>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256" w:hRule="atLeast"/>
          <w:jc w:val="center"/>
        </w:trPr>
        <w:tc>
          <w:tcPr>
            <w:tcW w:w="9159" w:type="dxa"/>
            <w:gridSpan w:val="1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443" w:firstLine="221"/>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备注：</w:t>
            </w:r>
            <w:r>
              <w:rPr>
                <w:rFonts w:hint="eastAsia" w:ascii="仿宋_GB2312" w:hAnsi="仿宋_GB2312" w:eastAsia="仿宋_GB2312" w:cs="仿宋_GB2312"/>
                <w:sz w:val="32"/>
                <w:szCs w:val="32"/>
                <w:bdr w:val="none" w:color="auto" w:sz="0" w:space="0"/>
                <w:lang w:val="en-US"/>
              </w:rPr>
              <w:t>1</w:t>
            </w:r>
            <w:r>
              <w:rPr>
                <w:rFonts w:hint="eastAsia" w:ascii="仿宋_GB2312" w:hAnsi="仿宋_GB2312" w:eastAsia="仿宋_GB2312" w:cs="仿宋_GB2312"/>
                <w:sz w:val="32"/>
                <w:szCs w:val="32"/>
                <w:bdr w:val="none" w:color="auto" w:sz="0" w:space="0"/>
              </w:rPr>
              <w:t>、表格一式二份</w:t>
            </w:r>
          </w:p>
        </w:tc>
        <w:tc>
          <w:tcPr>
            <w:tcW w:w="936" w:type="dxa"/>
            <w:tcBorders>
              <w:top w:val="nil"/>
              <w:left w:val="nil"/>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226" w:hRule="atLeast"/>
          <w:jc w:val="center"/>
        </w:trPr>
        <w:tc>
          <w:tcPr>
            <w:tcW w:w="9159" w:type="dxa"/>
            <w:gridSpan w:val="1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879"/>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lang w:val="en-US"/>
              </w:rPr>
              <w:t>2</w:t>
            </w:r>
            <w:r>
              <w:rPr>
                <w:rFonts w:hint="eastAsia" w:ascii="仿宋_GB2312" w:hAnsi="仿宋_GB2312" w:eastAsia="仿宋_GB2312" w:cs="仿宋_GB2312"/>
                <w:sz w:val="32"/>
                <w:szCs w:val="32"/>
                <w:bdr w:val="none" w:color="auto" w:sz="0" w:space="0"/>
              </w:rPr>
              <w:t>、根据申报项目类别，将相关申报材料附后（一式两份，加盖申报单位公章）</w:t>
            </w:r>
          </w:p>
        </w:tc>
        <w:tc>
          <w:tcPr>
            <w:tcW w:w="936" w:type="dxa"/>
            <w:tcBorders>
              <w:top w:val="nil"/>
              <w:left w:val="nil"/>
              <w:bottom w:val="nil"/>
              <w:right w:val="nil"/>
            </w:tcBorders>
            <w:shd w:val="clear"/>
            <w:tcMar>
              <w:top w:w="0" w:type="dxa"/>
              <w:left w:w="0" w:type="dxa"/>
              <w:bottom w:w="0" w:type="dxa"/>
              <w:right w:w="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166" w:hRule="atLeast"/>
          <w:jc w:val="center"/>
        </w:trPr>
        <w:tc>
          <w:tcPr>
            <w:tcW w:w="1948" w:type="dxa"/>
            <w:gridSpan w:val="4"/>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bookmarkStart w:id="2" w:name="RANGE!A1:G11"/>
            <w:bookmarkEnd w:id="2"/>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附件</w:t>
            </w:r>
            <w:r>
              <w:rPr>
                <w:rFonts w:hint="eastAsia" w:ascii="仿宋_GB2312" w:hAnsi="仿宋_GB2312" w:eastAsia="仿宋_GB2312" w:cs="仿宋_GB2312"/>
                <w:sz w:val="32"/>
                <w:szCs w:val="32"/>
                <w:bdr w:val="none" w:color="auto" w:sz="0" w:space="0"/>
                <w:lang w:val="en-US"/>
              </w:rPr>
              <w:t>4</w:t>
            </w:r>
          </w:p>
        </w:tc>
        <w:tc>
          <w:tcPr>
            <w:tcW w:w="1645"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697" w:type="dxa"/>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485"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867"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2453"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690" w:hRule="atLeast"/>
          <w:jc w:val="center"/>
        </w:trPr>
        <w:tc>
          <w:tcPr>
            <w:tcW w:w="10095" w:type="dxa"/>
            <w:gridSpan w:val="13"/>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霍邱县现代农业以奖代补资金项目验收表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390" w:hRule="atLeast"/>
          <w:jc w:val="center"/>
        </w:trPr>
        <w:tc>
          <w:tcPr>
            <w:tcW w:w="1830" w:type="dxa"/>
            <w:gridSpan w:val="3"/>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项目类别：</w:t>
            </w:r>
          </w:p>
        </w:tc>
        <w:tc>
          <w:tcPr>
            <w:tcW w:w="1763" w:type="dxa"/>
            <w:gridSpan w:val="3"/>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697" w:type="dxa"/>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485"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867"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2453" w:type="dxa"/>
            <w:gridSpan w:val="2"/>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1636" w:hRule="atLeast"/>
          <w:jc w:val="center"/>
        </w:trPr>
        <w:tc>
          <w:tcPr>
            <w:tcW w:w="989" w:type="dxa"/>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申请单位信息</w:t>
            </w:r>
          </w:p>
        </w:tc>
        <w:tc>
          <w:tcPr>
            <w:tcW w:w="841" w:type="dxa"/>
            <w:gridSpan w:val="2"/>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名称</w:t>
            </w:r>
          </w:p>
        </w:tc>
        <w:tc>
          <w:tcPr>
            <w:tcW w:w="1763" w:type="dxa"/>
            <w:gridSpan w:val="3"/>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697" w:type="dxa"/>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地址</w:t>
            </w:r>
          </w:p>
        </w:tc>
        <w:tc>
          <w:tcPr>
            <w:tcW w:w="1485" w:type="dxa"/>
            <w:gridSpan w:val="2"/>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867" w:type="dxa"/>
            <w:gridSpan w:val="2"/>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法人代表</w:t>
            </w:r>
          </w:p>
        </w:tc>
        <w:tc>
          <w:tcPr>
            <w:tcW w:w="2453" w:type="dxa"/>
            <w:gridSpan w:val="2"/>
            <w:tcBorders>
              <w:top w:val="single" w:color="000000" w:sz="6" w:space="0"/>
              <w:left w:val="single" w:color="000000" w:sz="6" w:space="0"/>
              <w:bottom w:val="single" w:color="000000" w:sz="6" w:space="0"/>
              <w:right w:val="single" w:color="000000" w:sz="6"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2671" w:hRule="atLeast"/>
          <w:jc w:val="center"/>
        </w:trPr>
        <w:tc>
          <w:tcPr>
            <w:tcW w:w="989" w:type="dxa"/>
            <w:tcBorders>
              <w:top w:val="nil"/>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项目基本情况</w:t>
            </w:r>
          </w:p>
        </w:tc>
        <w:tc>
          <w:tcPr>
            <w:tcW w:w="6653" w:type="dxa"/>
            <w:gridSpan w:val="10"/>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2453" w:type="dxa"/>
            <w:gridSpan w:val="2"/>
            <w:tcBorders>
              <w:top w:val="nil"/>
              <w:left w:val="nil"/>
              <w:bottom w:val="nil"/>
              <w:right w:val="single" w:color="000000" w:sz="6" w:space="0"/>
            </w:tcBorders>
            <w:shd w:val="clear"/>
            <w:tcMar>
              <w:top w:w="0" w:type="dxa"/>
              <w:left w:w="0"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585" w:hRule="atLeast"/>
          <w:jc w:val="center"/>
        </w:trPr>
        <w:tc>
          <w:tcPr>
            <w:tcW w:w="3593" w:type="dxa"/>
            <w:gridSpan w:val="6"/>
            <w:tcBorders>
              <w:top w:val="single" w:color="000000" w:sz="6" w:space="0"/>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本次拟奖补资金（大写）：</w:t>
            </w:r>
          </w:p>
        </w:tc>
        <w:tc>
          <w:tcPr>
            <w:tcW w:w="697" w:type="dxa"/>
            <w:tcBorders>
              <w:top w:val="single" w:color="000000" w:sz="6" w:space="0"/>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485" w:type="dxa"/>
            <w:gridSpan w:val="2"/>
            <w:tcBorders>
              <w:top w:val="single" w:color="000000" w:sz="6" w:space="0"/>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867" w:type="dxa"/>
            <w:gridSpan w:val="2"/>
            <w:tcBorders>
              <w:top w:val="single" w:color="000000" w:sz="6" w:space="0"/>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2453" w:type="dxa"/>
            <w:gridSpan w:val="2"/>
            <w:tcBorders>
              <w:top w:val="single" w:color="000000" w:sz="6" w:space="0"/>
              <w:left w:val="nil"/>
              <w:bottom w:val="single" w:color="000000" w:sz="6" w:space="0"/>
              <w:right w:val="single" w:color="000000" w:sz="6" w:space="0"/>
            </w:tcBorders>
            <w:shd w:val="clear"/>
            <w:tcMar>
              <w:top w:w="0" w:type="dxa"/>
              <w:left w:w="0"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585" w:hRule="atLeast"/>
          <w:jc w:val="center"/>
        </w:trPr>
        <w:tc>
          <w:tcPr>
            <w:tcW w:w="10095" w:type="dxa"/>
            <w:gridSpan w:val="13"/>
            <w:tcBorders>
              <w:top w:val="single" w:color="000000" w:sz="6" w:space="0"/>
              <w:left w:val="single" w:color="000000" w:sz="6" w:space="0"/>
              <w:bottom w:val="single" w:color="000000" w:sz="6" w:space="0"/>
              <w:right w:val="single" w:color="000000" w:sz="6"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申请单位（大户）账号或一卡通账号：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05" w:type="dxa"/>
            <w:left w:w="105" w:type="dxa"/>
            <w:bottom w:w="105" w:type="dxa"/>
            <w:right w:w="105" w:type="dxa"/>
          </w:tblCellMar>
        </w:tblPrEx>
        <w:trPr>
          <w:jc w:val="center"/>
        </w:trPr>
        <w:tc>
          <w:tcPr>
            <w:tcW w:w="1289" w:type="dxa"/>
            <w:gridSpan w:val="2"/>
            <w:vMerge w:val="restart"/>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验收组意见</w:t>
            </w:r>
          </w:p>
        </w:tc>
        <w:tc>
          <w:tcPr>
            <w:tcW w:w="6353" w:type="dxa"/>
            <w:gridSpan w:val="9"/>
            <w:tcBorders>
              <w:top w:val="single" w:color="000000" w:sz="6" w:space="0"/>
              <w:left w:val="single" w:color="000000" w:sz="6" w:space="0"/>
              <w:bottom w:val="nil"/>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验收组成员签字：</w:t>
            </w:r>
          </w:p>
        </w:tc>
        <w:tc>
          <w:tcPr>
            <w:tcW w:w="2453" w:type="dxa"/>
            <w:gridSpan w:val="2"/>
            <w:tcBorders>
              <w:top w:val="nil"/>
              <w:left w:val="nil"/>
              <w:bottom w:val="nil"/>
              <w:right w:val="single" w:color="000000" w:sz="6" w:space="0"/>
            </w:tcBorders>
            <w:shd w:val="clear"/>
            <w:tcMar>
              <w:top w:w="0" w:type="dxa"/>
              <w:left w:w="0"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jc w:val="center"/>
        </w:trPr>
        <w:tc>
          <w:tcPr>
            <w:tcW w:w="1289" w:type="dxa"/>
            <w:gridSpan w:val="2"/>
            <w:vMerge w:val="continue"/>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rPr>
                <w:rFonts w:hint="eastAsia" w:ascii="仿宋_GB2312" w:hAnsi="仿宋_GB2312" w:eastAsia="仿宋_GB2312" w:cs="仿宋_GB2312"/>
                <w:sz w:val="32"/>
                <w:szCs w:val="32"/>
              </w:rPr>
            </w:pPr>
          </w:p>
        </w:tc>
        <w:tc>
          <w:tcPr>
            <w:tcW w:w="659" w:type="dxa"/>
            <w:gridSpan w:val="2"/>
            <w:tcBorders>
              <w:top w:val="nil"/>
              <w:left w:val="single" w:color="000000" w:sz="6" w:space="0"/>
              <w:bottom w:val="single" w:color="000000" w:sz="6" w:space="0"/>
              <w:right w:val="nil"/>
            </w:tcBorders>
            <w:shd w:val="clear"/>
            <w:tcMar>
              <w:top w:w="0" w:type="dxa"/>
              <w:left w:w="108"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645" w:type="dxa"/>
            <w:gridSpan w:val="2"/>
            <w:tcBorders>
              <w:top w:val="nil"/>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697" w:type="dxa"/>
            <w:tcBorders>
              <w:top w:val="nil"/>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485" w:type="dxa"/>
            <w:gridSpan w:val="2"/>
            <w:tcBorders>
              <w:top w:val="nil"/>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c>
          <w:tcPr>
            <w:tcW w:w="1867" w:type="dxa"/>
            <w:gridSpan w:val="2"/>
            <w:tcBorders>
              <w:top w:val="nil"/>
              <w:left w:val="nil"/>
              <w:bottom w:val="single" w:color="000000" w:sz="6" w:space="0"/>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年 月 日</w:t>
            </w:r>
          </w:p>
        </w:tc>
        <w:tc>
          <w:tcPr>
            <w:tcW w:w="2453" w:type="dxa"/>
            <w:gridSpan w:val="2"/>
            <w:tcBorders>
              <w:top w:val="nil"/>
              <w:left w:val="nil"/>
              <w:bottom w:val="single" w:color="000000" w:sz="6" w:space="0"/>
              <w:right w:val="single" w:color="000000" w:sz="6" w:space="0"/>
            </w:tcBorders>
            <w:shd w:val="clear"/>
            <w:tcMar>
              <w:top w:w="0" w:type="dxa"/>
              <w:left w:w="0"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256" w:hRule="atLeast"/>
          <w:jc w:val="center"/>
        </w:trPr>
        <w:tc>
          <w:tcPr>
            <w:tcW w:w="10095" w:type="dxa"/>
            <w:gridSpan w:val="13"/>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119"/>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备注：</w:t>
            </w:r>
            <w:r>
              <w:rPr>
                <w:rFonts w:hint="eastAsia" w:ascii="仿宋_GB2312" w:hAnsi="仿宋_GB2312" w:eastAsia="仿宋_GB2312" w:cs="仿宋_GB2312"/>
                <w:sz w:val="32"/>
                <w:szCs w:val="32"/>
                <w:bdr w:val="none" w:color="auto" w:sz="0" w:space="0"/>
                <w:lang w:val="en-US"/>
              </w:rPr>
              <w:t>1</w:t>
            </w:r>
            <w:r>
              <w:rPr>
                <w:rFonts w:hint="eastAsia" w:ascii="仿宋_GB2312" w:hAnsi="仿宋_GB2312" w:eastAsia="仿宋_GB2312" w:cs="仿宋_GB2312"/>
                <w:sz w:val="32"/>
                <w:szCs w:val="32"/>
                <w:bdr w:val="none" w:color="auto" w:sz="0" w:space="0"/>
              </w:rPr>
              <w:t>、表格一式二份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05" w:type="dxa"/>
            <w:left w:w="105" w:type="dxa"/>
            <w:bottom w:w="105" w:type="dxa"/>
            <w:right w:w="105" w:type="dxa"/>
          </w:tblCellMar>
        </w:tblPrEx>
        <w:trPr>
          <w:trHeight w:val="226" w:hRule="atLeast"/>
          <w:jc w:val="center"/>
        </w:trPr>
        <w:tc>
          <w:tcPr>
            <w:tcW w:w="10095" w:type="dxa"/>
            <w:gridSpan w:val="13"/>
            <w:tcBorders>
              <w:top w:val="nil"/>
              <w:left w:val="nil"/>
              <w:bottom w:val="nil"/>
              <w:right w:val="nil"/>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lang w:val="en-US"/>
              </w:rPr>
              <w:t>2</w:t>
            </w:r>
            <w:r>
              <w:rPr>
                <w:rFonts w:hint="eastAsia" w:ascii="仿宋_GB2312" w:hAnsi="仿宋_GB2312" w:eastAsia="仿宋_GB2312" w:cs="仿宋_GB2312"/>
                <w:sz w:val="32"/>
                <w:szCs w:val="32"/>
                <w:bdr w:val="none" w:color="auto" w:sz="0" w:space="0"/>
              </w:rPr>
              <w:t>、根据申报项目类别，将相关申报材料附后（一式两份，加盖申报单位公章）</w:t>
            </w:r>
          </w:p>
        </w:tc>
      </w:tr>
    </w:tbl>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white-space:normal;background-color:#FFFFFF;line-height:0.88c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hite-space:normal;background-color:#FFFFFF;text-indent:2em;line">
    <w:altName w:val="Segoe Print"/>
    <w:panose1 w:val="00000000000000000000"/>
    <w:charset w:val="00"/>
    <w:family w:val="auto"/>
    <w:pitch w:val="default"/>
    <w:sig w:usb0="00000000" w:usb1="00000000" w:usb2="00000000" w:usb3="00000000" w:csb0="00000000" w:csb1="00000000"/>
  </w:font>
  <w:font w:name="white-space:normal;background-color:#FFFFFF;text-indent:2em;lett">
    <w:altName w:val="Segoe Print"/>
    <w:panose1 w:val="00000000000000000000"/>
    <w:charset w:val="00"/>
    <w:family w:val="auto"/>
    <w:pitch w:val="default"/>
    <w:sig w:usb0="00000000" w:usb1="00000000" w:usb2="00000000" w:usb3="00000000" w:csb0="00000000" w:csb1="00000000"/>
  </w:font>
  <w:font w:name="white-space:normal;background-color:#FFFFFF;line-height:0.95cm;t">
    <w:altName w:val="Segoe Print"/>
    <w:panose1 w:val="00000000000000000000"/>
    <w:charset w:val="00"/>
    <w:family w:val="auto"/>
    <w:pitch w:val="default"/>
    <w:sig w:usb0="00000000" w:usb1="00000000" w:usb2="00000000" w:usb3="00000000" w:csb0="00000000" w:csb1="00000000"/>
  </w:font>
  <w:font w:name="white-space:normal;background-color:#FFFFFF;text-indent:1.12cm;l">
    <w:altName w:val="Segoe Print"/>
    <w:panose1 w:val="00000000000000000000"/>
    <w:charset w:val="00"/>
    <w:family w:val="auto"/>
    <w:pitch w:val="default"/>
    <w:sig w:usb0="00000000" w:usb1="00000000" w:usb2="00000000" w:usb3="00000000" w:csb0="00000000" w:csb1="00000000"/>
  </w:font>
  <w:font w:name="white-space:normal;background-color:#FFFFFF;line-height:0.85cm;t">
    <w:altName w:val="Segoe Print"/>
    <w:panose1 w:val="00000000000000000000"/>
    <w:charset w:val="00"/>
    <w:family w:val="auto"/>
    <w:pitch w:val="default"/>
    <w:sig w:usb0="00000000" w:usb1="00000000" w:usb2="00000000" w:usb3="00000000" w:csb0="00000000" w:csb1="00000000"/>
  </w:font>
  <w:font w:name="white-space:normal;background-color:#FFFFFF;line-height:0.81cm;t">
    <w:altName w:val="Segoe Print"/>
    <w:panose1 w:val="00000000000000000000"/>
    <w:charset w:val="00"/>
    <w:family w:val="auto"/>
    <w:pitch w:val="default"/>
    <w:sig w:usb0="00000000" w:usb1="00000000" w:usb2="00000000" w:usb3="00000000" w:csb0="00000000" w:csb1="00000000"/>
  </w:font>
  <w:font w:name="white-space:normal;background-color:#FFFFFF;line-height:0.42cm;t">
    <w:altName w:val="Segoe Print"/>
    <w:panose1 w:val="00000000000000000000"/>
    <w:charset w:val="00"/>
    <w:family w:val="auto"/>
    <w:pitch w:val="default"/>
    <w:sig w:usb0="00000000" w:usb1="00000000" w:usb2="00000000" w:usb3="00000000" w:csb0="00000000" w:csb1="00000000"/>
  </w:font>
  <w:font w:name="white-space:normal;background-color:#FFFFFF;line-height:0.99cm;t">
    <w:altName w:val="Segoe Print"/>
    <w:panose1 w:val="00000000000000000000"/>
    <w:charset w:val="00"/>
    <w:family w:val="auto"/>
    <w:pitch w:val="default"/>
    <w:sig w:usb0="00000000" w:usb1="00000000" w:usb2="00000000" w:usb3="00000000" w:csb0="00000000" w:csb1="00000000"/>
  </w:font>
  <w:font w:name="white-space:normal;background-color:#FFFFFF;line-height:24px;tex">
    <w:altName w:val="Segoe Print"/>
    <w:panose1 w:val="00000000000000000000"/>
    <w:charset w:val="00"/>
    <w:family w:val="auto"/>
    <w:pitch w:val="default"/>
    <w:sig w:usb0="00000000" w:usb1="00000000" w:usb2="00000000" w:usb3="00000000" w:csb0="00000000" w:csb1="00000000"/>
  </w:font>
  <w:font w:name=";padding-top:0px;">
    <w:altName w:val="Segoe Print"/>
    <w:panose1 w:val="00000000000000000000"/>
    <w:charset w:val="00"/>
    <w:family w:val="auto"/>
    <w:pitch w:val="default"/>
    <w:sig w:usb0="00000000" w:usb1="00000000" w:usb2="00000000" w:usb3="00000000" w:csb0="00000000" w:csb1="00000000"/>
  </w:font>
  <w:font w:name="white-space:normal;background-color:#FFFFFF;line-height:0.46cm;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white-space:normal;background-color:#FFFFFF;color:#333333;paddin">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DC8B64"/>
    <w:multiLevelType w:val="multilevel"/>
    <w:tmpl w:val="86DC8B6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756F0B2E"/>
    <w:multiLevelType w:val="multilevel"/>
    <w:tmpl w:val="756F0B2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5669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似水娇阳</cp:lastModifiedBy>
  <dcterms:modified xsi:type="dcterms:W3CDTF">2019-02-27T01:14:32Z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