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13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5"/>
        <w:gridCol w:w="18"/>
        <w:gridCol w:w="18"/>
        <w:gridCol w:w="18"/>
        <w:gridCol w:w="18"/>
        <w:gridCol w:w="267"/>
        <w:gridCol w:w="18"/>
        <w:gridCol w:w="18"/>
        <w:gridCol w:w="267"/>
        <w:gridCol w:w="267"/>
        <w:gridCol w:w="267"/>
        <w:gridCol w:w="8460"/>
        <w:gridCol w:w="267"/>
        <w:gridCol w:w="267"/>
        <w:gridCol w:w="2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40" w:hRule="atLeast"/>
        </w:trPr>
        <w:tc>
          <w:tcPr>
            <w:tcW w:w="13020" w:type="dxa"/>
            <w:gridSpan w:val="15"/>
            <w:shd w:val="clear" w:color="auto" w:fill="auto"/>
            <w:vAlign w:val="center"/>
          </w:tcPr>
          <w:p>
            <w:pPr>
              <w:keepNext w:val="0"/>
              <w:keepLines w:val="0"/>
              <w:widowControl/>
              <w:suppressLineNumbers w:val="0"/>
              <w:ind w:firstLine="1320" w:firstLineChars="300"/>
              <w:jc w:val="both"/>
              <w:textAlignment w:val="center"/>
              <w:rPr>
                <w:rFonts w:ascii="黑体" w:hAnsi="宋体" w:eastAsia="黑体" w:cs="黑体"/>
                <w:i w:val="0"/>
                <w:color w:val="000000"/>
                <w:sz w:val="44"/>
                <w:szCs w:val="44"/>
                <w:u w:val="none"/>
              </w:rPr>
            </w:pPr>
            <w:bookmarkStart w:id="0" w:name="_GoBack"/>
            <w:bookmarkEnd w:id="0"/>
            <w:r>
              <w:rPr>
                <w:rFonts w:hint="eastAsia" w:ascii="黑体" w:hAnsi="宋体" w:eastAsia="黑体" w:cs="黑体"/>
                <w:i w:val="0"/>
                <w:color w:val="000000"/>
                <w:kern w:val="0"/>
                <w:sz w:val="44"/>
                <w:szCs w:val="44"/>
                <w:u w:val="none"/>
                <w:lang w:val="en-US" w:eastAsia="zh-CN" w:bidi="ar"/>
              </w:rPr>
              <w:t>霍邱县供销社2018年部门预算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12755" w:type="dxa"/>
            <w:gridSpan w:val="14"/>
            <w:shd w:val="clear" w:color="auto" w:fill="auto"/>
            <w:vAlign w:val="center"/>
          </w:tcPr>
          <w:p>
            <w:pPr>
              <w:keepNext w:val="0"/>
              <w:keepLines w:val="0"/>
              <w:widowControl/>
              <w:suppressLineNumbers w:val="0"/>
              <w:ind w:firstLine="2400" w:firstLineChars="600"/>
              <w:jc w:val="both"/>
              <w:textAlignment w:val="center"/>
              <w:rPr>
                <w:rFonts w:hint="eastAsia" w:ascii="黑体" w:hAnsi="宋体" w:eastAsia="黑体" w:cs="黑体"/>
                <w:i w:val="0"/>
                <w:color w:val="000000"/>
                <w:sz w:val="40"/>
                <w:szCs w:val="40"/>
                <w:u w:val="none"/>
              </w:rPr>
            </w:pPr>
            <w:r>
              <w:rPr>
                <w:rFonts w:hint="eastAsia" w:ascii="黑体" w:hAnsi="宋体" w:eastAsia="黑体" w:cs="黑体"/>
                <w:i w:val="0"/>
                <w:color w:val="000000"/>
                <w:kern w:val="0"/>
                <w:sz w:val="40"/>
                <w:szCs w:val="40"/>
                <w:u w:val="none"/>
                <w:lang w:val="en-US" w:eastAsia="zh-CN" w:bidi="ar"/>
              </w:rPr>
              <w:t>2018年1月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jc w:val="right"/>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65"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8460" w:type="dxa"/>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852" w:type="dxa"/>
            <w:gridSpan w:val="2"/>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3020" w:type="dxa"/>
            <w:gridSpan w:val="15"/>
            <w:shd w:val="clear" w:color="auto" w:fill="auto"/>
            <w:vAlign w:val="bottom"/>
          </w:tcPr>
          <w:p>
            <w:pPr>
              <w:keepNext w:val="0"/>
              <w:keepLines w:val="0"/>
              <w:widowControl/>
              <w:suppressLineNumbers w:val="0"/>
              <w:ind w:firstLine="3600" w:firstLineChars="900"/>
              <w:jc w:val="both"/>
              <w:textAlignment w:val="bottom"/>
              <w:rPr>
                <w:rFonts w:ascii="黑体" w:hAnsi="宋体" w:eastAsia="黑体" w:cs="黑体"/>
                <w:i w:val="0"/>
                <w:color w:val="000000"/>
                <w:sz w:val="40"/>
                <w:szCs w:val="40"/>
                <w:u w:val="none"/>
              </w:rPr>
            </w:pPr>
            <w:r>
              <w:rPr>
                <w:rFonts w:hint="eastAsia" w:ascii="黑体" w:hAnsi="宋体" w:eastAsia="黑体" w:cs="黑体"/>
                <w:i w:val="0"/>
                <w:color w:val="000000"/>
                <w:kern w:val="0"/>
                <w:sz w:val="40"/>
                <w:szCs w:val="40"/>
                <w:u w:val="none"/>
                <w:lang w:val="en-US" w:eastAsia="zh-CN" w:bidi="ar"/>
              </w:rPr>
              <w:t>目  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一、部门概况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1、2018年部门预算编制指导思想及依据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2、部门职责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3、部门机构设置和人员情况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4、2018年工作任务（计划）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二、2018年预算情况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1、2018年预算收支增减变化及原因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2、项目及绩效目标情况（批复绩效目标的项目）说明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3、机关运行经费情况说明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4、政府采购情况（该项目有预算的，同时公开预算表格）说明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5、政府购买服务情况（该项目有预算的，同时公开预算表格）说明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三、2018年“三公”经费预算情况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1、“三公”总体增减变化及原因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2、“三公”经费具体明细增减变化及原因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 xml:space="preserve">  附：部门预算公开专业名词解释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四、公开表格（以文本形式公开，含“三公”经费预算表共9张）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1、2018年部门收支预算总表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2、2018年部门收入预算总表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3、2018年部门支出预算总表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4、2018年财政拨款收支总表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5、2018年部门一般公共预算支出预算表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6、2018年部门一般公共预算基本支出预算表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7、2018年部门政府性基金预算收支预算表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8、2018年部门国有资本经营预算预算收支预算表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02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9、2018年部门“三公”经费预算表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283" w:type="dxa"/>
            <w:gridSpan w:val="2"/>
            <w:shd w:val="clear" w:color="auto" w:fill="auto"/>
            <w:vAlign w:val="bottom"/>
          </w:tcPr>
          <w:p>
            <w:pPr>
              <w:rPr>
                <w:rFonts w:hint="eastAsia" w:ascii="宋体" w:hAnsi="宋体" w:eastAsia="宋体" w:cs="宋体"/>
                <w:i w:val="0"/>
                <w:color w:val="000000"/>
                <w:sz w:val="22"/>
                <w:szCs w:val="22"/>
                <w:u w:val="none"/>
              </w:rPr>
            </w:pPr>
          </w:p>
        </w:tc>
        <w:tc>
          <w:tcPr>
            <w:tcW w:w="36" w:type="dxa"/>
            <w:gridSpan w:val="2"/>
            <w:shd w:val="clear" w:color="auto" w:fill="auto"/>
            <w:vAlign w:val="bottom"/>
          </w:tcPr>
          <w:p>
            <w:pPr>
              <w:rPr>
                <w:rFonts w:hint="eastAsia" w:ascii="宋体" w:hAnsi="宋体" w:eastAsia="宋体" w:cs="宋体"/>
                <w:i w:val="0"/>
                <w:color w:val="000000"/>
                <w:sz w:val="22"/>
                <w:szCs w:val="22"/>
                <w:u w:val="none"/>
              </w:rPr>
            </w:pPr>
          </w:p>
        </w:tc>
        <w:tc>
          <w:tcPr>
            <w:tcW w:w="303" w:type="dxa"/>
            <w:gridSpan w:val="3"/>
            <w:shd w:val="clear" w:color="auto" w:fill="auto"/>
            <w:vAlign w:val="bottom"/>
          </w:tcPr>
          <w:p>
            <w:pPr>
              <w:rPr>
                <w:rFonts w:hint="eastAsia" w:ascii="宋体" w:hAnsi="宋体" w:eastAsia="宋体" w:cs="宋体"/>
                <w:i w:val="0"/>
                <w:color w:val="000000"/>
                <w:sz w:val="22"/>
                <w:szCs w:val="22"/>
                <w:u w:val="none"/>
              </w:rPr>
            </w:pPr>
          </w:p>
        </w:tc>
        <w:tc>
          <w:tcPr>
            <w:tcW w:w="9546" w:type="dxa"/>
            <w:gridSpan w:val="6"/>
            <w:shd w:val="clear" w:color="auto" w:fill="auto"/>
            <w:vAlign w:val="bottom"/>
          </w:tcPr>
          <w:p>
            <w:pPr>
              <w:rPr>
                <w:rFonts w:hint="eastAsia" w:ascii="宋体" w:hAnsi="宋体" w:eastAsia="宋体" w:cs="宋体"/>
                <w:i w:val="0"/>
                <w:color w:val="000000"/>
                <w:sz w:val="22"/>
                <w:szCs w:val="22"/>
                <w:u w:val="none"/>
              </w:rPr>
            </w:pPr>
          </w:p>
        </w:tc>
        <w:tc>
          <w:tcPr>
            <w:tcW w:w="267" w:type="dxa"/>
            <w:shd w:val="clear" w:color="auto" w:fill="auto"/>
            <w:vAlign w:val="bottom"/>
          </w:tcPr>
          <w:p>
            <w:pPr>
              <w:rPr>
                <w:rFonts w:hint="eastAsia" w:ascii="宋体" w:hAnsi="宋体" w:eastAsia="宋体" w:cs="宋体"/>
                <w:i w:val="0"/>
                <w:color w:val="000000"/>
                <w:sz w:val="22"/>
                <w:szCs w:val="22"/>
                <w:u w:val="none"/>
              </w:rPr>
            </w:pPr>
          </w:p>
        </w:tc>
        <w:tc>
          <w:tcPr>
            <w:tcW w:w="2585" w:type="dxa"/>
            <w:shd w:val="clear" w:color="auto" w:fill="auto"/>
            <w:vAlign w:val="bottom"/>
          </w:tcPr>
          <w:p>
            <w:pPr>
              <w:rPr>
                <w:rFonts w:hint="eastAsia" w:ascii="宋体" w:hAnsi="宋体" w:eastAsia="宋体" w:cs="宋体"/>
                <w:i w:val="0"/>
                <w:color w:val="000000"/>
                <w:sz w:val="22"/>
                <w:szCs w:val="22"/>
                <w:u w:val="none"/>
              </w:rPr>
            </w:pPr>
          </w:p>
        </w:tc>
      </w:tr>
    </w:tbl>
    <w:p>
      <w:pPr>
        <w:pStyle w:val="2"/>
        <w:keepNext w:val="0"/>
        <w:keepLines w:val="0"/>
        <w:widowControl/>
        <w:suppressLineNumbers w:val="0"/>
        <w:shd w:val="clear" w:fill="FFFFFF"/>
        <w:wordWrap w:val="0"/>
        <w:spacing w:line="357" w:lineRule="atLeast"/>
        <w:ind w:firstLine="440" w:firstLineChars="100"/>
        <w:rPr>
          <w:rFonts w:hint="default" w:ascii="lucida Grande" w:hAnsi="lucida Grande" w:eastAsia="lucida Grande" w:cs="lucida Grande"/>
          <w:b w:val="0"/>
          <w:i w:val="0"/>
          <w:caps w:val="0"/>
          <w:color w:val="000000"/>
          <w:spacing w:val="0"/>
          <w:sz w:val="44"/>
          <w:szCs w:val="44"/>
          <w:shd w:val="clear" w:fill="FFFFFF"/>
        </w:rPr>
      </w:pPr>
    </w:p>
    <w:p>
      <w:pPr>
        <w:pStyle w:val="2"/>
        <w:keepNext w:val="0"/>
        <w:keepLines w:val="0"/>
        <w:widowControl/>
        <w:suppressLineNumbers w:val="0"/>
        <w:shd w:val="clear" w:fill="FFFFFF"/>
        <w:wordWrap w:val="0"/>
        <w:spacing w:line="357" w:lineRule="atLeast"/>
        <w:rPr>
          <w:rFonts w:hint="default" w:ascii="lucida Grande" w:hAnsi="lucida Grande" w:eastAsia="lucida Grande" w:cs="lucida Grande"/>
          <w:b w:val="0"/>
          <w:i w:val="0"/>
          <w:caps w:val="0"/>
          <w:color w:val="000000"/>
          <w:spacing w:val="0"/>
          <w:sz w:val="44"/>
          <w:szCs w:val="44"/>
          <w:shd w:val="clear" w:fill="FFFFFF"/>
        </w:rPr>
      </w:pPr>
    </w:p>
    <w:p>
      <w:pPr>
        <w:pStyle w:val="2"/>
        <w:keepNext w:val="0"/>
        <w:keepLines w:val="0"/>
        <w:widowControl/>
        <w:suppressLineNumbers w:val="0"/>
        <w:shd w:val="clear" w:fill="FFFFFF"/>
        <w:wordWrap w:val="0"/>
        <w:spacing w:line="357" w:lineRule="atLeast"/>
        <w:ind w:firstLine="440" w:firstLineChars="100"/>
        <w:rPr>
          <w:rFonts w:ascii="黑体" w:hAnsi="宋体" w:eastAsia="黑体" w:cs="黑体"/>
          <w:b w:val="0"/>
          <w:i w:val="0"/>
          <w:caps w:val="0"/>
          <w:color w:val="000000"/>
          <w:spacing w:val="0"/>
          <w:sz w:val="44"/>
          <w:szCs w:val="44"/>
          <w:shd w:val="clear" w:fill="FFFFFF"/>
        </w:rPr>
      </w:pPr>
      <w:r>
        <w:rPr>
          <w:rFonts w:hint="default" w:ascii="lucida Grande" w:hAnsi="lucida Grande" w:eastAsia="lucida Grande" w:cs="lucida Grande"/>
          <w:b w:val="0"/>
          <w:i w:val="0"/>
          <w:caps w:val="0"/>
          <w:color w:val="000000"/>
          <w:spacing w:val="0"/>
          <w:sz w:val="44"/>
          <w:szCs w:val="44"/>
          <w:shd w:val="clear" w:fill="FFFFFF"/>
        </w:rPr>
        <w:t> </w:t>
      </w:r>
      <w:r>
        <w:rPr>
          <w:rFonts w:ascii="黑体" w:hAnsi="宋体" w:eastAsia="黑体" w:cs="黑体"/>
          <w:b w:val="0"/>
          <w:i w:val="0"/>
          <w:caps w:val="0"/>
          <w:color w:val="000000"/>
          <w:spacing w:val="0"/>
          <w:sz w:val="44"/>
          <w:szCs w:val="44"/>
          <w:shd w:val="clear" w:fill="FFFFFF"/>
        </w:rPr>
        <w:t>霍邱县供销社201</w:t>
      </w:r>
      <w:r>
        <w:rPr>
          <w:rFonts w:hint="eastAsia" w:ascii="黑体" w:hAnsi="宋体" w:eastAsia="黑体" w:cs="黑体"/>
          <w:b w:val="0"/>
          <w:i w:val="0"/>
          <w:caps w:val="0"/>
          <w:color w:val="000000"/>
          <w:spacing w:val="0"/>
          <w:sz w:val="44"/>
          <w:szCs w:val="44"/>
          <w:shd w:val="clear" w:fill="FFFFFF"/>
          <w:lang w:val="en-US" w:eastAsia="zh-CN"/>
        </w:rPr>
        <w:t>8</w:t>
      </w:r>
      <w:r>
        <w:rPr>
          <w:rFonts w:ascii="黑体" w:hAnsi="宋体" w:eastAsia="黑体" w:cs="黑体"/>
          <w:b w:val="0"/>
          <w:i w:val="0"/>
          <w:caps w:val="0"/>
          <w:color w:val="000000"/>
          <w:spacing w:val="0"/>
          <w:sz w:val="44"/>
          <w:szCs w:val="44"/>
          <w:shd w:val="clear" w:fill="FFFFFF"/>
        </w:rPr>
        <w:t>年部门预算编制</w:t>
      </w:r>
    </w:p>
    <w:p>
      <w:pPr>
        <w:pStyle w:val="2"/>
        <w:keepNext w:val="0"/>
        <w:keepLines w:val="0"/>
        <w:widowControl/>
        <w:suppressLineNumbers w:val="0"/>
        <w:shd w:val="clear" w:fill="FFFFFF"/>
        <w:wordWrap w:val="0"/>
        <w:spacing w:line="357" w:lineRule="atLeast"/>
        <w:ind w:left="0" w:firstLine="2640" w:firstLineChars="600"/>
        <w:rPr>
          <w:rFonts w:ascii="lucida Grande" w:hAnsi="lucida Grande" w:eastAsia="lucida Grande" w:cs="lucida Grande"/>
          <w:b w:val="0"/>
          <w:i w:val="0"/>
          <w:caps w:val="0"/>
          <w:color w:val="000000"/>
          <w:spacing w:val="0"/>
          <w:sz w:val="21"/>
          <w:szCs w:val="21"/>
        </w:rPr>
      </w:pPr>
      <w:r>
        <w:rPr>
          <w:rFonts w:hint="eastAsia" w:ascii="黑体" w:hAnsi="宋体" w:eastAsia="黑体" w:cs="黑体"/>
          <w:b w:val="0"/>
          <w:i w:val="0"/>
          <w:caps w:val="0"/>
          <w:color w:val="000000"/>
          <w:spacing w:val="0"/>
          <w:sz w:val="44"/>
          <w:szCs w:val="44"/>
          <w:shd w:val="clear" w:fill="FFFFFF"/>
        </w:rPr>
        <w:t>情况说明</w:t>
      </w:r>
    </w:p>
    <w:p>
      <w:pPr>
        <w:pStyle w:val="2"/>
        <w:keepNext w:val="0"/>
        <w:keepLines w:val="0"/>
        <w:widowControl/>
        <w:numPr>
          <w:ilvl w:val="0"/>
          <w:numId w:val="1"/>
        </w:numPr>
        <w:suppressLineNumbers w:val="0"/>
        <w:wordWrap w:val="0"/>
        <w:spacing w:line="357" w:lineRule="atLeast"/>
        <w:ind w:left="0" w:firstLine="640"/>
        <w:rPr>
          <w:rFonts w:hint="eastAsia" w:ascii="黑体" w:hAnsi="黑体" w:eastAsia="黑体" w:cs="黑体"/>
          <w:b w:val="0"/>
          <w:i w:val="0"/>
          <w:caps w:val="0"/>
          <w:color w:val="000000"/>
          <w:spacing w:val="0"/>
          <w:sz w:val="32"/>
          <w:szCs w:val="32"/>
          <w:shd w:val="clear" w:fill="FFFFFF"/>
        </w:rPr>
      </w:pPr>
      <w:r>
        <w:rPr>
          <w:rFonts w:hint="eastAsia" w:ascii="黑体" w:hAnsi="黑体" w:eastAsia="黑体" w:cs="黑体"/>
          <w:b w:val="0"/>
          <w:i w:val="0"/>
          <w:caps w:val="0"/>
          <w:color w:val="000000"/>
          <w:spacing w:val="0"/>
          <w:sz w:val="32"/>
          <w:szCs w:val="32"/>
          <w:shd w:val="clear" w:fill="FFFFFF"/>
        </w:rPr>
        <w:t>部门</w:t>
      </w:r>
      <w:r>
        <w:rPr>
          <w:rFonts w:hint="eastAsia" w:ascii="黑体" w:hAnsi="黑体" w:eastAsia="黑体" w:cs="黑体"/>
          <w:b w:val="0"/>
          <w:i w:val="0"/>
          <w:caps w:val="0"/>
          <w:color w:val="000000"/>
          <w:spacing w:val="0"/>
          <w:sz w:val="32"/>
          <w:szCs w:val="32"/>
          <w:shd w:val="clear" w:fill="FFFFFF"/>
          <w:lang w:eastAsia="zh-CN"/>
        </w:rPr>
        <w:t>概况</w:t>
      </w:r>
    </w:p>
    <w:p>
      <w:pPr>
        <w:pStyle w:val="2"/>
        <w:keepNext w:val="0"/>
        <w:keepLines w:val="0"/>
        <w:widowControl/>
        <w:suppressLineNumbers w:val="0"/>
        <w:spacing w:before="300" w:beforeAutospacing="0" w:after="0" w:afterAutospacing="0" w:line="360" w:lineRule="auto"/>
        <w:ind w:left="0" w:right="0" w:firstLine="450"/>
        <w:rPr>
          <w:rFonts w:hint="eastAsia" w:ascii="仿宋" w:hAnsi="仿宋" w:eastAsia="仿宋" w:cs="仿宋"/>
          <w:sz w:val="32"/>
          <w:szCs w:val="32"/>
        </w:rPr>
      </w:pPr>
      <w:r>
        <w:rPr>
          <w:rFonts w:hint="eastAsia" w:ascii="仿宋" w:hAnsi="仿宋" w:eastAsia="仿宋" w:cs="仿宋"/>
          <w:b/>
          <w:color w:val="333333"/>
          <w:sz w:val="32"/>
          <w:szCs w:val="32"/>
          <w:shd w:val="clear" w:fill="FFFFFF"/>
        </w:rPr>
        <w:t>1、2018年部门预算编制指导思想及依据</w:t>
      </w:r>
      <w:r>
        <w:rPr>
          <w:rFonts w:hint="eastAsia" w:ascii="仿宋" w:hAnsi="仿宋" w:eastAsia="仿宋" w:cs="仿宋"/>
          <w:color w:val="333333"/>
          <w:sz w:val="32"/>
          <w:szCs w:val="32"/>
          <w:shd w:val="clear" w:fill="FFFFFF"/>
        </w:rPr>
        <w:t xml:space="preserve"> </w:t>
      </w:r>
    </w:p>
    <w:p>
      <w:pPr>
        <w:pStyle w:val="2"/>
        <w:keepNext w:val="0"/>
        <w:keepLines w:val="0"/>
        <w:widowControl/>
        <w:suppressLineNumbers w:val="0"/>
        <w:spacing w:before="300" w:beforeAutospacing="0" w:after="0" w:afterAutospacing="0" w:line="360" w:lineRule="auto"/>
        <w:ind w:left="0" w:right="0" w:firstLine="450"/>
        <w:rPr>
          <w:rFonts w:hint="eastAsia" w:ascii="仿宋" w:hAnsi="仿宋" w:eastAsia="仿宋" w:cs="仿宋"/>
          <w:sz w:val="32"/>
          <w:szCs w:val="32"/>
        </w:rPr>
      </w:pPr>
      <w:r>
        <w:rPr>
          <w:rFonts w:hint="eastAsia" w:ascii="仿宋" w:hAnsi="仿宋" w:eastAsia="仿宋" w:cs="仿宋"/>
          <w:color w:val="333333"/>
          <w:sz w:val="32"/>
          <w:szCs w:val="32"/>
          <w:shd w:val="clear" w:fill="FFFFFF"/>
        </w:rPr>
        <w:t>根据《霍邱县财政局（国资委）关于印发2018年预算公开工作方案的通知》（财预[2018]7号）和《霍邱县财政局关于转发＜安徽省财政厅关于印发2018年预算公开工作方案的通知＞的通知》（财预〔2018〕16号）要求 ，结合《霍邱县财政局关于2018年县级部门综合预算的批复》（财预[2018]8号）文件，现将霍邱县</w:t>
      </w:r>
      <w:r>
        <w:rPr>
          <w:rFonts w:hint="eastAsia" w:ascii="仿宋" w:hAnsi="仿宋" w:eastAsia="仿宋" w:cs="仿宋"/>
          <w:color w:val="333333"/>
          <w:sz w:val="32"/>
          <w:szCs w:val="32"/>
          <w:shd w:val="clear" w:fill="FFFFFF"/>
          <w:lang w:eastAsia="zh-CN"/>
        </w:rPr>
        <w:t>供销社</w:t>
      </w:r>
      <w:r>
        <w:rPr>
          <w:rFonts w:hint="eastAsia" w:ascii="仿宋" w:hAnsi="仿宋" w:eastAsia="仿宋" w:cs="仿宋"/>
          <w:color w:val="333333"/>
          <w:sz w:val="32"/>
          <w:szCs w:val="32"/>
          <w:shd w:val="clear" w:fill="FFFFFF"/>
        </w:rPr>
        <w:t xml:space="preserve">2018年收支预算和2018年“三公”经费预算支出情况说明如下： </w:t>
      </w:r>
    </w:p>
    <w:p>
      <w:pPr>
        <w:pStyle w:val="2"/>
        <w:keepNext w:val="0"/>
        <w:keepLines w:val="0"/>
        <w:widowControl/>
        <w:suppressLineNumbers w:val="0"/>
        <w:wordWrap w:val="0"/>
        <w:spacing w:line="357" w:lineRule="atLeast"/>
        <w:ind w:firstLine="640" w:firstLineChars="20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lang w:val="en-US" w:eastAsia="zh-CN"/>
        </w:rPr>
        <w:t>2、</w:t>
      </w:r>
      <w:r>
        <w:rPr>
          <w:rFonts w:hint="eastAsia" w:ascii="仿宋" w:hAnsi="仿宋" w:eastAsia="仿宋" w:cs="仿宋"/>
          <w:b w:val="0"/>
          <w:i w:val="0"/>
          <w:caps w:val="0"/>
          <w:color w:val="000000"/>
          <w:spacing w:val="0"/>
          <w:sz w:val="32"/>
          <w:szCs w:val="32"/>
          <w:shd w:val="clear" w:fill="FFFFFF"/>
        </w:rPr>
        <w:t>部门主要职能</w:t>
      </w:r>
    </w:p>
    <w:p>
      <w:pPr>
        <w:pStyle w:val="2"/>
        <w:keepNext w:val="0"/>
        <w:keepLines w:val="0"/>
        <w:widowControl/>
        <w:suppressLineNumbers w:val="0"/>
        <w:spacing w:before="0" w:beforeAutospacing="1" w:after="0" w:afterAutospacing="1" w:line="357" w:lineRule="atLeast"/>
        <w:ind w:left="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为“三农”服务，研究制定全县供销社的发展规划，指导全县供销社的改革与发展，负责对重要农业生产资料、农副产品、再生资源经营的组织、协调和管理；指导全县供销社系统积极参与农业产业化，搞好农业社会化服务体系和农业商品流通体系建设、引导、组织农民进入市场，活跃城乡商品流通，进城乡经济发展向政府和有关部门反映农民和供销社的意见和要求，协调同有关部门和社会组织的关系：监督管理社有资产、确保社有资产保值增值。</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b w:val="0"/>
          <w:i w:val="0"/>
          <w:caps w:val="0"/>
          <w:color w:val="000000"/>
          <w:spacing w:val="0"/>
          <w:sz w:val="32"/>
          <w:szCs w:val="32"/>
          <w:shd w:val="clear" w:fill="FFFFFF"/>
          <w:lang w:eastAsia="zh-CN"/>
        </w:rPr>
      </w:pPr>
      <w:r>
        <w:rPr>
          <w:rFonts w:hint="eastAsia" w:ascii="仿宋" w:hAnsi="仿宋" w:eastAsia="仿宋" w:cs="仿宋"/>
          <w:b w:val="0"/>
          <w:i w:val="0"/>
          <w:caps w:val="0"/>
          <w:color w:val="000000"/>
          <w:spacing w:val="0"/>
          <w:sz w:val="32"/>
          <w:szCs w:val="32"/>
          <w:shd w:val="clear" w:fill="FFFFFF"/>
          <w:lang w:val="en-US" w:eastAsia="zh-CN"/>
        </w:rPr>
        <w:t>3</w:t>
      </w:r>
      <w:r>
        <w:rPr>
          <w:rFonts w:hint="eastAsia" w:ascii="仿宋" w:hAnsi="仿宋" w:eastAsia="仿宋" w:cs="仿宋"/>
          <w:b w:val="0"/>
          <w:i w:val="0"/>
          <w:caps w:val="0"/>
          <w:color w:val="000000"/>
          <w:spacing w:val="0"/>
          <w:sz w:val="32"/>
          <w:szCs w:val="32"/>
          <w:shd w:val="clear" w:fill="FFFFFF"/>
        </w:rPr>
        <w:t>、201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年度部门预算单位</w:t>
      </w:r>
      <w:r>
        <w:rPr>
          <w:rFonts w:hint="eastAsia" w:ascii="仿宋" w:hAnsi="仿宋" w:eastAsia="仿宋" w:cs="仿宋"/>
          <w:b w:val="0"/>
          <w:i w:val="0"/>
          <w:caps w:val="0"/>
          <w:color w:val="000000"/>
          <w:spacing w:val="0"/>
          <w:sz w:val="32"/>
          <w:szCs w:val="32"/>
          <w:shd w:val="clear" w:fill="FFFFFF"/>
          <w:lang w:eastAsia="zh-CN"/>
        </w:rPr>
        <w:t>机构设置和人员情况</w:t>
      </w:r>
    </w:p>
    <w:p>
      <w:pPr>
        <w:pStyle w:val="2"/>
        <w:keepNext w:val="0"/>
        <w:keepLines w:val="0"/>
        <w:widowControl/>
        <w:suppressLineNumbers w:val="0"/>
        <w:wordWrap w:val="0"/>
        <w:spacing w:line="357" w:lineRule="atLeast"/>
        <w:ind w:firstLine="640" w:firstLineChars="20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霍邱县供销社201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年度部门预算包括机关本级和机关所属单位预算，共1个。详细情况见下表： </w:t>
      </w:r>
    </w:p>
    <w:tbl>
      <w:tblPr>
        <w:tblStyle w:val="9"/>
        <w:tblW w:w="832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649"/>
        <w:gridCol w:w="2223"/>
        <w:gridCol w:w="344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2649" w:type="dxa"/>
            <w:tcBorders>
              <w:top w:val="single" w:color="auto" w:sz="8" w:space="0"/>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         序 号</w:t>
            </w:r>
          </w:p>
        </w:tc>
        <w:tc>
          <w:tcPr>
            <w:tcW w:w="2223" w:type="dxa"/>
            <w:tcBorders>
              <w:top w:val="single" w:color="auto" w:sz="8" w:space="0"/>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      单位名称</w:t>
            </w:r>
          </w:p>
        </w:tc>
        <w:tc>
          <w:tcPr>
            <w:tcW w:w="3449"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649" w:type="dxa"/>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           1</w:t>
            </w:r>
          </w:p>
        </w:tc>
        <w:tc>
          <w:tcPr>
            <w:tcW w:w="2223" w:type="dxa"/>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霍邱县供销社本级</w:t>
            </w:r>
          </w:p>
        </w:tc>
        <w:tc>
          <w:tcPr>
            <w:tcW w:w="3449"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649" w:type="dxa"/>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lang w:val="en-US" w:eastAsia="zh-CN"/>
              </w:rPr>
            </w:pPr>
            <w:r>
              <w:rPr>
                <w:rFonts w:hint="eastAsia" w:ascii="仿宋" w:hAnsi="仿宋" w:eastAsia="仿宋" w:cs="仿宋"/>
                <w:spacing w:val="0"/>
                <w:sz w:val="32"/>
                <w:szCs w:val="32"/>
              </w:rPr>
              <w:t xml:space="preserve">         </w:t>
            </w:r>
            <w:r>
              <w:rPr>
                <w:rFonts w:hint="eastAsia" w:ascii="仿宋" w:hAnsi="仿宋" w:eastAsia="仿宋" w:cs="仿宋"/>
                <w:spacing w:val="0"/>
                <w:sz w:val="32"/>
                <w:szCs w:val="32"/>
                <w:lang w:val="en-US" w:eastAsia="zh-CN"/>
              </w:rPr>
              <w:t>2</w:t>
            </w:r>
          </w:p>
        </w:tc>
        <w:tc>
          <w:tcPr>
            <w:tcW w:w="2223" w:type="dxa"/>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w:t>
            </w:r>
          </w:p>
        </w:tc>
        <w:tc>
          <w:tcPr>
            <w:tcW w:w="3449"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649" w:type="dxa"/>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 </w:t>
            </w:r>
          </w:p>
        </w:tc>
        <w:tc>
          <w:tcPr>
            <w:tcW w:w="2223" w:type="dxa"/>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pacing w:val="0"/>
                <w:sz w:val="32"/>
                <w:szCs w:val="32"/>
              </w:rPr>
              <w:t> </w:t>
            </w:r>
          </w:p>
        </w:tc>
        <w:tc>
          <w:tcPr>
            <w:tcW w:w="3449"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r>
    </w:tbl>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p>
    <w:p>
      <w:pPr>
        <w:pStyle w:val="2"/>
        <w:keepNext w:val="0"/>
        <w:keepLines w:val="0"/>
        <w:widowControl/>
        <w:suppressLineNumbers w:val="0"/>
        <w:wordWrap w:val="0"/>
        <w:spacing w:line="357" w:lineRule="atLeast"/>
        <w:ind w:firstLine="640" w:firstLineChars="20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霍邱县供销社是霍邱县人民政府直属具有行政职能的财政全额拨款的正科级单位。核定编制23人，现有在职人员2</w:t>
      </w:r>
      <w:r>
        <w:rPr>
          <w:rFonts w:hint="eastAsia" w:ascii="仿宋" w:hAnsi="仿宋" w:eastAsia="仿宋" w:cs="仿宋"/>
          <w:b w:val="0"/>
          <w:i w:val="0"/>
          <w:caps w:val="0"/>
          <w:color w:val="000000"/>
          <w:spacing w:val="0"/>
          <w:sz w:val="32"/>
          <w:szCs w:val="32"/>
          <w:shd w:val="clear" w:fill="FFFFFF"/>
          <w:lang w:val="en-US" w:eastAsia="zh-CN"/>
        </w:rPr>
        <w:t>6</w:t>
      </w:r>
      <w:r>
        <w:rPr>
          <w:rFonts w:hint="eastAsia" w:ascii="仿宋" w:hAnsi="仿宋" w:eastAsia="仿宋" w:cs="仿宋"/>
          <w:b w:val="0"/>
          <w:i w:val="0"/>
          <w:caps w:val="0"/>
          <w:color w:val="000000"/>
          <w:spacing w:val="0"/>
          <w:sz w:val="32"/>
          <w:szCs w:val="32"/>
          <w:shd w:val="clear" w:fill="FFFFFF"/>
        </w:rPr>
        <w:t>人。离休1人，退休2</w:t>
      </w:r>
      <w:r>
        <w:rPr>
          <w:rFonts w:hint="eastAsia" w:ascii="仿宋" w:hAnsi="仿宋" w:eastAsia="仿宋" w:cs="仿宋"/>
          <w:b w:val="0"/>
          <w:i w:val="0"/>
          <w:caps w:val="0"/>
          <w:color w:val="000000"/>
          <w:spacing w:val="0"/>
          <w:sz w:val="32"/>
          <w:szCs w:val="32"/>
          <w:shd w:val="clear" w:fill="FFFFFF"/>
          <w:lang w:val="en-US" w:eastAsia="zh-CN"/>
        </w:rPr>
        <w:t>5</w:t>
      </w:r>
      <w:r>
        <w:rPr>
          <w:rFonts w:hint="eastAsia" w:ascii="仿宋" w:hAnsi="仿宋" w:eastAsia="仿宋" w:cs="仿宋"/>
          <w:b w:val="0"/>
          <w:i w:val="0"/>
          <w:caps w:val="0"/>
          <w:color w:val="000000"/>
          <w:spacing w:val="0"/>
          <w:sz w:val="32"/>
          <w:szCs w:val="32"/>
          <w:shd w:val="clear" w:fill="FFFFFF"/>
        </w:rPr>
        <w:t>人,遗属</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人。</w:t>
      </w:r>
      <w:r>
        <w:rPr>
          <w:rFonts w:hint="eastAsia" w:ascii="仿宋" w:hAnsi="仿宋" w:eastAsia="仿宋" w:cs="仿宋"/>
          <w:b w:val="0"/>
          <w:i w:val="0"/>
          <w:caps w:val="0"/>
          <w:color w:val="000000"/>
          <w:spacing w:val="0"/>
          <w:sz w:val="32"/>
          <w:szCs w:val="32"/>
          <w:shd w:val="clear" w:fill="FFFFFF"/>
          <w:lang w:eastAsia="zh-CN"/>
        </w:rPr>
        <w:t>七</w:t>
      </w:r>
      <w:r>
        <w:rPr>
          <w:rFonts w:hint="eastAsia" w:ascii="仿宋" w:hAnsi="仿宋" w:eastAsia="仿宋" w:cs="仿宋"/>
          <w:b w:val="0"/>
          <w:i w:val="0"/>
          <w:caps w:val="0"/>
          <w:color w:val="000000"/>
          <w:spacing w:val="0"/>
          <w:sz w:val="32"/>
          <w:szCs w:val="32"/>
          <w:shd w:val="clear" w:fill="FFFFFF"/>
        </w:rPr>
        <w:t>个职能股室：办公室、人事股、财务</w:t>
      </w:r>
      <w:r>
        <w:rPr>
          <w:rFonts w:hint="eastAsia" w:ascii="仿宋" w:hAnsi="仿宋" w:eastAsia="仿宋" w:cs="仿宋"/>
          <w:b w:val="0"/>
          <w:i w:val="0"/>
          <w:caps w:val="0"/>
          <w:color w:val="000000"/>
          <w:spacing w:val="0"/>
          <w:sz w:val="32"/>
          <w:szCs w:val="32"/>
          <w:shd w:val="clear" w:fill="FFFFFF"/>
          <w:lang w:eastAsia="zh-CN"/>
        </w:rPr>
        <w:t>股、</w:t>
      </w:r>
      <w:r>
        <w:rPr>
          <w:rFonts w:hint="eastAsia" w:ascii="仿宋" w:hAnsi="仿宋" w:eastAsia="仿宋" w:cs="仿宋"/>
          <w:b w:val="0"/>
          <w:i w:val="0"/>
          <w:caps w:val="0"/>
          <w:color w:val="000000"/>
          <w:spacing w:val="0"/>
          <w:sz w:val="32"/>
          <w:szCs w:val="32"/>
          <w:shd w:val="clear" w:fill="FFFFFF"/>
        </w:rPr>
        <w:t>资产管理股、业务股、信访室、监察审计室。</w:t>
      </w:r>
    </w:p>
    <w:p>
      <w:pPr>
        <w:pStyle w:val="2"/>
        <w:keepNext w:val="0"/>
        <w:keepLines w:val="0"/>
        <w:widowControl/>
        <w:suppressLineNumbers w:val="0"/>
        <w:spacing w:before="300" w:beforeAutospacing="0" w:after="0" w:afterAutospacing="0" w:line="480" w:lineRule="auto"/>
        <w:ind w:right="0" w:firstLine="640" w:firstLineChars="200"/>
        <w:rPr>
          <w:rFonts w:hint="eastAsia" w:ascii="仿宋" w:hAnsi="仿宋" w:eastAsia="仿宋" w:cs="仿宋"/>
          <w:sz w:val="32"/>
          <w:szCs w:val="32"/>
        </w:rPr>
      </w:pPr>
      <w:r>
        <w:rPr>
          <w:rFonts w:hint="eastAsia" w:ascii="仿宋" w:hAnsi="仿宋" w:eastAsia="仿宋" w:cs="仿宋"/>
          <w:color w:val="333333"/>
          <w:sz w:val="32"/>
          <w:szCs w:val="32"/>
          <w:shd w:val="clear" w:fill="FFFFFF"/>
          <w:lang w:val="en-US" w:eastAsia="zh-CN"/>
        </w:rPr>
        <w:t>4、</w:t>
      </w:r>
      <w:r>
        <w:rPr>
          <w:rFonts w:hint="eastAsia" w:ascii="仿宋" w:hAnsi="仿宋" w:eastAsia="仿宋" w:cs="仿宋"/>
          <w:color w:val="333333"/>
          <w:sz w:val="32"/>
          <w:szCs w:val="32"/>
          <w:shd w:val="clear" w:fill="FFFFFF"/>
        </w:rPr>
        <w:t xml:space="preserve">2018年工作计划 </w:t>
      </w:r>
    </w:p>
    <w:p>
      <w:pPr>
        <w:pStyle w:val="2"/>
        <w:keepNext w:val="0"/>
        <w:keepLines w:val="0"/>
        <w:widowControl/>
        <w:suppressLineNumbers w:val="0"/>
        <w:spacing w:before="300" w:beforeAutospacing="0" w:after="0" w:afterAutospacing="0" w:line="480" w:lineRule="auto"/>
        <w:ind w:left="0" w:right="0" w:firstLine="420"/>
        <w:rPr>
          <w:rFonts w:hint="eastAsia" w:ascii="仿宋" w:hAnsi="仿宋" w:eastAsia="仿宋" w:cs="仿宋"/>
          <w:sz w:val="32"/>
          <w:szCs w:val="32"/>
        </w:rPr>
      </w:pPr>
      <w:r>
        <w:rPr>
          <w:rFonts w:hint="eastAsia" w:ascii="仿宋" w:hAnsi="仿宋" w:eastAsia="仿宋" w:cs="仿宋"/>
          <w:color w:val="333333"/>
          <w:sz w:val="32"/>
          <w:szCs w:val="32"/>
          <w:shd w:val="clear" w:fill="FFFFFF"/>
        </w:rPr>
        <w:t xml:space="preserve">2018年，我社将按照县委、县政府的安排部署，全力以赴地做好各项工作，力争超额完成各项目标任务。 </w:t>
      </w:r>
    </w:p>
    <w:p>
      <w:pPr>
        <w:pStyle w:val="2"/>
        <w:keepNext w:val="0"/>
        <w:keepLines w:val="0"/>
        <w:widowControl/>
        <w:suppressLineNumbers w:val="0"/>
        <w:spacing w:before="0" w:beforeAutospacing="1" w:after="0" w:afterAutospacing="1" w:line="357" w:lineRule="atLeast"/>
        <w:ind w:right="0" w:firstLine="320" w:firstLineChars="100"/>
        <w:jc w:val="both"/>
        <w:rPr>
          <w:rFonts w:hint="eastAsia" w:ascii="黑体" w:hAnsi="黑体" w:eastAsia="黑体" w:cs="黑体"/>
          <w:sz w:val="32"/>
          <w:szCs w:val="32"/>
        </w:rPr>
      </w:pPr>
      <w:r>
        <w:rPr>
          <w:rFonts w:hint="eastAsia" w:ascii="黑体" w:hAnsi="黑体" w:eastAsia="黑体" w:cs="黑体"/>
          <w:b w:val="0"/>
          <w:i w:val="0"/>
          <w:caps w:val="0"/>
          <w:color w:val="000000"/>
          <w:spacing w:val="0"/>
          <w:sz w:val="32"/>
          <w:szCs w:val="32"/>
          <w:shd w:val="clear" w:fill="FFFFFF"/>
          <w:lang w:eastAsia="zh-CN"/>
        </w:rPr>
        <w:t>二</w:t>
      </w:r>
      <w:r>
        <w:rPr>
          <w:rFonts w:hint="eastAsia" w:ascii="黑体" w:hAnsi="黑体" w:eastAsia="黑体" w:cs="黑体"/>
          <w:b w:val="0"/>
          <w:i w:val="0"/>
          <w:caps w:val="0"/>
          <w:color w:val="000000"/>
          <w:spacing w:val="0"/>
          <w:sz w:val="32"/>
          <w:szCs w:val="32"/>
          <w:shd w:val="clear" w:fill="FFFFFF"/>
        </w:rPr>
        <w:t>、霍邱县供销社201</w:t>
      </w:r>
      <w:r>
        <w:rPr>
          <w:rFonts w:hint="eastAsia" w:ascii="黑体" w:hAnsi="黑体" w:eastAsia="黑体" w:cs="黑体"/>
          <w:b w:val="0"/>
          <w:i w:val="0"/>
          <w:caps w:val="0"/>
          <w:color w:val="000000"/>
          <w:spacing w:val="0"/>
          <w:sz w:val="32"/>
          <w:szCs w:val="32"/>
          <w:shd w:val="clear" w:fill="FFFFFF"/>
          <w:lang w:val="en-US" w:eastAsia="zh-CN"/>
        </w:rPr>
        <w:t>8</w:t>
      </w:r>
      <w:r>
        <w:rPr>
          <w:rFonts w:hint="eastAsia" w:ascii="黑体" w:hAnsi="黑体" w:eastAsia="黑体" w:cs="黑体"/>
          <w:b w:val="0"/>
          <w:i w:val="0"/>
          <w:caps w:val="0"/>
          <w:color w:val="000000"/>
          <w:spacing w:val="0"/>
          <w:sz w:val="32"/>
          <w:szCs w:val="32"/>
          <w:shd w:val="clear" w:fill="FFFFFF"/>
        </w:rPr>
        <w:t>年度部门预算说明</w:t>
      </w:r>
    </w:p>
    <w:p>
      <w:pPr>
        <w:pStyle w:val="2"/>
        <w:keepNext w:val="0"/>
        <w:keepLines w:val="0"/>
        <w:widowControl/>
        <w:suppressLineNumbers w:val="0"/>
        <w:wordWrap w:val="0"/>
        <w:spacing w:line="357" w:lineRule="atLeast"/>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年部门预算编报范围包括机关单位的收入、支出经费安排情况。收入包括一般公共预算财政拨款和预算外收入等；支出包括保障机关基本运行和维护稳定。</w:t>
      </w:r>
    </w:p>
    <w:p>
      <w:pPr>
        <w:pStyle w:val="2"/>
        <w:keepNext w:val="0"/>
        <w:keepLines w:val="0"/>
        <w:widowControl/>
        <w:suppressLineNumbers w:val="0"/>
        <w:wordWrap w:val="0"/>
        <w:spacing w:line="357" w:lineRule="atLeast"/>
        <w:ind w:left="0" w:firstLine="64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（一）收入预算，201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年年初预算数3</w:t>
      </w:r>
      <w:r>
        <w:rPr>
          <w:rFonts w:hint="eastAsia" w:ascii="仿宋" w:hAnsi="仿宋" w:eastAsia="仿宋" w:cs="仿宋"/>
          <w:b w:val="0"/>
          <w:i w:val="0"/>
          <w:caps w:val="0"/>
          <w:color w:val="000000"/>
          <w:spacing w:val="0"/>
          <w:sz w:val="32"/>
          <w:szCs w:val="32"/>
          <w:shd w:val="clear" w:fill="FFFFFF"/>
          <w:lang w:val="en-US" w:eastAsia="zh-CN"/>
        </w:rPr>
        <w:t>66.7</w:t>
      </w:r>
      <w:r>
        <w:rPr>
          <w:rFonts w:hint="eastAsia" w:ascii="仿宋" w:hAnsi="仿宋" w:eastAsia="仿宋" w:cs="仿宋"/>
          <w:b w:val="0"/>
          <w:i w:val="0"/>
          <w:caps w:val="0"/>
          <w:color w:val="000000"/>
          <w:spacing w:val="0"/>
          <w:sz w:val="32"/>
          <w:szCs w:val="32"/>
          <w:shd w:val="clear" w:fill="FFFFFF"/>
        </w:rPr>
        <w:t>万元，其中，一般公共预算拨款收入</w:t>
      </w:r>
      <w:r>
        <w:rPr>
          <w:rFonts w:hint="eastAsia" w:ascii="仿宋" w:hAnsi="仿宋" w:eastAsia="仿宋" w:cs="仿宋"/>
          <w:b w:val="0"/>
          <w:i w:val="0"/>
          <w:caps w:val="0"/>
          <w:color w:val="000000"/>
          <w:spacing w:val="0"/>
          <w:sz w:val="32"/>
          <w:szCs w:val="32"/>
          <w:shd w:val="clear" w:fill="FFFFFF"/>
          <w:lang w:val="en-US" w:eastAsia="zh-CN"/>
        </w:rPr>
        <w:t>189.1</w:t>
      </w:r>
      <w:r>
        <w:rPr>
          <w:rFonts w:hint="eastAsia" w:ascii="仿宋" w:hAnsi="仿宋" w:eastAsia="仿宋" w:cs="仿宋"/>
          <w:b w:val="0"/>
          <w:i w:val="0"/>
          <w:caps w:val="0"/>
          <w:color w:val="000000"/>
          <w:spacing w:val="0"/>
          <w:sz w:val="32"/>
          <w:szCs w:val="32"/>
          <w:shd w:val="clear" w:fill="FFFFFF"/>
        </w:rPr>
        <w:t>万元，预算外收入1</w:t>
      </w:r>
      <w:r>
        <w:rPr>
          <w:rFonts w:hint="eastAsia" w:ascii="仿宋" w:hAnsi="仿宋" w:eastAsia="仿宋" w:cs="仿宋"/>
          <w:b w:val="0"/>
          <w:i w:val="0"/>
          <w:caps w:val="0"/>
          <w:color w:val="000000"/>
          <w:spacing w:val="0"/>
          <w:sz w:val="32"/>
          <w:szCs w:val="32"/>
          <w:shd w:val="clear" w:fill="FFFFFF"/>
          <w:lang w:val="en-US" w:eastAsia="zh-CN"/>
        </w:rPr>
        <w:t>77.6</w:t>
      </w:r>
      <w:r>
        <w:rPr>
          <w:rFonts w:hint="eastAsia" w:ascii="仿宋" w:hAnsi="仿宋" w:eastAsia="仿宋" w:cs="仿宋"/>
          <w:b w:val="0"/>
          <w:i w:val="0"/>
          <w:caps w:val="0"/>
          <w:color w:val="000000"/>
          <w:spacing w:val="0"/>
          <w:sz w:val="32"/>
          <w:szCs w:val="32"/>
          <w:shd w:val="clear" w:fill="FFFFFF"/>
        </w:rPr>
        <w:t>万元。与201</w:t>
      </w:r>
      <w:r>
        <w:rPr>
          <w:rFonts w:hint="eastAsia" w:ascii="仿宋" w:hAnsi="仿宋" w:eastAsia="仿宋" w:cs="仿宋"/>
          <w:b w:val="0"/>
          <w:i w:val="0"/>
          <w:caps w:val="0"/>
          <w:color w:val="000000"/>
          <w:spacing w:val="0"/>
          <w:sz w:val="32"/>
          <w:szCs w:val="32"/>
          <w:shd w:val="clear" w:fill="FFFFFF"/>
          <w:lang w:val="en-US" w:eastAsia="zh-CN"/>
        </w:rPr>
        <w:t>7</w:t>
      </w:r>
      <w:r>
        <w:rPr>
          <w:rFonts w:hint="eastAsia" w:ascii="仿宋" w:hAnsi="仿宋" w:eastAsia="仿宋" w:cs="仿宋"/>
          <w:b w:val="0"/>
          <w:i w:val="0"/>
          <w:caps w:val="0"/>
          <w:color w:val="000000"/>
          <w:spacing w:val="0"/>
          <w:sz w:val="32"/>
          <w:szCs w:val="32"/>
          <w:shd w:val="clear" w:fill="FFFFFF"/>
        </w:rPr>
        <w:t>年度预算相比</w:t>
      </w:r>
      <w:r>
        <w:rPr>
          <w:rFonts w:hint="eastAsia" w:ascii="仿宋" w:hAnsi="仿宋" w:eastAsia="仿宋" w:cs="仿宋"/>
          <w:b w:val="0"/>
          <w:i w:val="0"/>
          <w:caps w:val="0"/>
          <w:color w:val="000000"/>
          <w:spacing w:val="0"/>
          <w:sz w:val="32"/>
          <w:szCs w:val="32"/>
          <w:shd w:val="clear" w:fill="FFFFFF"/>
          <w:lang w:eastAsia="zh-CN"/>
        </w:rPr>
        <w:t>减少</w:t>
      </w:r>
      <w:r>
        <w:rPr>
          <w:rFonts w:hint="eastAsia" w:ascii="仿宋" w:hAnsi="仿宋" w:eastAsia="仿宋" w:cs="仿宋"/>
          <w:b w:val="0"/>
          <w:i w:val="0"/>
          <w:caps w:val="0"/>
          <w:color w:val="000000"/>
          <w:spacing w:val="0"/>
          <w:sz w:val="32"/>
          <w:szCs w:val="32"/>
          <w:shd w:val="clear" w:fill="FFFFFF"/>
          <w:lang w:val="en-US" w:eastAsia="zh-CN"/>
        </w:rPr>
        <w:t>7</w:t>
      </w:r>
      <w:r>
        <w:rPr>
          <w:rFonts w:hint="eastAsia" w:ascii="仿宋" w:hAnsi="仿宋" w:eastAsia="仿宋" w:cs="仿宋"/>
          <w:b w:val="0"/>
          <w:i w:val="0"/>
          <w:caps w:val="0"/>
          <w:color w:val="000000"/>
          <w:spacing w:val="0"/>
          <w:sz w:val="32"/>
          <w:szCs w:val="32"/>
          <w:shd w:val="clear" w:fill="FFFFFF"/>
        </w:rPr>
        <w:t>%，</w:t>
      </w:r>
      <w:r>
        <w:rPr>
          <w:rFonts w:hint="eastAsia" w:ascii="仿宋" w:hAnsi="仿宋" w:eastAsia="仿宋" w:cs="仿宋"/>
          <w:b w:val="0"/>
          <w:i w:val="0"/>
          <w:caps w:val="0"/>
          <w:color w:val="000000"/>
          <w:spacing w:val="0"/>
          <w:sz w:val="32"/>
          <w:szCs w:val="32"/>
          <w:shd w:val="clear" w:fill="FFFFFF"/>
          <w:lang w:eastAsia="zh-CN"/>
        </w:rPr>
        <w:t>减少原因是退休人员工资纳入社保发放</w:t>
      </w:r>
      <w:r>
        <w:rPr>
          <w:rFonts w:hint="eastAsia" w:ascii="仿宋" w:hAnsi="仿宋" w:eastAsia="仿宋" w:cs="仿宋"/>
          <w:b w:val="0"/>
          <w:i w:val="0"/>
          <w:caps w:val="0"/>
          <w:color w:val="000000"/>
          <w:spacing w:val="0"/>
          <w:sz w:val="32"/>
          <w:szCs w:val="32"/>
          <w:shd w:val="clear" w:fill="FFFFFF"/>
        </w:rPr>
        <w:t>。</w:t>
      </w:r>
    </w:p>
    <w:p>
      <w:pPr>
        <w:pStyle w:val="2"/>
        <w:keepNext w:val="0"/>
        <w:keepLines w:val="0"/>
        <w:widowControl/>
        <w:suppressLineNumbers w:val="0"/>
        <w:wordWrap w:val="0"/>
        <w:spacing w:line="357" w:lineRule="atLeast"/>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（二）支出预算，201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年年初预算数3</w:t>
      </w:r>
      <w:r>
        <w:rPr>
          <w:rFonts w:hint="eastAsia" w:ascii="仿宋" w:hAnsi="仿宋" w:eastAsia="仿宋" w:cs="仿宋"/>
          <w:b w:val="0"/>
          <w:i w:val="0"/>
          <w:caps w:val="0"/>
          <w:color w:val="000000"/>
          <w:spacing w:val="0"/>
          <w:sz w:val="32"/>
          <w:szCs w:val="32"/>
          <w:shd w:val="clear" w:fill="FFFFFF"/>
          <w:lang w:val="en-US" w:eastAsia="zh-CN"/>
        </w:rPr>
        <w:t>66.7</w:t>
      </w:r>
      <w:r>
        <w:rPr>
          <w:rFonts w:hint="eastAsia" w:ascii="仿宋" w:hAnsi="仿宋" w:eastAsia="仿宋" w:cs="仿宋"/>
          <w:b w:val="0"/>
          <w:i w:val="0"/>
          <w:caps w:val="0"/>
          <w:color w:val="000000"/>
          <w:spacing w:val="0"/>
          <w:sz w:val="32"/>
          <w:szCs w:val="32"/>
          <w:shd w:val="clear" w:fill="FFFFFF"/>
        </w:rPr>
        <w:t>万元，其中，一般公共预算支出</w:t>
      </w:r>
      <w:r>
        <w:rPr>
          <w:rFonts w:hint="eastAsia" w:ascii="仿宋" w:hAnsi="仿宋" w:eastAsia="仿宋" w:cs="仿宋"/>
          <w:b w:val="0"/>
          <w:i w:val="0"/>
          <w:caps w:val="0"/>
          <w:color w:val="000000"/>
          <w:spacing w:val="0"/>
          <w:sz w:val="32"/>
          <w:szCs w:val="32"/>
          <w:shd w:val="clear" w:fill="FFFFFF"/>
          <w:lang w:val="en-US" w:eastAsia="zh-CN"/>
        </w:rPr>
        <w:t>189.1</w:t>
      </w:r>
      <w:r>
        <w:rPr>
          <w:rFonts w:hint="eastAsia" w:ascii="仿宋" w:hAnsi="仿宋" w:eastAsia="仿宋" w:cs="仿宋"/>
          <w:b w:val="0"/>
          <w:i w:val="0"/>
          <w:caps w:val="0"/>
          <w:color w:val="000000"/>
          <w:spacing w:val="0"/>
          <w:sz w:val="32"/>
          <w:szCs w:val="32"/>
          <w:shd w:val="clear" w:fill="FFFFFF"/>
        </w:rPr>
        <w:t>万元</w:t>
      </w:r>
      <w:r>
        <w:rPr>
          <w:rFonts w:hint="eastAsia" w:ascii="仿宋" w:hAnsi="仿宋" w:eastAsia="仿宋" w:cs="仿宋"/>
          <w:b w:val="0"/>
          <w:i w:val="0"/>
          <w:caps w:val="0"/>
          <w:color w:val="000000"/>
          <w:spacing w:val="0"/>
          <w:sz w:val="32"/>
          <w:szCs w:val="32"/>
          <w:shd w:val="clear" w:fill="FFFFFF"/>
          <w:lang w:eastAsia="zh-CN"/>
        </w:rPr>
        <w:t>，预算外支出</w:t>
      </w:r>
      <w:r>
        <w:rPr>
          <w:rFonts w:hint="eastAsia" w:ascii="仿宋" w:hAnsi="仿宋" w:eastAsia="仿宋" w:cs="仿宋"/>
          <w:b w:val="0"/>
          <w:i w:val="0"/>
          <w:caps w:val="0"/>
          <w:color w:val="000000"/>
          <w:spacing w:val="0"/>
          <w:sz w:val="32"/>
          <w:szCs w:val="32"/>
          <w:shd w:val="clear" w:fill="FFFFFF"/>
          <w:lang w:val="en-US" w:eastAsia="zh-CN"/>
        </w:rPr>
        <w:t>177.6万元。</w:t>
      </w:r>
      <w:r>
        <w:rPr>
          <w:rFonts w:hint="eastAsia" w:ascii="仿宋" w:hAnsi="仿宋" w:eastAsia="仿宋" w:cs="仿宋"/>
          <w:b w:val="0"/>
          <w:i w:val="0"/>
          <w:caps w:val="0"/>
          <w:color w:val="000000"/>
          <w:spacing w:val="0"/>
          <w:sz w:val="32"/>
          <w:szCs w:val="32"/>
          <w:shd w:val="clear" w:fill="FFFFFF"/>
        </w:rPr>
        <w:t>与20</w:t>
      </w:r>
      <w:r>
        <w:rPr>
          <w:rFonts w:hint="eastAsia" w:ascii="仿宋" w:hAnsi="仿宋" w:eastAsia="仿宋" w:cs="仿宋"/>
          <w:b w:val="0"/>
          <w:i w:val="0"/>
          <w:caps w:val="0"/>
          <w:color w:val="000000"/>
          <w:spacing w:val="0"/>
          <w:sz w:val="32"/>
          <w:szCs w:val="32"/>
          <w:shd w:val="clear" w:fill="FFFFFF"/>
          <w:lang w:val="en-US" w:eastAsia="zh-CN"/>
        </w:rPr>
        <w:t>17</w:t>
      </w:r>
      <w:r>
        <w:rPr>
          <w:rFonts w:hint="eastAsia" w:ascii="仿宋" w:hAnsi="仿宋" w:eastAsia="仿宋" w:cs="仿宋"/>
          <w:b w:val="0"/>
          <w:i w:val="0"/>
          <w:caps w:val="0"/>
          <w:color w:val="000000"/>
          <w:spacing w:val="0"/>
          <w:sz w:val="32"/>
          <w:szCs w:val="32"/>
          <w:shd w:val="clear" w:fill="FFFFFF"/>
        </w:rPr>
        <w:t>年度预算相比</w:t>
      </w:r>
      <w:r>
        <w:rPr>
          <w:rFonts w:hint="eastAsia" w:ascii="仿宋" w:hAnsi="仿宋" w:eastAsia="仿宋" w:cs="仿宋"/>
          <w:b w:val="0"/>
          <w:i w:val="0"/>
          <w:caps w:val="0"/>
          <w:color w:val="000000"/>
          <w:spacing w:val="0"/>
          <w:sz w:val="32"/>
          <w:szCs w:val="32"/>
          <w:shd w:val="clear" w:fill="FFFFFF"/>
          <w:lang w:eastAsia="zh-CN"/>
        </w:rPr>
        <w:t>减少</w:t>
      </w:r>
      <w:r>
        <w:rPr>
          <w:rFonts w:hint="eastAsia" w:ascii="仿宋" w:hAnsi="仿宋" w:eastAsia="仿宋" w:cs="仿宋"/>
          <w:b w:val="0"/>
          <w:i w:val="0"/>
          <w:caps w:val="0"/>
          <w:color w:val="000000"/>
          <w:spacing w:val="0"/>
          <w:sz w:val="32"/>
          <w:szCs w:val="32"/>
          <w:shd w:val="clear" w:fill="FFFFFF"/>
          <w:lang w:val="en-US" w:eastAsia="zh-CN"/>
        </w:rPr>
        <w:t>7</w:t>
      </w:r>
      <w:r>
        <w:rPr>
          <w:rFonts w:hint="eastAsia" w:ascii="仿宋" w:hAnsi="仿宋" w:eastAsia="仿宋" w:cs="仿宋"/>
          <w:b w:val="0"/>
          <w:i w:val="0"/>
          <w:caps w:val="0"/>
          <w:color w:val="000000"/>
          <w:spacing w:val="0"/>
          <w:sz w:val="32"/>
          <w:szCs w:val="32"/>
          <w:shd w:val="clear" w:fill="FFFFFF"/>
        </w:rPr>
        <w:t>%，</w:t>
      </w:r>
      <w:r>
        <w:rPr>
          <w:rFonts w:hint="eastAsia" w:ascii="仿宋" w:hAnsi="仿宋" w:eastAsia="仿宋" w:cs="仿宋"/>
          <w:b w:val="0"/>
          <w:i w:val="0"/>
          <w:caps w:val="0"/>
          <w:color w:val="000000"/>
          <w:spacing w:val="0"/>
          <w:sz w:val="32"/>
          <w:szCs w:val="32"/>
          <w:shd w:val="clear" w:fill="FFFFFF"/>
          <w:lang w:eastAsia="zh-CN"/>
        </w:rPr>
        <w:t>减少原因是退休人员工资纳入社保发放</w:t>
      </w:r>
      <w:r>
        <w:rPr>
          <w:rFonts w:hint="eastAsia" w:ascii="仿宋" w:hAnsi="仿宋" w:eastAsia="仿宋" w:cs="仿宋"/>
          <w:b w:val="0"/>
          <w:i w:val="0"/>
          <w:caps w:val="0"/>
          <w:color w:val="000000"/>
          <w:spacing w:val="0"/>
          <w:sz w:val="32"/>
          <w:szCs w:val="32"/>
          <w:shd w:val="clear" w:fill="FFFFFF"/>
        </w:rPr>
        <w:t>。</w:t>
      </w:r>
    </w:p>
    <w:p>
      <w:pPr>
        <w:pStyle w:val="2"/>
        <w:keepNext w:val="0"/>
        <w:keepLines w:val="0"/>
        <w:widowControl/>
        <w:suppressLineNumbers w:val="0"/>
        <w:wordWrap w:val="0"/>
        <w:spacing w:line="357" w:lineRule="atLeast"/>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(三)、一般公共预算支出</w:t>
      </w:r>
    </w:p>
    <w:p>
      <w:pPr>
        <w:pStyle w:val="2"/>
        <w:keepNext w:val="0"/>
        <w:keepLines w:val="0"/>
        <w:widowControl/>
        <w:suppressLineNumbers w:val="0"/>
        <w:wordWrap w:val="0"/>
        <w:spacing w:line="357" w:lineRule="atLeast"/>
        <w:ind w:left="0" w:firstLine="629"/>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年一般公共预算支出3</w:t>
      </w:r>
      <w:r>
        <w:rPr>
          <w:rFonts w:hint="eastAsia" w:ascii="仿宋" w:hAnsi="仿宋" w:eastAsia="仿宋" w:cs="仿宋"/>
          <w:b w:val="0"/>
          <w:i w:val="0"/>
          <w:caps w:val="0"/>
          <w:color w:val="000000"/>
          <w:spacing w:val="0"/>
          <w:sz w:val="32"/>
          <w:szCs w:val="32"/>
          <w:shd w:val="clear" w:fill="FFFFFF"/>
          <w:lang w:val="en-US" w:eastAsia="zh-CN"/>
        </w:rPr>
        <w:t>66.7</w:t>
      </w:r>
      <w:r>
        <w:rPr>
          <w:rFonts w:hint="eastAsia" w:ascii="仿宋" w:hAnsi="仿宋" w:eastAsia="仿宋" w:cs="仿宋"/>
          <w:b w:val="0"/>
          <w:i w:val="0"/>
          <w:caps w:val="0"/>
          <w:color w:val="000000"/>
          <w:spacing w:val="0"/>
          <w:sz w:val="32"/>
          <w:szCs w:val="32"/>
          <w:shd w:val="clear" w:fill="FFFFFF"/>
        </w:rPr>
        <w:t>万元，是指单位为保障机关正常运转和完成日常工作任务而发生的各项支出。具体安排情况如下：</w:t>
      </w:r>
    </w:p>
    <w:p>
      <w:pPr>
        <w:pStyle w:val="2"/>
        <w:keepNext w:val="0"/>
        <w:keepLines w:val="0"/>
        <w:widowControl/>
        <w:suppressLineNumbers w:val="0"/>
        <w:wordWrap w:val="0"/>
        <w:spacing w:line="357" w:lineRule="atLeast"/>
        <w:ind w:left="630" w:right="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1、基本工资、津贴补贴等人员经费</w:t>
      </w:r>
      <w:r>
        <w:rPr>
          <w:rFonts w:hint="eastAsia" w:ascii="仿宋" w:hAnsi="仿宋" w:eastAsia="仿宋" w:cs="仿宋"/>
          <w:b w:val="0"/>
          <w:i w:val="0"/>
          <w:caps w:val="0"/>
          <w:color w:val="000000"/>
          <w:spacing w:val="0"/>
          <w:sz w:val="32"/>
          <w:szCs w:val="32"/>
          <w:shd w:val="clear" w:fill="FFFFFF"/>
          <w:lang w:val="en-US" w:eastAsia="zh-CN"/>
        </w:rPr>
        <w:t>238.5</w:t>
      </w:r>
      <w:r>
        <w:rPr>
          <w:rFonts w:hint="eastAsia" w:ascii="仿宋" w:hAnsi="仿宋" w:eastAsia="仿宋" w:cs="仿宋"/>
          <w:b w:val="0"/>
          <w:i w:val="0"/>
          <w:caps w:val="0"/>
          <w:color w:val="000000"/>
          <w:spacing w:val="0"/>
          <w:sz w:val="32"/>
          <w:szCs w:val="32"/>
          <w:shd w:val="clear" w:fill="FFFFFF"/>
        </w:rPr>
        <w:t>万元</w:t>
      </w:r>
    </w:p>
    <w:p>
      <w:pPr>
        <w:pStyle w:val="2"/>
        <w:keepNext w:val="0"/>
        <w:keepLines w:val="0"/>
        <w:widowControl/>
        <w:suppressLineNumbers w:val="0"/>
        <w:wordWrap w:val="0"/>
        <w:spacing w:line="357" w:lineRule="atLeast"/>
        <w:ind w:right="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2、对个人和家庭的补助支出</w:t>
      </w:r>
      <w:r>
        <w:rPr>
          <w:rFonts w:hint="eastAsia" w:ascii="仿宋" w:hAnsi="仿宋" w:eastAsia="仿宋" w:cs="仿宋"/>
          <w:b w:val="0"/>
          <w:i w:val="0"/>
          <w:caps w:val="0"/>
          <w:color w:val="000000"/>
          <w:spacing w:val="0"/>
          <w:sz w:val="32"/>
          <w:szCs w:val="32"/>
          <w:shd w:val="clear" w:fill="FFFFFF"/>
          <w:lang w:val="en-US" w:eastAsia="zh-CN"/>
        </w:rPr>
        <w:t>36.6</w:t>
      </w:r>
      <w:r>
        <w:rPr>
          <w:rFonts w:hint="eastAsia" w:ascii="仿宋" w:hAnsi="仿宋" w:eastAsia="仿宋" w:cs="仿宋"/>
          <w:b w:val="0"/>
          <w:i w:val="0"/>
          <w:caps w:val="0"/>
          <w:color w:val="000000"/>
          <w:spacing w:val="0"/>
          <w:sz w:val="32"/>
          <w:szCs w:val="32"/>
          <w:shd w:val="clear" w:fill="FFFFFF"/>
        </w:rPr>
        <w:t>万元，</w:t>
      </w:r>
    </w:p>
    <w:p>
      <w:pPr>
        <w:pStyle w:val="2"/>
        <w:keepNext w:val="0"/>
        <w:keepLines w:val="0"/>
        <w:widowControl/>
        <w:suppressLineNumbers w:val="0"/>
        <w:wordWrap w:val="0"/>
        <w:spacing w:line="357" w:lineRule="atLeast"/>
        <w:ind w:right="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3、商品和服务支出</w:t>
      </w:r>
      <w:r>
        <w:rPr>
          <w:rFonts w:hint="eastAsia" w:ascii="仿宋" w:hAnsi="仿宋" w:eastAsia="仿宋" w:cs="仿宋"/>
          <w:b w:val="0"/>
          <w:i w:val="0"/>
          <w:caps w:val="0"/>
          <w:color w:val="000000"/>
          <w:spacing w:val="0"/>
          <w:sz w:val="32"/>
          <w:szCs w:val="32"/>
          <w:shd w:val="clear" w:fill="FFFFFF"/>
          <w:lang w:val="en-US" w:eastAsia="zh-CN"/>
        </w:rPr>
        <w:t>91.6</w:t>
      </w:r>
      <w:r>
        <w:rPr>
          <w:rFonts w:hint="eastAsia" w:ascii="仿宋" w:hAnsi="仿宋" w:eastAsia="仿宋" w:cs="仿宋"/>
          <w:b w:val="0"/>
          <w:i w:val="0"/>
          <w:caps w:val="0"/>
          <w:color w:val="000000"/>
          <w:spacing w:val="0"/>
          <w:sz w:val="32"/>
          <w:szCs w:val="32"/>
          <w:shd w:val="clear" w:fill="FFFFFF"/>
        </w:rPr>
        <w:t>万元其中包括办公费、印刷费水电费</w:t>
      </w:r>
      <w:r>
        <w:rPr>
          <w:rFonts w:hint="eastAsia" w:ascii="仿宋" w:hAnsi="仿宋" w:eastAsia="仿宋" w:cs="仿宋"/>
          <w:b w:val="0"/>
          <w:i w:val="0"/>
          <w:caps w:val="0"/>
          <w:color w:val="000000"/>
          <w:spacing w:val="0"/>
          <w:sz w:val="32"/>
          <w:szCs w:val="32"/>
          <w:shd w:val="clear" w:fill="FFFFFF"/>
          <w:lang w:eastAsia="zh-CN"/>
        </w:rPr>
        <w:t>、公务接待费、会议费、差旅费、邮电费、物业管理费</w:t>
      </w:r>
      <w:r>
        <w:rPr>
          <w:rFonts w:hint="eastAsia" w:ascii="仿宋" w:hAnsi="仿宋" w:eastAsia="仿宋" w:cs="仿宋"/>
          <w:b w:val="0"/>
          <w:i w:val="0"/>
          <w:caps w:val="0"/>
          <w:color w:val="000000"/>
          <w:spacing w:val="0"/>
          <w:sz w:val="32"/>
          <w:szCs w:val="32"/>
          <w:shd w:val="clear" w:fill="FFFFFF"/>
        </w:rPr>
        <w:t>及办公设备购置等日常公用经费。</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（四）、201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年度政府性基金财政拨款收入支出预算情况</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lang w:eastAsia="zh-CN"/>
        </w:rPr>
        <w:t>霍邱县</w:t>
      </w:r>
      <w:r>
        <w:rPr>
          <w:rFonts w:hint="eastAsia" w:ascii="仿宋" w:hAnsi="仿宋" w:eastAsia="仿宋" w:cs="仿宋"/>
          <w:b w:val="0"/>
          <w:i w:val="0"/>
          <w:caps w:val="0"/>
          <w:color w:val="000000"/>
          <w:spacing w:val="0"/>
          <w:sz w:val="32"/>
          <w:szCs w:val="32"/>
          <w:shd w:val="clear" w:fill="FFFFFF"/>
        </w:rPr>
        <w:t>供销社201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年没有政府基金拨款收入，也没有使用政府性基金安排支出。</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b w:val="0"/>
          <w:i w:val="0"/>
          <w:caps w:val="0"/>
          <w:color w:val="000000"/>
          <w:spacing w:val="0"/>
          <w:sz w:val="32"/>
          <w:szCs w:val="32"/>
          <w:shd w:val="clear" w:fill="FFFFFF"/>
          <w:lang w:eastAsia="zh-CN"/>
        </w:rPr>
      </w:pPr>
      <w:r>
        <w:rPr>
          <w:rFonts w:hint="eastAsia" w:ascii="仿宋" w:hAnsi="仿宋" w:eastAsia="仿宋" w:cs="仿宋"/>
          <w:b w:val="0"/>
          <w:i w:val="0"/>
          <w:caps w:val="0"/>
          <w:color w:val="000000"/>
          <w:spacing w:val="0"/>
          <w:sz w:val="32"/>
          <w:szCs w:val="32"/>
          <w:shd w:val="clear" w:fill="FFFFFF"/>
          <w:lang w:eastAsia="zh-CN"/>
        </w:rPr>
        <w:t>（五）</w:t>
      </w:r>
      <w:r>
        <w:rPr>
          <w:rFonts w:hint="eastAsia" w:ascii="仿宋" w:hAnsi="仿宋" w:eastAsia="仿宋" w:cs="仿宋"/>
          <w:b w:val="0"/>
          <w:i w:val="0"/>
          <w:caps w:val="0"/>
          <w:color w:val="000000"/>
          <w:spacing w:val="0"/>
          <w:sz w:val="32"/>
          <w:szCs w:val="32"/>
          <w:shd w:val="clear" w:fill="FFFFFF"/>
        </w:rPr>
        <w:t>2018年部门国有资本经营预算收支预算</w:t>
      </w:r>
      <w:r>
        <w:rPr>
          <w:rFonts w:hint="eastAsia" w:ascii="仿宋" w:hAnsi="仿宋" w:eastAsia="仿宋" w:cs="仿宋"/>
          <w:b w:val="0"/>
          <w:i w:val="0"/>
          <w:caps w:val="0"/>
          <w:color w:val="000000"/>
          <w:spacing w:val="0"/>
          <w:sz w:val="32"/>
          <w:szCs w:val="32"/>
          <w:shd w:val="clear" w:fill="FFFFFF"/>
          <w:lang w:eastAsia="zh-CN"/>
        </w:rPr>
        <w:t>情况</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b w:val="0"/>
          <w:i w:val="0"/>
          <w:caps w:val="0"/>
          <w:color w:val="000000"/>
          <w:spacing w:val="0"/>
          <w:sz w:val="32"/>
          <w:szCs w:val="32"/>
          <w:shd w:val="clear" w:fill="FFFFFF"/>
          <w:lang w:eastAsia="zh-CN"/>
        </w:rPr>
      </w:pPr>
      <w:r>
        <w:rPr>
          <w:rFonts w:hint="eastAsia" w:ascii="仿宋" w:hAnsi="仿宋" w:eastAsia="仿宋" w:cs="仿宋"/>
          <w:b w:val="0"/>
          <w:i w:val="0"/>
          <w:caps w:val="0"/>
          <w:color w:val="000000"/>
          <w:spacing w:val="0"/>
          <w:sz w:val="32"/>
          <w:szCs w:val="32"/>
          <w:shd w:val="clear" w:fill="FFFFFF"/>
          <w:lang w:eastAsia="zh-CN"/>
        </w:rPr>
        <w:t>霍邱县供销社</w:t>
      </w:r>
      <w:r>
        <w:rPr>
          <w:rFonts w:hint="eastAsia" w:ascii="仿宋" w:hAnsi="仿宋" w:eastAsia="仿宋" w:cs="仿宋"/>
          <w:b w:val="0"/>
          <w:i w:val="0"/>
          <w:caps w:val="0"/>
          <w:color w:val="000000"/>
          <w:spacing w:val="0"/>
          <w:sz w:val="32"/>
          <w:szCs w:val="32"/>
          <w:shd w:val="clear" w:fill="FFFFFF"/>
          <w:lang w:val="en-US" w:eastAsia="zh-CN"/>
        </w:rPr>
        <w:t>2018年</w:t>
      </w:r>
      <w:r>
        <w:rPr>
          <w:rFonts w:hint="eastAsia" w:ascii="仿宋" w:hAnsi="仿宋" w:eastAsia="仿宋" w:cs="仿宋"/>
          <w:b w:val="0"/>
          <w:i w:val="0"/>
          <w:caps w:val="0"/>
          <w:color w:val="000000"/>
          <w:spacing w:val="0"/>
          <w:sz w:val="32"/>
          <w:szCs w:val="32"/>
          <w:shd w:val="clear" w:fill="FFFFFF"/>
          <w:lang w:eastAsia="zh-CN"/>
        </w:rPr>
        <w:t>没有国有资本经营预算拨款收入，也没有使用国有资本经营预算安排的支出。</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w:t>
      </w:r>
      <w:r>
        <w:rPr>
          <w:rFonts w:hint="eastAsia" w:ascii="仿宋" w:hAnsi="仿宋" w:eastAsia="仿宋" w:cs="仿宋"/>
          <w:b w:val="0"/>
          <w:i w:val="0"/>
          <w:caps w:val="0"/>
          <w:color w:val="000000"/>
          <w:spacing w:val="0"/>
          <w:sz w:val="32"/>
          <w:szCs w:val="32"/>
          <w:shd w:val="clear" w:fill="FFFFFF"/>
          <w:lang w:eastAsia="zh-CN"/>
        </w:rPr>
        <w:t>六</w:t>
      </w:r>
      <w:r>
        <w:rPr>
          <w:rFonts w:hint="eastAsia" w:ascii="仿宋" w:hAnsi="仿宋" w:eastAsia="仿宋" w:cs="仿宋"/>
          <w:b w:val="0"/>
          <w:i w:val="0"/>
          <w:caps w:val="0"/>
          <w:color w:val="000000"/>
          <w:spacing w:val="0"/>
          <w:sz w:val="32"/>
          <w:szCs w:val="32"/>
          <w:shd w:val="clear" w:fill="FFFFFF"/>
        </w:rPr>
        <w:t>）其他重要事项的情况说明</w:t>
      </w:r>
    </w:p>
    <w:p>
      <w:pPr>
        <w:pStyle w:val="2"/>
        <w:keepNext w:val="0"/>
        <w:keepLines w:val="0"/>
        <w:widowControl/>
        <w:suppressLineNumbers w:val="0"/>
        <w:spacing w:before="0" w:beforeAutospacing="1" w:after="0" w:afterAutospacing="1" w:line="357" w:lineRule="atLeast"/>
        <w:ind w:left="64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1、机关运行经费</w:t>
      </w:r>
    </w:p>
    <w:p>
      <w:pPr>
        <w:pStyle w:val="2"/>
        <w:keepNext w:val="0"/>
        <w:keepLines w:val="0"/>
        <w:widowControl/>
        <w:suppressLineNumbers w:val="0"/>
        <w:spacing w:before="0" w:beforeAutospacing="1" w:after="0" w:afterAutospacing="1" w:line="357" w:lineRule="atLeast"/>
        <w:ind w:left="64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年度霍邱县供销社机关运行经费</w:t>
      </w:r>
      <w:r>
        <w:rPr>
          <w:rFonts w:hint="eastAsia" w:ascii="仿宋" w:hAnsi="仿宋" w:eastAsia="仿宋" w:cs="仿宋"/>
          <w:b w:val="0"/>
          <w:i w:val="0"/>
          <w:caps w:val="0"/>
          <w:color w:val="000000"/>
          <w:spacing w:val="0"/>
          <w:sz w:val="32"/>
          <w:szCs w:val="32"/>
          <w:shd w:val="clear" w:fill="FFFFFF"/>
          <w:lang w:val="en-US" w:eastAsia="zh-CN"/>
        </w:rPr>
        <w:t>91.6</w:t>
      </w:r>
      <w:r>
        <w:rPr>
          <w:rFonts w:hint="eastAsia" w:ascii="仿宋" w:hAnsi="仿宋" w:eastAsia="仿宋" w:cs="仿宋"/>
          <w:b w:val="0"/>
          <w:i w:val="0"/>
          <w:caps w:val="0"/>
          <w:color w:val="000000"/>
          <w:spacing w:val="0"/>
          <w:sz w:val="32"/>
          <w:szCs w:val="32"/>
          <w:shd w:val="clear" w:fill="FFFFFF"/>
        </w:rPr>
        <w:t>万元，主要用于保障单位运行，以及用于购买货物和服务。</w:t>
      </w:r>
    </w:p>
    <w:p>
      <w:pPr>
        <w:pStyle w:val="2"/>
        <w:keepNext w:val="0"/>
        <w:keepLines w:val="0"/>
        <w:widowControl/>
        <w:suppressLineNumbers w:val="0"/>
        <w:spacing w:before="0" w:beforeAutospacing="1" w:after="0" w:afterAutospacing="1" w:line="357" w:lineRule="atLeast"/>
        <w:ind w:left="64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2、政府采购情况</w:t>
      </w:r>
    </w:p>
    <w:p>
      <w:pPr>
        <w:pStyle w:val="2"/>
        <w:keepNext w:val="0"/>
        <w:keepLines w:val="0"/>
        <w:widowControl/>
        <w:suppressLineNumbers w:val="0"/>
        <w:spacing w:before="0" w:beforeAutospacing="1" w:after="0" w:afterAutospacing="1" w:line="357" w:lineRule="atLeast"/>
        <w:ind w:left="640" w:right="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年度霍邱县供销社政府采购收入、支出预算总额0元。</w:t>
      </w:r>
    </w:p>
    <w:p>
      <w:pPr>
        <w:pStyle w:val="2"/>
        <w:keepNext w:val="0"/>
        <w:keepLines w:val="0"/>
        <w:widowControl/>
        <w:numPr>
          <w:ilvl w:val="0"/>
          <w:numId w:val="2"/>
        </w:numPr>
        <w:suppressLineNumbers w:val="0"/>
        <w:spacing w:before="0" w:beforeAutospacing="1" w:after="0" w:afterAutospacing="1" w:line="357" w:lineRule="atLeast"/>
        <w:ind w:left="640" w:right="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政府购买服务安排情况</w:t>
      </w: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 xml:space="preserve">     2018年度霍邱县供销社政府购买服务安排收入、支出预算总额0元。</w:t>
      </w:r>
    </w:p>
    <w:p>
      <w:pPr>
        <w:pStyle w:val="2"/>
        <w:keepNext w:val="0"/>
        <w:keepLines w:val="0"/>
        <w:widowControl/>
        <w:numPr>
          <w:ilvl w:val="0"/>
          <w:numId w:val="2"/>
        </w:numPr>
        <w:suppressLineNumbers w:val="0"/>
        <w:spacing w:before="0" w:beforeAutospacing="1" w:after="0" w:afterAutospacing="1" w:line="357" w:lineRule="atLeast"/>
        <w:ind w:left="640" w:leftChars="0" w:right="0" w:rightChars="0" w:firstLine="0" w:firstLineChars="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国有资产占用使用情况</w:t>
      </w:r>
    </w:p>
    <w:p>
      <w:pPr>
        <w:pStyle w:val="2"/>
        <w:keepNext w:val="0"/>
        <w:keepLines w:val="0"/>
        <w:widowControl/>
        <w:numPr>
          <w:ilvl w:val="0"/>
          <w:numId w:val="0"/>
        </w:numPr>
        <w:suppressLineNumbers w:val="0"/>
        <w:spacing w:before="0" w:beforeAutospacing="1" w:after="0" w:afterAutospacing="1" w:line="357" w:lineRule="atLeast"/>
        <w:ind w:left="640" w:leftChars="0" w:right="0" w:rightChars="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2018年度霍邱县供销社没有国有资产占用情况，2017年12月31日公务用车为零。</w:t>
      </w:r>
    </w:p>
    <w:p>
      <w:pPr>
        <w:pStyle w:val="2"/>
        <w:keepNext w:val="0"/>
        <w:keepLines w:val="0"/>
        <w:widowControl/>
        <w:numPr>
          <w:ilvl w:val="0"/>
          <w:numId w:val="2"/>
        </w:numPr>
        <w:suppressLineNumbers w:val="0"/>
        <w:spacing w:before="0" w:beforeAutospacing="1" w:after="0" w:afterAutospacing="1" w:line="357" w:lineRule="atLeast"/>
        <w:ind w:left="640" w:leftChars="0" w:right="0" w:rightChars="0" w:firstLine="0" w:firstLineChars="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预算绩效情况</w:t>
      </w:r>
    </w:p>
    <w:p>
      <w:pPr>
        <w:pStyle w:val="2"/>
        <w:keepNext w:val="0"/>
        <w:keepLines w:val="0"/>
        <w:widowControl/>
        <w:numPr>
          <w:ilvl w:val="0"/>
          <w:numId w:val="0"/>
        </w:numPr>
        <w:suppressLineNumbers w:val="0"/>
        <w:spacing w:before="0" w:beforeAutospacing="1" w:after="0" w:afterAutospacing="1" w:line="357" w:lineRule="atLeast"/>
        <w:ind w:left="640" w:leftChars="0" w:right="0" w:rightChars="0"/>
        <w:jc w:val="both"/>
        <w:rPr>
          <w:rFonts w:hint="eastAsia" w:ascii="仿宋" w:hAnsi="仿宋" w:eastAsia="仿宋" w:cs="仿宋"/>
          <w:b w:val="0"/>
          <w:i w:val="0"/>
          <w:caps w:val="0"/>
          <w:color w:val="000000"/>
          <w:spacing w:val="0"/>
          <w:sz w:val="32"/>
          <w:szCs w:val="32"/>
          <w:shd w:val="clear" w:fill="FFFFFF"/>
          <w:lang w:val="en-US" w:eastAsia="zh-CN"/>
        </w:rPr>
      </w:pPr>
      <w:r>
        <w:rPr>
          <w:rFonts w:hint="eastAsia" w:ascii="仿宋" w:hAnsi="仿宋" w:eastAsia="仿宋" w:cs="仿宋"/>
          <w:b w:val="0"/>
          <w:i w:val="0"/>
          <w:caps w:val="0"/>
          <w:color w:val="000000"/>
          <w:spacing w:val="0"/>
          <w:sz w:val="32"/>
          <w:szCs w:val="32"/>
          <w:shd w:val="clear" w:fill="FFFFFF"/>
          <w:lang w:val="en-US" w:eastAsia="zh-CN"/>
        </w:rPr>
        <w:t>2018年度霍邱县供销社未编制预算绩效目标。</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仿宋" w:hAnsi="仿宋" w:eastAsia="仿宋" w:cs="仿宋"/>
          <w:b w:val="0"/>
          <w:i w:val="0"/>
          <w:caps w:val="0"/>
          <w:color w:val="000000"/>
          <w:spacing w:val="0"/>
          <w:sz w:val="32"/>
          <w:szCs w:val="32"/>
          <w:shd w:val="clear" w:fill="FFFFFF"/>
        </w:rPr>
      </w:pP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仿宋" w:hAnsi="仿宋" w:eastAsia="仿宋" w:cs="仿宋"/>
          <w:b w:val="0"/>
          <w:i w:val="0"/>
          <w:caps w:val="0"/>
          <w:color w:val="000000"/>
          <w:spacing w:val="0"/>
          <w:sz w:val="32"/>
          <w:szCs w:val="32"/>
          <w:shd w:val="clear" w:fill="FFFFFF"/>
        </w:rPr>
      </w:pP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仿宋" w:hAnsi="仿宋" w:eastAsia="仿宋" w:cs="仿宋"/>
          <w:b w:val="0"/>
          <w:i w:val="0"/>
          <w:caps w:val="0"/>
          <w:color w:val="000000"/>
          <w:spacing w:val="0"/>
          <w:sz w:val="32"/>
          <w:szCs w:val="32"/>
          <w:shd w:val="clear" w:fill="FFFFFF"/>
        </w:rPr>
      </w:pPr>
    </w:p>
    <w:tbl>
      <w:tblPr>
        <w:tblStyle w:val="9"/>
        <w:tblW w:w="833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234"/>
        <w:gridCol w:w="31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50" w:hRule="atLeast"/>
        </w:trPr>
        <w:tc>
          <w:tcPr>
            <w:tcW w:w="8335" w:type="dxa"/>
            <w:gridSpan w:val="2"/>
            <w:tcBorders>
              <w:top w:val="nil"/>
              <w:left w:val="nil"/>
              <w:bottom w:val="nil"/>
              <w:right w:val="nil"/>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lang w:eastAsia="zh-CN"/>
              </w:rPr>
              <w:t>三、</w:t>
            </w:r>
            <w:r>
              <w:rPr>
                <w:rFonts w:hint="eastAsia" w:ascii="仿宋" w:hAnsi="仿宋" w:eastAsia="仿宋" w:cs="仿宋"/>
                <w:b/>
                <w:spacing w:val="0"/>
                <w:sz w:val="32"/>
                <w:szCs w:val="32"/>
                <w:vertAlign w:val="baseline"/>
              </w:rPr>
              <w:t>霍邱县供销社201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年度一般公共预算财政</w:t>
            </w:r>
          </w:p>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rPr>
              <w:t>拨款三公经费预算情况说明</w:t>
            </w:r>
          </w:p>
          <w:p>
            <w:pPr>
              <w:pStyle w:val="2"/>
              <w:keepNext w:val="0"/>
              <w:keepLines w:val="0"/>
              <w:widowControl/>
              <w:suppressLineNumbers w:val="0"/>
              <w:spacing w:before="0" w:beforeAutospacing="1" w:after="0" w:afterAutospacing="1" w:line="306" w:lineRule="atLeast"/>
              <w:ind w:left="0" w:right="0"/>
              <w:jc w:val="both"/>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lang w:val="en-US" w:eastAsia="zh-CN"/>
              </w:rPr>
              <w:t>1、</w:t>
            </w: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年一般公共预算财政拨款“三公”经费预算表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80" w:hRule="atLeast"/>
        </w:trPr>
        <w:tc>
          <w:tcPr>
            <w:tcW w:w="5234"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3101"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因公出国（境）费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公务接待费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公务用车购置及运行费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其中：公务用车运行费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公务用车购置费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bl>
    <w:p>
      <w:pPr>
        <w:pStyle w:val="2"/>
        <w:keepNext w:val="0"/>
        <w:keepLines w:val="0"/>
        <w:widowControl/>
        <w:suppressLineNumbers w:val="0"/>
        <w:spacing w:before="0" w:beforeAutospacing="1" w:after="0" w:afterAutospacing="1" w:line="357" w:lineRule="atLeast"/>
        <w:ind w:left="64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w:t>
      </w:r>
      <w:r>
        <w:rPr>
          <w:rFonts w:hint="eastAsia" w:ascii="仿宋" w:hAnsi="仿宋" w:eastAsia="仿宋" w:cs="仿宋"/>
          <w:b w:val="0"/>
          <w:i w:val="0"/>
          <w:caps w:val="0"/>
          <w:color w:val="000000"/>
          <w:spacing w:val="0"/>
          <w:sz w:val="32"/>
          <w:szCs w:val="32"/>
          <w:shd w:val="clear" w:fill="FFFFFF"/>
          <w:lang w:val="en-US" w:eastAsia="zh-CN"/>
        </w:rPr>
        <w:t>2</w:t>
      </w:r>
      <w:r>
        <w:rPr>
          <w:rFonts w:hint="eastAsia" w:ascii="仿宋" w:hAnsi="仿宋" w:eastAsia="仿宋" w:cs="仿宋"/>
          <w:b w:val="0"/>
          <w:i w:val="0"/>
          <w:caps w:val="0"/>
          <w:color w:val="000000"/>
          <w:spacing w:val="0"/>
          <w:sz w:val="32"/>
          <w:szCs w:val="32"/>
          <w:shd w:val="clear" w:fill="FFFFFF"/>
        </w:rPr>
        <w:t>、 霍邱县供销社三公经费预算情况说明 </w:t>
      </w:r>
    </w:p>
    <w:p>
      <w:pPr>
        <w:pStyle w:val="2"/>
        <w:keepNext w:val="0"/>
        <w:keepLines w:val="0"/>
        <w:widowControl/>
        <w:suppressLineNumbers w:val="0"/>
        <w:spacing w:before="0" w:beforeAutospacing="1" w:after="0" w:afterAutospacing="1" w:line="357" w:lineRule="atLeast"/>
        <w:ind w:left="0" w:right="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霍邱县供销社201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w:t>
      </w:r>
      <w:r>
        <w:rPr>
          <w:rFonts w:hint="eastAsia" w:ascii="仿宋" w:hAnsi="仿宋" w:eastAsia="仿宋" w:cs="仿宋"/>
          <w:b w:val="0"/>
          <w:i w:val="0"/>
          <w:caps w:val="0"/>
          <w:color w:val="000000"/>
          <w:spacing w:val="0"/>
          <w:sz w:val="32"/>
          <w:szCs w:val="32"/>
          <w:shd w:val="clear" w:fill="FFFFFF"/>
          <w:lang w:eastAsia="zh-CN"/>
        </w:rPr>
        <w:t>“</w:t>
      </w:r>
      <w:r>
        <w:rPr>
          <w:rFonts w:hint="eastAsia" w:ascii="仿宋" w:hAnsi="仿宋" w:eastAsia="仿宋" w:cs="仿宋"/>
          <w:b w:val="0"/>
          <w:i w:val="0"/>
          <w:caps w:val="0"/>
          <w:color w:val="000000"/>
          <w:spacing w:val="0"/>
          <w:sz w:val="32"/>
          <w:szCs w:val="32"/>
          <w:shd w:val="clear" w:fill="FFFFFF"/>
        </w:rPr>
        <w:t>三公</w:t>
      </w:r>
      <w:r>
        <w:rPr>
          <w:rFonts w:hint="eastAsia" w:ascii="仿宋" w:hAnsi="仿宋" w:eastAsia="仿宋" w:cs="仿宋"/>
          <w:b w:val="0"/>
          <w:i w:val="0"/>
          <w:caps w:val="0"/>
          <w:color w:val="000000"/>
          <w:spacing w:val="0"/>
          <w:sz w:val="32"/>
          <w:szCs w:val="32"/>
          <w:shd w:val="clear" w:fill="FFFFFF"/>
          <w:lang w:eastAsia="zh-CN"/>
        </w:rPr>
        <w:t>”</w:t>
      </w:r>
      <w:r>
        <w:rPr>
          <w:rFonts w:hint="eastAsia" w:ascii="仿宋" w:hAnsi="仿宋" w:eastAsia="仿宋" w:cs="仿宋"/>
          <w:b w:val="0"/>
          <w:i w:val="0"/>
          <w:caps w:val="0"/>
          <w:color w:val="000000"/>
          <w:spacing w:val="0"/>
          <w:sz w:val="32"/>
          <w:szCs w:val="32"/>
          <w:shd w:val="clear" w:fill="FFFFFF"/>
        </w:rPr>
        <w:t>经费预算为</w:t>
      </w:r>
      <w:r>
        <w:rPr>
          <w:rFonts w:hint="eastAsia" w:ascii="仿宋" w:hAnsi="仿宋" w:eastAsia="仿宋" w:cs="仿宋"/>
          <w:b w:val="0"/>
          <w:i w:val="0"/>
          <w:caps w:val="0"/>
          <w:color w:val="000000"/>
          <w:spacing w:val="0"/>
          <w:sz w:val="32"/>
          <w:szCs w:val="32"/>
          <w:shd w:val="clear" w:fill="FFFFFF"/>
          <w:lang w:val="en-US" w:eastAsia="zh-CN"/>
        </w:rPr>
        <w:t>8.6</w:t>
      </w:r>
      <w:r>
        <w:rPr>
          <w:rFonts w:hint="eastAsia" w:ascii="仿宋" w:hAnsi="仿宋" w:eastAsia="仿宋" w:cs="仿宋"/>
          <w:b w:val="0"/>
          <w:i w:val="0"/>
          <w:caps w:val="0"/>
          <w:color w:val="000000"/>
          <w:spacing w:val="0"/>
          <w:sz w:val="32"/>
          <w:szCs w:val="32"/>
          <w:shd w:val="clear" w:fill="FFFFFF"/>
        </w:rPr>
        <w:t>万元，比上年预算</w:t>
      </w:r>
      <w:r>
        <w:rPr>
          <w:rFonts w:hint="eastAsia" w:ascii="仿宋" w:hAnsi="仿宋" w:eastAsia="仿宋" w:cs="仿宋"/>
          <w:b w:val="0"/>
          <w:i w:val="0"/>
          <w:caps w:val="0"/>
          <w:color w:val="000000"/>
          <w:spacing w:val="0"/>
          <w:sz w:val="32"/>
          <w:szCs w:val="32"/>
          <w:shd w:val="clear" w:fill="FFFFFF"/>
          <w:lang w:val="en-US" w:eastAsia="zh-CN"/>
        </w:rPr>
        <w:t>11.2</w:t>
      </w:r>
      <w:r>
        <w:rPr>
          <w:rFonts w:hint="eastAsia" w:ascii="仿宋" w:hAnsi="仿宋" w:eastAsia="仿宋" w:cs="仿宋"/>
          <w:b w:val="0"/>
          <w:i w:val="0"/>
          <w:caps w:val="0"/>
          <w:color w:val="000000"/>
          <w:spacing w:val="0"/>
          <w:sz w:val="32"/>
          <w:szCs w:val="32"/>
          <w:shd w:val="clear" w:fill="FFFFFF"/>
        </w:rPr>
        <w:t>万元减少</w:t>
      </w:r>
      <w:r>
        <w:rPr>
          <w:rFonts w:hint="eastAsia" w:ascii="仿宋" w:hAnsi="仿宋" w:eastAsia="仿宋" w:cs="仿宋"/>
          <w:b w:val="0"/>
          <w:i w:val="0"/>
          <w:caps w:val="0"/>
          <w:color w:val="000000"/>
          <w:spacing w:val="0"/>
          <w:sz w:val="32"/>
          <w:szCs w:val="32"/>
          <w:shd w:val="clear" w:fill="FFFFFF"/>
          <w:lang w:val="en-US" w:eastAsia="zh-CN"/>
        </w:rPr>
        <w:t>2.6</w:t>
      </w:r>
      <w:r>
        <w:rPr>
          <w:rFonts w:hint="eastAsia" w:ascii="仿宋" w:hAnsi="仿宋" w:eastAsia="仿宋" w:cs="仿宋"/>
          <w:b w:val="0"/>
          <w:i w:val="0"/>
          <w:caps w:val="0"/>
          <w:color w:val="000000"/>
          <w:spacing w:val="0"/>
          <w:sz w:val="32"/>
          <w:szCs w:val="32"/>
          <w:shd w:val="clear" w:fill="FFFFFF"/>
        </w:rPr>
        <w:t>元，下降</w:t>
      </w:r>
      <w:r>
        <w:rPr>
          <w:rFonts w:hint="eastAsia" w:ascii="仿宋" w:hAnsi="仿宋" w:eastAsia="仿宋" w:cs="仿宋"/>
          <w:b w:val="0"/>
          <w:i w:val="0"/>
          <w:caps w:val="0"/>
          <w:color w:val="000000"/>
          <w:spacing w:val="0"/>
          <w:sz w:val="32"/>
          <w:szCs w:val="32"/>
          <w:shd w:val="clear" w:fill="FFFFFF"/>
          <w:lang w:val="en-US" w:eastAsia="zh-CN"/>
        </w:rPr>
        <w:t>23</w:t>
      </w:r>
      <w:r>
        <w:rPr>
          <w:rFonts w:hint="eastAsia" w:ascii="仿宋" w:hAnsi="仿宋" w:eastAsia="仿宋" w:cs="仿宋"/>
          <w:b w:val="0"/>
          <w:i w:val="0"/>
          <w:caps w:val="0"/>
          <w:color w:val="000000"/>
          <w:spacing w:val="0"/>
          <w:sz w:val="32"/>
          <w:szCs w:val="32"/>
          <w:shd w:val="clear" w:fill="FFFFFF"/>
        </w:rPr>
        <w:t>%，为全面反映三公经费预算，本次公布的三公经费预算为部门预算总数，包括机关本级和所属单位。其中“公务接待费”预算</w:t>
      </w:r>
      <w:r>
        <w:rPr>
          <w:rFonts w:hint="eastAsia" w:ascii="仿宋" w:hAnsi="仿宋" w:eastAsia="仿宋" w:cs="仿宋"/>
          <w:b w:val="0"/>
          <w:i w:val="0"/>
          <w:caps w:val="0"/>
          <w:color w:val="000000"/>
          <w:spacing w:val="0"/>
          <w:sz w:val="32"/>
          <w:szCs w:val="32"/>
          <w:shd w:val="clear" w:fill="FFFFFF"/>
          <w:lang w:val="en-US" w:eastAsia="zh-CN"/>
        </w:rPr>
        <w:t>8.6</w:t>
      </w:r>
      <w:r>
        <w:rPr>
          <w:rFonts w:hint="eastAsia" w:ascii="仿宋" w:hAnsi="仿宋" w:eastAsia="仿宋" w:cs="仿宋"/>
          <w:b w:val="0"/>
          <w:i w:val="0"/>
          <w:caps w:val="0"/>
          <w:color w:val="000000"/>
          <w:spacing w:val="0"/>
          <w:sz w:val="32"/>
          <w:szCs w:val="32"/>
          <w:shd w:val="clear" w:fill="FFFFFF"/>
        </w:rPr>
        <w:t>万元，比上年预算减少</w:t>
      </w:r>
      <w:r>
        <w:rPr>
          <w:rFonts w:hint="eastAsia" w:ascii="仿宋" w:hAnsi="仿宋" w:eastAsia="仿宋" w:cs="仿宋"/>
          <w:b w:val="0"/>
          <w:i w:val="0"/>
          <w:caps w:val="0"/>
          <w:color w:val="000000"/>
          <w:spacing w:val="0"/>
          <w:sz w:val="32"/>
          <w:szCs w:val="32"/>
          <w:shd w:val="clear" w:fill="FFFFFF"/>
          <w:lang w:val="en-US" w:eastAsia="zh-CN"/>
        </w:rPr>
        <w:t>2.6</w:t>
      </w:r>
      <w:r>
        <w:rPr>
          <w:rFonts w:hint="eastAsia" w:ascii="仿宋" w:hAnsi="仿宋" w:eastAsia="仿宋" w:cs="仿宋"/>
          <w:b w:val="0"/>
          <w:i w:val="0"/>
          <w:caps w:val="0"/>
          <w:color w:val="000000"/>
          <w:spacing w:val="0"/>
          <w:sz w:val="32"/>
          <w:szCs w:val="32"/>
          <w:shd w:val="clear" w:fill="FFFFFF"/>
        </w:rPr>
        <w:t>万元，下降</w:t>
      </w:r>
      <w:r>
        <w:rPr>
          <w:rFonts w:hint="eastAsia" w:ascii="仿宋" w:hAnsi="仿宋" w:eastAsia="仿宋" w:cs="仿宋"/>
          <w:b w:val="0"/>
          <w:i w:val="0"/>
          <w:caps w:val="0"/>
          <w:color w:val="000000"/>
          <w:spacing w:val="0"/>
          <w:sz w:val="32"/>
          <w:szCs w:val="32"/>
          <w:shd w:val="clear" w:fill="FFFFFF"/>
          <w:lang w:val="en-US" w:eastAsia="zh-CN"/>
        </w:rPr>
        <w:t>23</w:t>
      </w:r>
      <w:r>
        <w:rPr>
          <w:rFonts w:hint="eastAsia" w:ascii="仿宋" w:hAnsi="仿宋" w:eastAsia="仿宋" w:cs="仿宋"/>
          <w:b w:val="0"/>
          <w:i w:val="0"/>
          <w:caps w:val="0"/>
          <w:color w:val="000000"/>
          <w:spacing w:val="0"/>
          <w:sz w:val="32"/>
          <w:szCs w:val="32"/>
          <w:shd w:val="clear" w:fill="FFFFFF"/>
        </w:rPr>
        <w:t>%，减少原因是遵循中央八项规定，厉行节约。</w:t>
      </w:r>
      <w:r>
        <w:rPr>
          <w:rFonts w:hint="eastAsia" w:ascii="仿宋" w:hAnsi="仿宋" w:eastAsia="仿宋" w:cs="仿宋"/>
          <w:b w:val="0"/>
          <w:i w:val="0"/>
          <w:caps w:val="0"/>
          <w:color w:val="auto"/>
          <w:spacing w:val="0"/>
          <w:sz w:val="32"/>
          <w:szCs w:val="32"/>
          <w:shd w:val="clear" w:fill="FFFFFF"/>
          <w:vertAlign w:val="baseline"/>
        </w:rPr>
        <w:t>“公务用车购置及运行费”0万元，</w:t>
      </w:r>
      <w:r>
        <w:rPr>
          <w:rFonts w:hint="eastAsia" w:ascii="仿宋" w:hAnsi="仿宋" w:eastAsia="仿宋" w:cs="仿宋"/>
          <w:b w:val="0"/>
          <w:i w:val="0"/>
          <w:caps w:val="0"/>
          <w:color w:val="000000"/>
          <w:spacing w:val="0"/>
          <w:sz w:val="32"/>
          <w:szCs w:val="32"/>
          <w:shd w:val="clear" w:fill="FFFFFF"/>
        </w:rPr>
        <w:t>由于公车改革，车辆缴入机关事务局，当年没有安排公务用车购置及运行费，</w:t>
      </w:r>
      <w:r>
        <w:rPr>
          <w:rFonts w:hint="eastAsia" w:ascii="仿宋" w:hAnsi="仿宋" w:eastAsia="仿宋" w:cs="仿宋"/>
          <w:b w:val="0"/>
          <w:i w:val="0"/>
          <w:caps w:val="0"/>
          <w:color w:val="auto"/>
          <w:spacing w:val="0"/>
          <w:sz w:val="32"/>
          <w:szCs w:val="32"/>
          <w:shd w:val="clear" w:fill="FFFFFF"/>
          <w:vertAlign w:val="baseline"/>
        </w:rPr>
        <w:t>其中</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公务用车运行费</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0万元，主要包括车辆燃料费、维修费、过路过桥费、保险费等支出，</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公务用车购置费</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0元；</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因公出国（境）费</w:t>
      </w:r>
      <w:r>
        <w:rPr>
          <w:rFonts w:hint="eastAsia" w:ascii="仿宋" w:hAnsi="仿宋" w:eastAsia="仿宋" w:cs="仿宋"/>
          <w:b w:val="0"/>
          <w:i w:val="0"/>
          <w:caps w:val="0"/>
          <w:color w:val="auto"/>
          <w:spacing w:val="0"/>
          <w:sz w:val="32"/>
          <w:szCs w:val="32"/>
          <w:shd w:val="clear" w:fill="FFFFFF"/>
          <w:vertAlign w:val="baseline"/>
          <w:lang w:eastAsia="zh-CN"/>
        </w:rPr>
        <w:t>”</w:t>
      </w:r>
      <w:r>
        <w:rPr>
          <w:rFonts w:hint="eastAsia" w:ascii="仿宋" w:hAnsi="仿宋" w:eastAsia="仿宋" w:cs="仿宋"/>
          <w:b w:val="0"/>
          <w:i w:val="0"/>
          <w:caps w:val="0"/>
          <w:color w:val="auto"/>
          <w:spacing w:val="0"/>
          <w:sz w:val="32"/>
          <w:szCs w:val="32"/>
          <w:shd w:val="clear" w:fill="FFFFFF"/>
          <w:vertAlign w:val="baseline"/>
        </w:rPr>
        <w:t>0元。</w:t>
      </w:r>
    </w:p>
    <w:p>
      <w:pPr>
        <w:pStyle w:val="2"/>
        <w:keepNext w:val="0"/>
        <w:keepLines w:val="0"/>
        <w:widowControl/>
        <w:suppressLineNumbers w:val="0"/>
        <w:spacing w:before="0" w:beforeAutospacing="1" w:after="0" w:afterAutospacing="1" w:line="357" w:lineRule="atLeast"/>
        <w:ind w:left="0" w:right="0"/>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在201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年度我单位将全面落实厉行节约的相关政策和措施，严格执行预算，控制经费支出，为实现建设节约型机关的目标和任务而努力。</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黑体" w:hAnsi="黑体" w:eastAsia="黑体" w:cs="黑体"/>
          <w:b w:val="0"/>
          <w:i w:val="0"/>
          <w:caps w:val="0"/>
          <w:color w:val="000000"/>
          <w:spacing w:val="0"/>
          <w:sz w:val="32"/>
          <w:szCs w:val="32"/>
          <w:shd w:val="clear" w:fill="FFFFFF"/>
        </w:rPr>
      </w:pPr>
      <w:r>
        <w:rPr>
          <w:rFonts w:hint="eastAsia" w:ascii="黑体" w:hAnsi="黑体" w:eastAsia="黑体" w:cs="黑体"/>
          <w:b w:val="0"/>
          <w:i w:val="0"/>
          <w:caps w:val="0"/>
          <w:color w:val="000000"/>
          <w:spacing w:val="0"/>
          <w:sz w:val="32"/>
          <w:szCs w:val="32"/>
          <w:shd w:val="clear" w:fill="FFFFFF"/>
          <w:lang w:eastAsia="zh-CN"/>
        </w:rPr>
        <w:t>附：部门预算公开专业</w:t>
      </w:r>
      <w:r>
        <w:rPr>
          <w:rFonts w:hint="eastAsia" w:ascii="黑体" w:hAnsi="黑体" w:eastAsia="黑体" w:cs="黑体"/>
          <w:b w:val="0"/>
          <w:i w:val="0"/>
          <w:caps w:val="0"/>
          <w:color w:val="000000"/>
          <w:spacing w:val="0"/>
          <w:sz w:val="32"/>
          <w:szCs w:val="32"/>
          <w:shd w:val="clear" w:fill="FFFFFF"/>
        </w:rPr>
        <w:t>名称解释</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1、经常收入预算拨款：指当年财政预算安排保证预算单位日常正常运转的资金，主要指财政供养人员支出和公用经费支出资金之和。</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2、国库管理非税收入：指纳入国库管理的各项非税收入，主要包括专项收入、行政事业性收费、罚没收入等。</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3、基本支出：指为保障机构正常运转、完成日常工作任务而发生的人员支出和公用支出。</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4、项目支出：指在基本支出之外为完成特定行政任务和事业发展目标所发生的支出。</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5、机关运行经费：机关运行经费指为保障行政单位（包括参照公务员法管理的事业单位）运行，用于购买货物和服务的各项资金。包括办公费、印刷费、邮电费、差旅费、会议费、公务接待费、福利费、日常维修费、专用材料费及一般设备购置费、办公用房水电费、物业管理费、公务用车运行维护费及其他费用等。</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黑体" w:hAnsi="黑体" w:eastAsia="黑体" w:cs="黑体"/>
          <w:b w:val="0"/>
          <w:i w:val="0"/>
          <w:caps w:val="0"/>
          <w:color w:val="000000"/>
          <w:spacing w:val="0"/>
          <w:sz w:val="32"/>
          <w:szCs w:val="32"/>
          <w:shd w:val="clear" w:fill="FFFFFF"/>
          <w:lang w:eastAsia="zh-CN"/>
        </w:rPr>
      </w:pPr>
      <w:r>
        <w:rPr>
          <w:rFonts w:hint="eastAsia" w:ascii="黑体" w:hAnsi="黑体" w:eastAsia="黑体" w:cs="黑体"/>
          <w:b w:val="0"/>
          <w:i w:val="0"/>
          <w:caps w:val="0"/>
          <w:color w:val="000000"/>
          <w:spacing w:val="0"/>
          <w:sz w:val="32"/>
          <w:szCs w:val="32"/>
          <w:shd w:val="clear" w:fill="FFFFFF"/>
        </w:rPr>
        <w:t> </w:t>
      </w:r>
      <w:r>
        <w:rPr>
          <w:rFonts w:hint="eastAsia" w:ascii="黑体" w:hAnsi="黑体" w:eastAsia="黑体" w:cs="黑体"/>
          <w:b w:val="0"/>
          <w:i w:val="0"/>
          <w:caps w:val="0"/>
          <w:color w:val="000000"/>
          <w:spacing w:val="0"/>
          <w:sz w:val="32"/>
          <w:szCs w:val="32"/>
          <w:shd w:val="clear" w:fill="FFFFFF"/>
          <w:lang w:eastAsia="zh-CN"/>
        </w:rPr>
        <w:t>四、公开表格</w:t>
      </w:r>
    </w:p>
    <w:p>
      <w:pPr>
        <w:pStyle w:val="2"/>
        <w:keepNext w:val="0"/>
        <w:keepLines w:val="0"/>
        <w:widowControl/>
        <w:suppressLineNumbers w:val="0"/>
        <w:spacing w:before="0" w:beforeAutospacing="1" w:after="0" w:afterAutospacing="1" w:line="357" w:lineRule="atLeast"/>
        <w:ind w:left="0" w:right="0"/>
        <w:rPr>
          <w:rFonts w:hint="eastAsia" w:ascii="仿宋" w:hAnsi="仿宋" w:eastAsia="仿宋" w:cs="仿宋"/>
          <w:b w:val="0"/>
          <w:i w:val="0"/>
          <w:caps w:val="0"/>
          <w:color w:val="000000"/>
          <w:spacing w:val="0"/>
          <w:sz w:val="32"/>
          <w:szCs w:val="32"/>
          <w:shd w:val="clear" w:fill="FFFFFF"/>
        </w:rPr>
      </w:pPr>
    </w:p>
    <w:p>
      <w:pPr>
        <w:pStyle w:val="2"/>
        <w:keepNext w:val="0"/>
        <w:keepLines w:val="0"/>
        <w:widowControl/>
        <w:suppressLineNumbers w:val="0"/>
        <w:spacing w:before="0" w:beforeAutospacing="1" w:after="0" w:afterAutospacing="1" w:line="357" w:lineRule="atLeast"/>
        <w:ind w:left="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jc w:val="both"/>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0ECF9"/>
        <w:ind w:left="0" w:firstLine="0"/>
        <w:jc w:val="left"/>
        <w:rPr>
          <w:rFonts w:hint="eastAsia" w:ascii="仿宋" w:hAnsi="仿宋" w:eastAsia="仿宋" w:cs="仿宋"/>
          <w:b w:val="0"/>
          <w:i w:val="0"/>
          <w:caps w:val="0"/>
          <w:color w:val="A0A0A0"/>
          <w:spacing w:val="0"/>
          <w:sz w:val="32"/>
          <w:szCs w:val="32"/>
        </w:rPr>
      </w:pPr>
      <w:r>
        <w:rPr>
          <w:rFonts w:hint="eastAsia" w:ascii="仿宋" w:hAnsi="仿宋" w:eastAsia="仿宋" w:cs="仿宋"/>
          <w:b/>
          <w:i w:val="0"/>
          <w:caps w:val="0"/>
          <w:color w:val="000000"/>
          <w:spacing w:val="0"/>
          <w:kern w:val="0"/>
          <w:sz w:val="32"/>
          <w:szCs w:val="32"/>
          <w:shd w:val="clear" w:fill="E0ECF9"/>
          <w:lang w:val="en-US" w:eastAsia="zh-CN" w:bidi="ar"/>
        </w:rPr>
        <w:drawing>
          <wp:inline distT="0" distB="0" distL="114300" distR="114300">
            <wp:extent cx="9525" cy="9525"/>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p>
      <w:pPr>
        <w:rPr>
          <w:rFonts w:hint="eastAsia" w:ascii="仿宋" w:hAnsi="仿宋" w:eastAsia="仿宋" w:cs="仿宋"/>
          <w:sz w:val="32"/>
          <w:szCs w:val="32"/>
        </w:rPr>
      </w:pPr>
    </w:p>
    <w:p>
      <w:pPr>
        <w:pStyle w:val="2"/>
        <w:keepNext w:val="0"/>
        <w:keepLines w:val="0"/>
        <w:widowControl/>
        <w:suppressLineNumbers w:val="0"/>
        <w:spacing w:before="300" w:beforeAutospacing="0" w:after="0" w:afterAutospacing="0" w:line="480" w:lineRule="auto"/>
        <w:ind w:left="0" w:right="0" w:firstLine="420"/>
        <w:rPr>
          <w:rFonts w:hint="eastAsia" w:ascii="仿宋" w:hAnsi="仿宋" w:eastAsia="仿宋" w:cs="仿宋"/>
          <w:sz w:val="32"/>
          <w:szCs w:val="32"/>
        </w:rPr>
      </w:pPr>
    </w:p>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p>
    <w:tbl>
      <w:tblPr>
        <w:tblStyle w:val="9"/>
        <w:tblW w:w="10153" w:type="dxa"/>
        <w:tblInd w:w="-1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88"/>
        <w:gridCol w:w="87"/>
        <w:gridCol w:w="3"/>
        <w:gridCol w:w="672"/>
        <w:gridCol w:w="84"/>
        <w:gridCol w:w="9"/>
        <w:gridCol w:w="91"/>
        <w:gridCol w:w="9"/>
        <w:gridCol w:w="86"/>
        <w:gridCol w:w="9"/>
        <w:gridCol w:w="233"/>
        <w:gridCol w:w="9"/>
        <w:gridCol w:w="137"/>
        <w:gridCol w:w="9"/>
        <w:gridCol w:w="144"/>
        <w:gridCol w:w="9"/>
        <w:gridCol w:w="23"/>
        <w:gridCol w:w="9"/>
        <w:gridCol w:w="396"/>
        <w:gridCol w:w="9"/>
        <w:gridCol w:w="42"/>
        <w:gridCol w:w="337"/>
        <w:gridCol w:w="9"/>
        <w:gridCol w:w="36"/>
        <w:gridCol w:w="9"/>
        <w:gridCol w:w="207"/>
        <w:gridCol w:w="9"/>
        <w:gridCol w:w="34"/>
        <w:gridCol w:w="9"/>
        <w:gridCol w:w="200"/>
        <w:gridCol w:w="9"/>
        <w:gridCol w:w="277"/>
        <w:gridCol w:w="9"/>
        <w:gridCol w:w="121"/>
        <w:gridCol w:w="9"/>
        <w:gridCol w:w="116"/>
        <w:gridCol w:w="9"/>
        <w:gridCol w:w="137"/>
        <w:gridCol w:w="9"/>
        <w:gridCol w:w="116"/>
        <w:gridCol w:w="136"/>
        <w:gridCol w:w="9"/>
        <w:gridCol w:w="14"/>
        <w:gridCol w:w="9"/>
        <w:gridCol w:w="241"/>
        <w:gridCol w:w="9"/>
        <w:gridCol w:w="143"/>
        <w:gridCol w:w="18"/>
        <w:gridCol w:w="9"/>
        <w:gridCol w:w="66"/>
        <w:gridCol w:w="9"/>
        <w:gridCol w:w="84"/>
        <w:gridCol w:w="4"/>
        <w:gridCol w:w="22"/>
        <w:gridCol w:w="9"/>
        <w:gridCol w:w="137"/>
        <w:gridCol w:w="9"/>
        <w:gridCol w:w="63"/>
        <w:gridCol w:w="9"/>
        <w:gridCol w:w="27"/>
        <w:gridCol w:w="9"/>
        <w:gridCol w:w="207"/>
        <w:gridCol w:w="9"/>
        <w:gridCol w:w="12"/>
        <w:gridCol w:w="9"/>
        <w:gridCol w:w="137"/>
        <w:gridCol w:w="74"/>
        <w:gridCol w:w="9"/>
        <w:gridCol w:w="42"/>
        <w:gridCol w:w="9"/>
        <w:gridCol w:w="149"/>
        <w:gridCol w:w="9"/>
        <w:gridCol w:w="109"/>
        <w:gridCol w:w="9"/>
        <w:gridCol w:w="10"/>
        <w:gridCol w:w="9"/>
        <w:gridCol w:w="7"/>
        <w:gridCol w:w="9"/>
        <w:gridCol w:w="58"/>
        <w:gridCol w:w="9"/>
        <w:gridCol w:w="168"/>
        <w:gridCol w:w="9"/>
        <w:gridCol w:w="3"/>
        <w:gridCol w:w="9"/>
        <w:gridCol w:w="347"/>
        <w:gridCol w:w="9"/>
        <w:gridCol w:w="143"/>
        <w:gridCol w:w="51"/>
        <w:gridCol w:w="9"/>
        <w:gridCol w:w="73"/>
        <w:gridCol w:w="9"/>
        <w:gridCol w:w="87"/>
        <w:gridCol w:w="9"/>
        <w:gridCol w:w="372"/>
        <w:gridCol w:w="9"/>
        <w:gridCol w:w="112"/>
        <w:gridCol w:w="9"/>
        <w:gridCol w:w="74"/>
        <w:gridCol w:w="9"/>
        <w:gridCol w:w="136"/>
        <w:gridCol w:w="9"/>
        <w:gridCol w:w="423"/>
        <w:gridCol w:w="9"/>
        <w:gridCol w:w="115"/>
        <w:gridCol w:w="17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3"/>
          <w:wAfter w:w="1832" w:type="dxa"/>
          <w:trHeight w:val="52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c>
          <w:tcPr>
            <w:tcW w:w="5562" w:type="dxa"/>
            <w:gridSpan w:val="7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霍邱县供销社201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年度部门预算报表</w:t>
            </w:r>
          </w:p>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年部门收支预算总表</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7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1491" w:type="dxa"/>
            <w:gridSpan w:val="1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585" w:type="dxa"/>
            <w:gridSpan w:val="2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057" w:type="dxa"/>
            <w:gridSpan w:val="2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920"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收  入            </w:t>
            </w:r>
          </w:p>
        </w:tc>
        <w:tc>
          <w:tcPr>
            <w:tcW w:w="2642" w:type="dxa"/>
            <w:gridSpan w:val="4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支  出</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一、一般公共预算拨款收入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一、一般公共服务支出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二、政府性基金预算拨款收入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二、国防支出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三、纳入专户管理政府非税收入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177.6</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三、公共安全支出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四、其他收入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四、教育支出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事业收入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五、科学技术支出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经营收入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六、文化体育与传媒支出</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上级补助收入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附属单位上缴收入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其他</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本年收入合计</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本年支出合计</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上年结余收入</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结转下年</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收入总计</w:t>
            </w:r>
          </w:p>
        </w:tc>
        <w:tc>
          <w:tcPr>
            <w:tcW w:w="1491"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1731"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支出总计</w:t>
            </w:r>
          </w:p>
        </w:tc>
        <w:tc>
          <w:tcPr>
            <w:tcW w:w="911"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29" w:type="dxa"/>
            <w:gridSpan w:val="12"/>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注：本表反映部门各项收入、支出预算安排情况。</w:t>
            </w:r>
          </w:p>
        </w:tc>
        <w:tc>
          <w:tcPr>
            <w:tcW w:w="1491" w:type="dxa"/>
            <w:gridSpan w:val="17"/>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31" w:type="dxa"/>
            <w:gridSpan w:val="26"/>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11" w:type="dxa"/>
            <w:gridSpan w:val="19"/>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171" w:type="dxa"/>
            <w:gridSpan w:val="2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5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475" w:type="dxa"/>
            <w:gridSpan w:val="8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年部门收入预算总表</w:t>
            </w:r>
          </w:p>
        </w:tc>
        <w:tc>
          <w:tcPr>
            <w:tcW w:w="681" w:type="dxa"/>
            <w:gridSpan w:val="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614" w:type="dxa"/>
            <w:gridSpan w:val="16"/>
            <w:tcBorders>
              <w:top w:val="nil"/>
              <w:left w:val="nil"/>
              <w:bottom w:val="single" w:color="000000" w:sz="8" w:space="0"/>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793" w:type="dxa"/>
            <w:gridSpan w:val="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61" w:type="dxa"/>
            <w:gridSpan w:val="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793" w:type="dxa"/>
            <w:gridSpan w:val="10"/>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430" w:type="dxa"/>
            <w:gridSpan w:val="7"/>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592" w:type="dxa"/>
            <w:gridSpan w:val="10"/>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40" w:type="dxa"/>
            <w:gridSpan w:val="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73" w:type="dxa"/>
            <w:gridSpan w:val="6"/>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71" w:type="dxa"/>
            <w:gridSpan w:val="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76" w:type="dxa"/>
            <w:gridSpan w:val="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32" w:type="dxa"/>
            <w:gridSpan w:val="1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681" w:type="dxa"/>
            <w:gridSpan w:val="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614"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功能分类科目</w:t>
            </w:r>
          </w:p>
        </w:tc>
        <w:tc>
          <w:tcPr>
            <w:tcW w:w="793" w:type="dxa"/>
            <w:gridSpan w:val="5"/>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261" w:type="dxa"/>
            <w:gridSpan w:val="4"/>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上年结余</w:t>
            </w:r>
          </w:p>
        </w:tc>
        <w:tc>
          <w:tcPr>
            <w:tcW w:w="793" w:type="dxa"/>
            <w:gridSpan w:val="10"/>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一般公共预算拨款收入</w:t>
            </w:r>
          </w:p>
        </w:tc>
        <w:tc>
          <w:tcPr>
            <w:tcW w:w="430" w:type="dxa"/>
            <w:gridSpan w:val="7"/>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政府性基金预算拨款收入</w:t>
            </w:r>
          </w:p>
        </w:tc>
        <w:tc>
          <w:tcPr>
            <w:tcW w:w="592" w:type="dxa"/>
            <w:gridSpan w:val="10"/>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纳入专户管理的政府非税收入</w:t>
            </w:r>
          </w:p>
        </w:tc>
        <w:tc>
          <w:tcPr>
            <w:tcW w:w="1992" w:type="dxa"/>
            <w:gridSpan w:val="3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其他收入</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61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84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科目编码</w:t>
            </w:r>
          </w:p>
        </w:tc>
        <w:tc>
          <w:tcPr>
            <w:tcW w:w="768"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科目名称</w:t>
            </w:r>
          </w:p>
        </w:tc>
        <w:tc>
          <w:tcPr>
            <w:tcW w:w="793" w:type="dxa"/>
            <w:gridSpan w:val="5"/>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261" w:type="dxa"/>
            <w:gridSpan w:val="4"/>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793" w:type="dxa"/>
            <w:gridSpan w:val="10"/>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430" w:type="dxa"/>
            <w:gridSpan w:val="7"/>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592" w:type="dxa"/>
            <w:gridSpan w:val="10"/>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24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小计</w:t>
            </w:r>
          </w:p>
        </w:tc>
        <w:tc>
          <w:tcPr>
            <w:tcW w:w="273"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事业收入</w:t>
            </w:r>
          </w:p>
        </w:tc>
        <w:tc>
          <w:tcPr>
            <w:tcW w:w="271"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经营收入</w:t>
            </w:r>
          </w:p>
        </w:tc>
        <w:tc>
          <w:tcPr>
            <w:tcW w:w="27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上级补助收入</w:t>
            </w:r>
          </w:p>
        </w:tc>
        <w:tc>
          <w:tcPr>
            <w:tcW w:w="279"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附属单位上缴收入</w:t>
            </w:r>
          </w:p>
        </w:tc>
        <w:tc>
          <w:tcPr>
            <w:tcW w:w="653"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其他</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84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201</w:t>
            </w:r>
          </w:p>
        </w:tc>
        <w:tc>
          <w:tcPr>
            <w:tcW w:w="768"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一般公共服务支出</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6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9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0"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92"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177.6</w:t>
            </w:r>
          </w:p>
        </w:tc>
        <w:tc>
          <w:tcPr>
            <w:tcW w:w="24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3"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1"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9"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53"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84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20113</w:t>
            </w:r>
          </w:p>
        </w:tc>
        <w:tc>
          <w:tcPr>
            <w:tcW w:w="768"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商贸事物</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6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9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0"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92"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177.6</w:t>
            </w:r>
          </w:p>
        </w:tc>
        <w:tc>
          <w:tcPr>
            <w:tcW w:w="24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3"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1"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9"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53"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84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2011301</w:t>
            </w:r>
          </w:p>
        </w:tc>
        <w:tc>
          <w:tcPr>
            <w:tcW w:w="768"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行政运行</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26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9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0"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92"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177.6</w:t>
            </w:r>
          </w:p>
        </w:tc>
        <w:tc>
          <w:tcPr>
            <w:tcW w:w="24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3"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1"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9"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53"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614"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合计</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366.7</w:t>
            </w:r>
          </w:p>
        </w:tc>
        <w:tc>
          <w:tcPr>
            <w:tcW w:w="26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9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0"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92"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1</w:t>
            </w:r>
            <w:r>
              <w:rPr>
                <w:rFonts w:hint="eastAsia" w:ascii="仿宋" w:hAnsi="仿宋" w:eastAsia="仿宋" w:cs="仿宋"/>
                <w:spacing w:val="0"/>
                <w:sz w:val="32"/>
                <w:szCs w:val="32"/>
                <w:vertAlign w:val="baseline"/>
                <w:lang w:val="en-US" w:eastAsia="zh-CN"/>
              </w:rPr>
              <w:t>77.6</w:t>
            </w:r>
          </w:p>
        </w:tc>
        <w:tc>
          <w:tcPr>
            <w:tcW w:w="24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3"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1"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6"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79"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53"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475" w:type="dxa"/>
            <w:gridSpan w:val="89"/>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注：本表反映部门各项收入预算情况。</w:t>
            </w:r>
          </w:p>
        </w:tc>
        <w:tc>
          <w:tcPr>
            <w:tcW w:w="681" w:type="dxa"/>
            <w:gridSpan w:val="8"/>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 </w:t>
            </w:r>
          </w:p>
        </w:tc>
        <w:tc>
          <w:tcPr>
            <w:tcW w:w="577"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5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393" w:type="dxa"/>
            <w:gridSpan w:val="8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年部门政府性基金预算收支预算表</w:t>
            </w:r>
          </w:p>
        </w:tc>
        <w:tc>
          <w:tcPr>
            <w:tcW w:w="680" w:type="dxa"/>
            <w:gridSpan w:val="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23" w:type="dxa"/>
          <w:trHeight w:val="37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0"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w:t>
            </w:r>
          </w:p>
        </w:tc>
        <w:tc>
          <w:tcPr>
            <w:tcW w:w="960"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霍邱县供销社</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科目编码</w:t>
            </w:r>
          </w:p>
        </w:tc>
        <w:tc>
          <w:tcPr>
            <w:tcW w:w="2295" w:type="dxa"/>
            <w:gridSpan w:val="25"/>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科目名称</w:t>
            </w:r>
          </w:p>
        </w:tc>
        <w:tc>
          <w:tcPr>
            <w:tcW w:w="975" w:type="dxa"/>
            <w:gridSpan w:val="14"/>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政府性基金财政拨款收入</w:t>
            </w:r>
          </w:p>
        </w:tc>
        <w:tc>
          <w:tcPr>
            <w:tcW w:w="2082" w:type="dxa"/>
            <w:gridSpan w:val="4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政府性基金财政拨款支出</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2295" w:type="dxa"/>
            <w:gridSpan w:val="25"/>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975" w:type="dxa"/>
            <w:gridSpan w:val="14"/>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基本支出</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项目支出</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393" w:type="dxa"/>
            <w:gridSpan w:val="8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供销社201</w:t>
            </w:r>
            <w:r>
              <w:rPr>
                <w:rFonts w:hint="eastAsia" w:ascii="仿宋" w:hAnsi="仿宋" w:eastAsia="仿宋" w:cs="仿宋"/>
                <w:spacing w:val="0"/>
                <w:sz w:val="32"/>
                <w:szCs w:val="32"/>
                <w:vertAlign w:val="baseline"/>
                <w:lang w:val="en-US" w:eastAsia="zh-CN"/>
              </w:rPr>
              <w:t>8</w:t>
            </w:r>
            <w:r>
              <w:rPr>
                <w:rFonts w:hint="eastAsia" w:ascii="仿宋" w:hAnsi="仿宋" w:eastAsia="仿宋" w:cs="仿宋"/>
                <w:spacing w:val="0"/>
                <w:sz w:val="32"/>
                <w:szCs w:val="32"/>
                <w:vertAlign w:val="baseline"/>
              </w:rPr>
              <w:t>年没有政府基金拨款收入，也没有使用政府性基金安排支出，故本表无数据</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041"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2295"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0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3336"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合计</w:t>
            </w:r>
          </w:p>
        </w:tc>
        <w:tc>
          <w:tcPr>
            <w:tcW w:w="97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685"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582"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81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68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79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393" w:type="dxa"/>
            <w:gridSpan w:val="87"/>
            <w:tcBorders>
              <w:top w:val="single" w:color="000000" w:sz="8" w:space="0"/>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注：没有政府性基金收支预算的部门也要公开此表，并说明：“**（部门、单位）没有政府性基金预算拨款收入，也没有使用政府性基金预算安排的支出，故本表无数据”。</w:t>
            </w:r>
          </w:p>
        </w:tc>
        <w:tc>
          <w:tcPr>
            <w:tcW w:w="680" w:type="dxa"/>
            <w:gridSpan w:val="8"/>
            <w:tcBorders>
              <w:top w:val="single" w:color="000000" w:sz="8" w:space="0"/>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w:t>
            </w:r>
          </w:p>
        </w:tc>
        <w:tc>
          <w:tcPr>
            <w:tcW w:w="660" w:type="dxa"/>
            <w:gridSpan w:val="6"/>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5645" w:type="dxa"/>
            <w:gridSpan w:val="7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right="0" w:firstLine="643" w:firstLineChars="200"/>
              <w:jc w:val="both"/>
              <w:textAlignment w:val="center"/>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right="0" w:firstLine="643" w:firstLineChars="200"/>
              <w:jc w:val="both"/>
              <w:textAlignment w:val="center"/>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right="0" w:firstLine="643" w:firstLineChars="200"/>
              <w:jc w:val="both"/>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年部门支出预算总表</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3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1765" w:type="dxa"/>
            <w:gridSpan w:val="2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54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711" w:type="dxa"/>
            <w:gridSpan w:val="2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功能分类科目</w:t>
            </w:r>
          </w:p>
        </w:tc>
        <w:tc>
          <w:tcPr>
            <w:tcW w:w="1157" w:type="dxa"/>
            <w:gridSpan w:val="13"/>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1107" w:type="dxa"/>
            <w:gridSpan w:val="21"/>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基本支出</w:t>
            </w:r>
          </w:p>
        </w:tc>
        <w:tc>
          <w:tcPr>
            <w:tcW w:w="670" w:type="dxa"/>
            <w:gridSpan w:val="17"/>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项目支出</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54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科目编码</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科目名称</w:t>
            </w:r>
          </w:p>
        </w:tc>
        <w:tc>
          <w:tcPr>
            <w:tcW w:w="1157" w:type="dxa"/>
            <w:gridSpan w:val="13"/>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1107" w:type="dxa"/>
            <w:gridSpan w:val="21"/>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670" w:type="dxa"/>
            <w:gridSpan w:val="17"/>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201</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一般公共服务支出</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20113</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商贸事物</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2011301</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行政运行</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46"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765"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711" w:type="dxa"/>
            <w:gridSpan w:val="2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合计</w:t>
            </w:r>
          </w:p>
        </w:tc>
        <w:tc>
          <w:tcPr>
            <w:tcW w:w="1157"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1107"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w:t>
            </w:r>
            <w:r>
              <w:rPr>
                <w:rFonts w:hint="eastAsia" w:ascii="仿宋" w:hAnsi="仿宋" w:eastAsia="仿宋" w:cs="仿宋"/>
                <w:spacing w:val="0"/>
                <w:sz w:val="32"/>
                <w:szCs w:val="32"/>
                <w:vertAlign w:val="baseline"/>
                <w:lang w:val="en-US" w:eastAsia="zh-CN"/>
              </w:rPr>
              <w:t>66.7</w:t>
            </w:r>
          </w:p>
        </w:tc>
        <w:tc>
          <w:tcPr>
            <w:tcW w:w="670"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5645" w:type="dxa"/>
            <w:gridSpan w:val="78"/>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注：本表反映部门本年各项支出预算情况。</w:t>
            </w:r>
          </w:p>
        </w:tc>
        <w:tc>
          <w:tcPr>
            <w:tcW w:w="2088" w:type="dxa"/>
            <w:gridSpan w:val="2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52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7733" w:type="dxa"/>
            <w:gridSpan w:val="10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年部门财政拨款收支预算总表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7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1934" w:type="dxa"/>
            <w:gridSpan w:val="26"/>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7" w:type="dxa"/>
            <w:gridSpan w:val="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4386" w:type="dxa"/>
            <w:gridSpan w:val="4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收   入            </w:t>
            </w:r>
          </w:p>
        </w:tc>
        <w:tc>
          <w:tcPr>
            <w:tcW w:w="3347" w:type="dxa"/>
            <w:gridSpan w:val="5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支  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66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一般公共预算财政拨款</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政府性基金预算财政拨款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一、上年结转</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一、本年支出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政府性基金预算拨款</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（一）一般公共服务支出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（二）国防支出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二、本年收入</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（三）公共安全支出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（一）一般公共预算拨款</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（四）教育支出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经常收入预算拨款</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（五）科学技术支出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国库管理非税收入</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（六）文化体育与传媒支出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（二）政府性基金预算拨款</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（七）社会保障和就业支出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（八）社会保障和就业支出</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rPr>
                <w:rFonts w:hint="eastAsia" w:ascii="仿宋" w:hAnsi="仿宋" w:eastAsia="仿宋" w:cs="仿宋"/>
                <w:sz w:val="32"/>
                <w:szCs w:val="32"/>
              </w:rPr>
            </w:pPr>
            <w:r>
              <w:rPr>
                <w:rFonts w:hint="eastAsia" w:ascii="仿宋" w:hAnsi="仿宋" w:eastAsia="仿宋" w:cs="仿宋"/>
                <w:sz w:val="32"/>
                <w:szCs w:val="32"/>
              </w:rPr>
              <w:t> </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二、结转下年</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452"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收入总计</w:t>
            </w:r>
          </w:p>
        </w:tc>
        <w:tc>
          <w:tcPr>
            <w:tcW w:w="193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448" w:type="dxa"/>
            <w:gridSpan w:val="3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支出总计</w:t>
            </w:r>
          </w:p>
        </w:tc>
        <w:tc>
          <w:tcPr>
            <w:tcW w:w="737"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30"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432"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7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7733" w:type="dxa"/>
            <w:gridSpan w:val="101"/>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注：本表反映部门财政拨款收入、支出预算情况。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5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190" w:type="dxa"/>
            <w:gridSpan w:val="8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年部门一般公共预算支出预算表</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5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1923" w:type="dxa"/>
            <w:gridSpan w:val="21"/>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3206" w:type="dxa"/>
            <w:gridSpan w:val="3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功能分类科目</w:t>
            </w:r>
          </w:p>
        </w:tc>
        <w:tc>
          <w:tcPr>
            <w:tcW w:w="2984" w:type="dxa"/>
            <w:gridSpan w:val="5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科目编码</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科目名称</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基本支出</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项目支出</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201</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一般公共服务支出</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2013</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商贸事物</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201301</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行政运行</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1283"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923" w:type="dxa"/>
            <w:gridSpan w:val="2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3206" w:type="dxa"/>
            <w:gridSpan w:val="3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合计</w:t>
            </w:r>
          </w:p>
        </w:tc>
        <w:tc>
          <w:tcPr>
            <w:tcW w:w="93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1284" w:type="dxa"/>
            <w:gridSpan w:val="2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w:t>
            </w:r>
          </w:p>
        </w:tc>
        <w:tc>
          <w:tcPr>
            <w:tcW w:w="765"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7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190" w:type="dxa"/>
            <w:gridSpan w:val="8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注：本表反映部门本年一般公共预算财政拨款收入安排的支出预算情况。</w:t>
            </w:r>
          </w:p>
        </w:tc>
        <w:tc>
          <w:tcPr>
            <w:tcW w:w="1543" w:type="dxa"/>
            <w:gridSpan w:val="17"/>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5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6952" w:type="dxa"/>
            <w:gridSpan w:val="9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b/>
                <w:spacing w:val="0"/>
                <w:sz w:val="32"/>
                <w:szCs w:val="32"/>
                <w:vertAlign w:val="baseline"/>
              </w:rPr>
            </w:pPr>
          </w:p>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年部门一般公共预算基本支出预算表</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3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霍邱县供销社</w:t>
            </w:r>
          </w:p>
        </w:tc>
        <w:tc>
          <w:tcPr>
            <w:tcW w:w="2740" w:type="dxa"/>
            <w:gridSpan w:val="41"/>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rPr>
                <w:rFonts w:hint="eastAsia" w:ascii="仿宋" w:hAnsi="仿宋" w:eastAsia="仿宋" w:cs="仿宋"/>
                <w:sz w:val="32"/>
                <w:szCs w:val="32"/>
              </w:rPr>
            </w:pPr>
            <w:r>
              <w:rPr>
                <w:rFonts w:hint="eastAsia" w:ascii="仿宋" w:hAnsi="仿宋" w:eastAsia="仿宋" w:cs="仿宋"/>
                <w:sz w:val="32"/>
                <w:szCs w:val="32"/>
              </w:rPr>
              <w:t> </w:t>
            </w:r>
          </w:p>
        </w:tc>
        <w:tc>
          <w:tcPr>
            <w:tcW w:w="2193" w:type="dxa"/>
            <w:gridSpan w:val="3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4759" w:type="dxa"/>
            <w:gridSpan w:val="5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经济分类科目</w:t>
            </w:r>
          </w:p>
        </w:tc>
        <w:tc>
          <w:tcPr>
            <w:tcW w:w="2193" w:type="dxa"/>
            <w:gridSpan w:val="34"/>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42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科目编码</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科目名称</w:t>
            </w:r>
          </w:p>
        </w:tc>
        <w:tc>
          <w:tcPr>
            <w:tcW w:w="2193" w:type="dxa"/>
            <w:gridSpan w:val="34"/>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eastAsia" w:ascii="仿宋" w:hAnsi="仿宋" w:eastAsia="仿宋" w:cs="仿宋"/>
                <w:sz w:val="32"/>
                <w:szCs w:val="32"/>
              </w:rPr>
            </w:pP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301</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工资福利支出</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146.9</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30101</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基本工资</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56.1</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30102</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津贴补贴</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33.2</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30103</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奖金</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val="en-US" w:eastAsia="zh-CN"/>
              </w:rPr>
            </w:pPr>
            <w:r>
              <w:rPr>
                <w:rFonts w:hint="eastAsia" w:ascii="仿宋" w:hAnsi="仿宋" w:eastAsia="仿宋" w:cs="仿宋"/>
                <w:spacing w:val="0"/>
                <w:sz w:val="32"/>
                <w:szCs w:val="32"/>
                <w:vertAlign w:val="baseline"/>
                <w:lang w:val="en-US" w:eastAsia="zh-CN"/>
              </w:rPr>
              <w:t>30108</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eastAsia="zh-CN"/>
              </w:rPr>
            </w:pPr>
            <w:r>
              <w:rPr>
                <w:rFonts w:hint="eastAsia" w:ascii="仿宋" w:hAnsi="仿宋" w:eastAsia="仿宋" w:cs="仿宋"/>
                <w:spacing w:val="0"/>
                <w:sz w:val="32"/>
                <w:szCs w:val="32"/>
                <w:vertAlign w:val="baseline"/>
                <w:lang w:eastAsia="zh-CN"/>
              </w:rPr>
              <w:t>机关事业单位基本养老保险</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17.8</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val="en-US" w:eastAsia="zh-CN"/>
              </w:rPr>
            </w:pPr>
            <w:r>
              <w:rPr>
                <w:rFonts w:hint="eastAsia" w:ascii="仿宋" w:hAnsi="仿宋" w:eastAsia="仿宋" w:cs="仿宋"/>
                <w:spacing w:val="0"/>
                <w:sz w:val="32"/>
                <w:szCs w:val="32"/>
                <w:vertAlign w:val="baseline"/>
                <w:lang w:val="en-US" w:eastAsia="zh-CN"/>
              </w:rPr>
              <w:t>30109</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eastAsia="zh-CN"/>
              </w:rPr>
            </w:pPr>
            <w:r>
              <w:rPr>
                <w:rFonts w:hint="eastAsia" w:ascii="仿宋" w:hAnsi="仿宋" w:eastAsia="仿宋" w:cs="仿宋"/>
                <w:spacing w:val="0"/>
                <w:sz w:val="32"/>
                <w:szCs w:val="32"/>
                <w:vertAlign w:val="baseline"/>
                <w:lang w:eastAsia="zh-CN"/>
              </w:rPr>
              <w:t>职业年金缴费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val="en-US" w:eastAsia="zh-CN"/>
              </w:rPr>
            </w:pPr>
            <w:r>
              <w:rPr>
                <w:rFonts w:hint="eastAsia" w:ascii="仿宋" w:hAnsi="仿宋" w:eastAsia="仿宋" w:cs="仿宋"/>
                <w:spacing w:val="0"/>
                <w:sz w:val="32"/>
                <w:szCs w:val="32"/>
                <w:vertAlign w:val="baseline"/>
                <w:lang w:val="en-US" w:eastAsia="zh-CN"/>
              </w:rPr>
              <w:t>30110</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pacing w:val="0"/>
                <w:sz w:val="32"/>
                <w:szCs w:val="32"/>
                <w:vertAlign w:val="baseline"/>
                <w:lang w:eastAsia="zh-CN"/>
              </w:rPr>
            </w:pPr>
            <w:r>
              <w:rPr>
                <w:rFonts w:hint="eastAsia" w:ascii="仿宋" w:hAnsi="仿宋" w:eastAsia="仿宋" w:cs="仿宋"/>
                <w:spacing w:val="0"/>
                <w:sz w:val="32"/>
                <w:szCs w:val="32"/>
                <w:vertAlign w:val="baseline"/>
                <w:lang w:eastAsia="zh-CN"/>
              </w:rPr>
              <w:t>职工基本医疗保险缴费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w:t>
            </w:r>
            <w:r>
              <w:rPr>
                <w:rFonts w:hint="eastAsia" w:ascii="仿宋" w:hAnsi="仿宋" w:eastAsia="仿宋" w:cs="仿宋"/>
                <w:spacing w:val="0"/>
                <w:sz w:val="32"/>
                <w:szCs w:val="32"/>
                <w:vertAlign w:val="baseline"/>
                <w:lang w:val="en-US" w:eastAsia="zh-CN"/>
              </w:rPr>
              <w:t>112</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lang w:eastAsia="zh-CN"/>
              </w:rPr>
              <w:t>其他</w:t>
            </w:r>
            <w:r>
              <w:rPr>
                <w:rFonts w:hint="eastAsia" w:ascii="仿宋" w:hAnsi="仿宋" w:eastAsia="仿宋" w:cs="仿宋"/>
                <w:spacing w:val="0"/>
                <w:sz w:val="32"/>
                <w:szCs w:val="32"/>
                <w:vertAlign w:val="baseline"/>
              </w:rPr>
              <w:t> 社保保障缴费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0.5</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1280" w:firstLineChars="400"/>
              <w:jc w:val="both"/>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30113</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eastAsia="zh-CN"/>
              </w:rPr>
            </w:pPr>
            <w:r>
              <w:rPr>
                <w:rFonts w:hint="eastAsia" w:ascii="仿宋" w:hAnsi="仿宋" w:eastAsia="仿宋" w:cs="仿宋"/>
                <w:sz w:val="32"/>
                <w:szCs w:val="32"/>
                <w:lang w:eastAsia="zh-CN"/>
              </w:rPr>
              <w:t>住房公积金</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lang w:val="en-US" w:eastAsia="zh-CN"/>
              </w:rPr>
              <w:t>13</w:t>
            </w:r>
            <w:r>
              <w:rPr>
                <w:rFonts w:hint="eastAsia" w:ascii="仿宋" w:hAnsi="仿宋" w:eastAsia="仿宋" w:cs="仿宋"/>
                <w:sz w:val="32"/>
                <w:szCs w:val="3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302</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商品和服务支出</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1280" w:firstLineChars="400"/>
              <w:jc w:val="both"/>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23.8</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30201</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办公费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1280" w:firstLineChars="400"/>
              <w:jc w:val="both"/>
              <w:rPr>
                <w:rFonts w:hint="eastAsia" w:ascii="仿宋" w:hAnsi="仿宋" w:eastAsia="仿宋" w:cs="仿宋"/>
                <w:sz w:val="32"/>
                <w:szCs w:val="32"/>
              </w:rPr>
            </w:pPr>
            <w:r>
              <w:rPr>
                <w:rFonts w:hint="eastAsia" w:ascii="仿宋" w:hAnsi="仿宋" w:eastAsia="仿宋" w:cs="仿宋"/>
                <w:sz w:val="32"/>
                <w:szCs w:val="32"/>
                <w:lang w:val="en-US" w:eastAsia="zh-CN"/>
              </w:rPr>
              <w:t>2.6</w:t>
            </w:r>
            <w:r>
              <w:rPr>
                <w:rFonts w:hint="eastAsia" w:ascii="仿宋" w:hAnsi="仿宋" w:eastAsia="仿宋" w:cs="仿宋"/>
                <w:sz w:val="32"/>
                <w:szCs w:val="3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30202</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印刷费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30203</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咨询费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30204</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手续费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30217</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公务接待费……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1280" w:firstLineChars="400"/>
              <w:jc w:val="both"/>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8.6</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30239</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其他交通费用</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11</w:t>
            </w:r>
            <w:r>
              <w:rPr>
                <w:rFonts w:hint="eastAsia" w:ascii="仿宋" w:hAnsi="仿宋" w:eastAsia="仿宋" w:cs="仿宋"/>
                <w:spacing w:val="0"/>
                <w:sz w:val="32"/>
                <w:szCs w:val="32"/>
                <w:vertAlign w:val="baseline"/>
                <w:lang w:val="en-US" w:eastAsia="zh-CN"/>
              </w:rPr>
              <w:t>.2</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30229</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福利费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1.</w:t>
            </w:r>
            <w:r>
              <w:rPr>
                <w:rFonts w:hint="eastAsia" w:ascii="仿宋" w:hAnsi="仿宋" w:eastAsia="仿宋" w:cs="仿宋"/>
                <w:spacing w:val="0"/>
                <w:sz w:val="32"/>
                <w:szCs w:val="32"/>
                <w:vertAlign w:val="baseline"/>
                <w:lang w:val="en-US" w:eastAsia="zh-CN"/>
              </w:rPr>
              <w:t>4</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303</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对个人和家庭的补助支出</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18.4</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30301</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离休费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8.1</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30302</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退休费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30305</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生活补助</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7.3</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30307</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医疗费</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spacing w:val="0"/>
                <w:sz w:val="32"/>
                <w:szCs w:val="32"/>
                <w:vertAlign w:val="baseline"/>
              </w:rPr>
              <w:t>3</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19"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740" w:type="dxa"/>
            <w:gridSpan w:val="4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4759" w:type="dxa"/>
            <w:gridSpan w:val="5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合计</w:t>
            </w:r>
          </w:p>
        </w:tc>
        <w:tc>
          <w:tcPr>
            <w:tcW w:w="2193"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720" w:firstLineChars="300"/>
              <w:jc w:val="both"/>
              <w:textAlignment w:val="bottom"/>
              <w:rPr>
                <w:rFonts w:hint="eastAsia" w:eastAsiaTheme="minorEastAsia"/>
                <w:lang w:val="en-US" w:eastAsia="zh-CN"/>
              </w:rPr>
            </w:pPr>
            <w:r>
              <w:rPr>
                <w:rFonts w:hint="eastAsia"/>
                <w:lang w:val="en-US" w:eastAsia="zh-CN"/>
              </w:rPr>
              <w:t>189.1</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4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952" w:type="dxa"/>
            <w:gridSpan w:val="9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注：本表反映部门本年一般公共预算财政拨款收入安排的基本支出预算情况。</w:t>
            </w:r>
          </w:p>
        </w:tc>
        <w:tc>
          <w:tcPr>
            <w:tcW w:w="781" w:type="dxa"/>
            <w:gridSpan w:val="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5216" w:type="dxa"/>
            <w:gridSpan w:val="66"/>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r>
              <w:rPr>
                <w:rFonts w:hint="default" w:ascii="lucida Grande" w:hAnsi="lucida Grande" w:eastAsia="lucida Grande" w:cs="lucida Grande"/>
                <w:b/>
                <w:spacing w:val="0"/>
                <w:sz w:val="32"/>
                <w:szCs w:val="32"/>
                <w:vertAlign w:val="baseline"/>
              </w:rPr>
              <w:t> </w:t>
            </w:r>
          </w:p>
          <w:p>
            <w:pPr>
              <w:pStyle w:val="2"/>
              <w:keepNext w:val="0"/>
              <w:keepLines w:val="0"/>
              <w:widowControl/>
              <w:suppressLineNumbers w:val="0"/>
              <w:spacing w:before="0" w:beforeAutospacing="1" w:after="0" w:afterAutospacing="1" w:line="306" w:lineRule="atLeast"/>
              <w:ind w:left="0" w:right="0" w:firstLine="2560"/>
              <w:jc w:val="both"/>
              <w:textAlignment w:val="center"/>
            </w:pPr>
            <w:r>
              <w:rPr>
                <w:rFonts w:hint="default" w:ascii="lucida Grande" w:hAnsi="lucida Grande" w:eastAsia="lucida Grande" w:cs="lucida Grande"/>
                <w:b/>
                <w:spacing w:val="0"/>
                <w:sz w:val="32"/>
                <w:szCs w:val="32"/>
                <w:vertAlign w:val="baseline"/>
              </w:rPr>
              <w:t>支出经济分类科目</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301</w:t>
            </w:r>
          </w:p>
        </w:tc>
        <w:tc>
          <w:tcPr>
            <w:tcW w:w="2025" w:type="dxa"/>
            <w:gridSpan w:val="23"/>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工资福利支出</w:t>
            </w:r>
          </w:p>
        </w:tc>
        <w:tc>
          <w:tcPr>
            <w:tcW w:w="1609" w:type="dxa"/>
            <w:gridSpan w:val="29"/>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238.5</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30101</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基本工资</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98.1</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30102</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津贴补贴</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33.2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30103</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奖金</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33.1</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30108</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机关事业单位基本养老保险缴费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17.8</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职业年金缴费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30110</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职工基本医疗保险缴费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9.2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30112</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其他社会保障缴费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9.1</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30113</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住房公积金</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26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30199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其他工资福利支出</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12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302</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商品和服务支出</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91.6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30201</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办公费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10.4</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30202</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印刷费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0.3</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30205</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水费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0.</w:t>
            </w:r>
            <w:r>
              <w:rPr>
                <w:rFonts w:hint="eastAsia" w:ascii="lucida Grande" w:hAnsi="lucida Grande" w:eastAsia="宋体" w:cs="lucida Grande"/>
                <w:spacing w:val="0"/>
                <w:sz w:val="22"/>
                <w:szCs w:val="22"/>
                <w:vertAlign w:val="baseline"/>
                <w:lang w:val="en-US" w:eastAsia="zh-CN"/>
              </w:rPr>
              <w:t>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30206</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电费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w:t>
            </w:r>
            <w:r>
              <w:rPr>
                <w:rFonts w:hint="eastAsia" w:ascii="lucida Grande" w:hAnsi="lucida Grande" w:eastAsia="宋体" w:cs="lucida Grande"/>
                <w:spacing w:val="0"/>
                <w:sz w:val="22"/>
                <w:szCs w:val="22"/>
                <w:vertAlign w:val="baseline"/>
                <w:lang w:val="en-US" w:eastAsia="zh-CN"/>
              </w:rPr>
              <w:t>8</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30207</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邮电费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2.6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物业管理费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30211</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差旅费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15.8</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30215</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会议费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30216</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培训费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30217</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公务接待费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9.4</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30228</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工会经费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4.6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1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30229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福利费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4.5</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30231</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公务用车运行维护费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30239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其他交通费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eastAsia" w:ascii="lucida Grande" w:hAnsi="lucida Grande" w:eastAsia="宋体" w:cs="lucida Grande"/>
                <w:sz w:val="22"/>
                <w:szCs w:val="22"/>
                <w:lang w:val="en-US" w:eastAsia="zh-CN"/>
              </w:rPr>
              <w:t>17.8</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30240</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税金及附加费用</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30299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其他商品服务支出</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15</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303</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对个人和家庭补助支出</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36.6</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30301</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离休费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8.4</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0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30302</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退休费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720" w:firstLineChars="300"/>
              <w:jc w:val="both"/>
              <w:textAlignment w:val="center"/>
              <w:rPr>
                <w:rFonts w:hint="eastAsia" w:eastAsiaTheme="minorEastAsia"/>
                <w:lang w:val="en-US" w:eastAsia="zh-CN"/>
              </w:rPr>
            </w:pPr>
            <w:r>
              <w:rPr>
                <w:rFonts w:hint="eastAsia"/>
                <w:lang w:val="en-US" w:eastAsia="zh-CN"/>
              </w:rPr>
              <w:t>5</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30305</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生活补助</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8.2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30307</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医疗费</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15"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30399</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0"/>
                <w:szCs w:val="20"/>
                <w:vertAlign w:val="baseline"/>
              </w:rPr>
              <w:t>其他对个人和家庭补助支出</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rPr>
                <w:rFonts w:hint="eastAsia" w:eastAsiaTheme="minorEastAsia"/>
                <w:lang w:val="en-US" w:eastAsia="zh-CN"/>
              </w:rPr>
            </w:pPr>
            <w:r>
              <w:rPr>
                <w:rFonts w:hint="eastAsia"/>
                <w:lang w:val="en-US" w:eastAsia="zh-CN"/>
              </w:rPr>
              <w:t>12</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3"/>
          <w:wAfter w:w="1832" w:type="dxa"/>
          <w:trHeight w:val="390" w:hRule="atLeast"/>
        </w:trPr>
        <w:tc>
          <w:tcPr>
            <w:tcW w:w="588"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82"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合计</w:t>
            </w:r>
          </w:p>
        </w:tc>
        <w:tc>
          <w:tcPr>
            <w:tcW w:w="2025"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609"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eastAsiaTheme="minorEastAsia"/>
                <w:lang w:val="en-US" w:eastAsia="zh-CN"/>
              </w:rPr>
            </w:pPr>
            <w:r>
              <w:rPr>
                <w:rFonts w:hint="eastAsia"/>
                <w:lang w:val="en-US" w:eastAsia="zh-CN"/>
              </w:rPr>
              <w:t>366.7</w:t>
            </w:r>
          </w:p>
        </w:tc>
        <w:tc>
          <w:tcPr>
            <w:tcW w:w="2517" w:type="dxa"/>
            <w:gridSpan w:val="35"/>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23" w:type="dxa"/>
          <w:trHeight w:val="0" w:hRule="atLeast"/>
        </w:trPr>
        <w:tc>
          <w:tcPr>
            <w:tcW w:w="588"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90"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65"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00"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9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4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53"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0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4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3"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09"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8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30"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61"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3"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50"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7"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4"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5"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20"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51"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58"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18"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9"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67"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77"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5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03"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96"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81"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1"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3"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32"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50"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p>
        </w:tc>
        <w:tc>
          <w:tcPr>
            <w:tcW w:w="2970" w:type="dxa"/>
            <w:gridSpan w:val="36"/>
            <w:shd w:val="clear" w:color="auto" w:fill="auto"/>
            <w:vAlign w:val="bottom"/>
          </w:tcPr>
          <w:p>
            <w:pPr>
              <w:rPr>
                <w:rFonts w:hint="eastAsia" w:ascii="宋体" w:hAnsi="宋体" w:eastAsia="宋体" w:cs="宋体"/>
                <w:i w:val="0"/>
                <w:color w:val="000000"/>
                <w:sz w:val="22"/>
                <w:szCs w:val="22"/>
                <w:u w:val="none"/>
              </w:rPr>
            </w:pPr>
          </w:p>
        </w:tc>
        <w:tc>
          <w:tcPr>
            <w:tcW w:w="1410" w:type="dxa"/>
            <w:gridSpan w:val="26"/>
            <w:shd w:val="clear" w:color="auto" w:fill="auto"/>
            <w:vAlign w:val="bottom"/>
          </w:tcPr>
          <w:p>
            <w:pPr>
              <w:rPr>
                <w:rFonts w:hint="eastAsia" w:ascii="宋体" w:hAnsi="宋体" w:eastAsia="宋体" w:cs="宋体"/>
                <w:i w:val="0"/>
                <w:color w:val="000000"/>
                <w:sz w:val="22"/>
                <w:szCs w:val="22"/>
                <w:u w:val="none"/>
              </w:rPr>
            </w:pPr>
          </w:p>
        </w:tc>
        <w:tc>
          <w:tcPr>
            <w:tcW w:w="1200" w:type="dxa"/>
            <w:gridSpan w:val="21"/>
            <w:shd w:val="clear" w:color="auto" w:fill="auto"/>
            <w:vAlign w:val="bottom"/>
          </w:tcPr>
          <w:p>
            <w:pPr>
              <w:rPr>
                <w:rFonts w:hint="eastAsia" w:ascii="宋体" w:hAnsi="宋体" w:eastAsia="宋体" w:cs="宋体"/>
                <w:i w:val="0"/>
                <w:color w:val="000000"/>
                <w:sz w:val="22"/>
                <w:szCs w:val="22"/>
                <w:u w:val="none"/>
              </w:rPr>
            </w:pPr>
          </w:p>
        </w:tc>
        <w:tc>
          <w:tcPr>
            <w:tcW w:w="1515" w:type="dxa"/>
            <w:gridSpan w:val="17"/>
            <w:shd w:val="clear" w:color="auto" w:fill="auto"/>
            <w:vAlign w:val="bottom"/>
          </w:tcPr>
          <w:p>
            <w:pPr>
              <w:rPr>
                <w:rFonts w:hint="eastAsia" w:ascii="宋体" w:hAnsi="宋体" w:eastAsia="宋体" w:cs="宋体"/>
                <w:i w:val="0"/>
                <w:color w:val="000000"/>
                <w:sz w:val="22"/>
                <w:szCs w:val="22"/>
                <w:u w:val="none"/>
              </w:rPr>
            </w:pPr>
          </w:p>
        </w:tc>
        <w:tc>
          <w:tcPr>
            <w:tcW w:w="1708"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0153" w:type="dxa"/>
            <w:gridSpan w:val="105"/>
            <w:shd w:val="clear" w:color="auto" w:fill="auto"/>
            <w:vAlign w:val="center"/>
          </w:tcPr>
          <w:p>
            <w:pPr>
              <w:keepNext w:val="0"/>
              <w:keepLines w:val="0"/>
              <w:widowControl/>
              <w:suppressLineNumbers w:val="0"/>
              <w:jc w:val="center"/>
              <w:textAlignment w:val="center"/>
              <w:rPr>
                <w:rFonts w:ascii="华文中宋" w:hAnsi="华文中宋" w:eastAsia="华文中宋" w:cs="华文中宋"/>
                <w:b/>
                <w:i w:val="0"/>
                <w:color w:val="000000"/>
                <w:sz w:val="36"/>
                <w:szCs w:val="36"/>
                <w:u w:val="none"/>
              </w:rPr>
            </w:pPr>
            <w:r>
              <w:rPr>
                <w:rFonts w:hint="default" w:ascii="华文中宋" w:hAnsi="华文中宋" w:eastAsia="华文中宋" w:cs="华文中宋"/>
                <w:b/>
                <w:i w:val="0"/>
                <w:color w:val="000000"/>
                <w:kern w:val="0"/>
                <w:sz w:val="36"/>
                <w:szCs w:val="36"/>
                <w:u w:val="none"/>
                <w:lang w:val="en-US" w:eastAsia="zh-CN" w:bidi="ar"/>
              </w:rPr>
              <w:t>2018年部门国有资本经营预算收支预算表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75" w:type="dxa"/>
            <w:gridSpan w:val="2"/>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w:t>
            </w:r>
          </w:p>
        </w:tc>
        <w:tc>
          <w:tcPr>
            <w:tcW w:w="9478" w:type="dxa"/>
            <w:gridSpan w:val="103"/>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2970" w:type="dxa"/>
            <w:gridSpan w:val="3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1410" w:type="dxa"/>
            <w:gridSpan w:val="2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国有资本经营预算财政拨款收入</w:t>
            </w:r>
          </w:p>
        </w:tc>
        <w:tc>
          <w:tcPr>
            <w:tcW w:w="4423" w:type="dxa"/>
            <w:gridSpan w:val="3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3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2970" w:type="dxa"/>
            <w:gridSpan w:val="3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410" w:type="dxa"/>
            <w:gridSpan w:val="2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970" w:type="dxa"/>
            <w:gridSpan w:val="36"/>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社会保障和就业支出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20804</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补充全国社会保障基金</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2080451</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国有资本经营预算补充社保基金支出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22301</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解决历史遗留问题及改革成本支出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2230101</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厂办大集体改革支出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2230102</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“三供一业”移交补助支出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2230103</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国有企业办职教幼教补助支出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2230104</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国有企业办公共服务机构移交补助支出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22302</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国有企业资本金注入</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2230201</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国有经济结构调整支出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2230202</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公益性设施投资支出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2230203</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前瞻性战略性产业发展支出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2230204</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生态环境保护支出</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22303</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国有企业政策性补贴</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2230301</w:t>
            </w: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国有企业政策性补贴</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5833" w:type="dxa"/>
            <w:gridSpan w:val="6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霍邱县供销社没有国有资本经营预算拨款收入，也没有使用国有资本经营预算安排的支出，故本表无数据”。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支出合计</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加：结转下年</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70"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调出资金</w:t>
            </w:r>
          </w:p>
        </w:tc>
        <w:tc>
          <w:tcPr>
            <w:tcW w:w="1410"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10153" w:type="dxa"/>
            <w:gridSpan w:val="105"/>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注：没有国有资本经营收支预算的部门也要公开此表，并说明：“**（部门、单位）没有国有资本经营预算拨款收入，也没有使用国有资本经营预算安排的支出，故本表无数据”。</w:t>
            </w:r>
          </w:p>
        </w:tc>
      </w:tr>
    </w:tbl>
    <w:p>
      <w:pPr>
        <w:pStyle w:val="2"/>
        <w:keepNext w:val="0"/>
        <w:keepLines w:val="0"/>
        <w:widowControl/>
        <w:suppressLineNumbers w:val="0"/>
        <w:spacing w:before="0" w:beforeAutospacing="1" w:after="0" w:afterAutospacing="1" w:line="357" w:lineRule="atLeast"/>
        <w:ind w:left="0" w:right="0"/>
      </w:pPr>
      <w:r>
        <w:rPr>
          <w:rFonts w:hint="default" w:ascii="仿宋_GB2312" w:hAnsi="lucida Grande" w:eastAsia="仿宋_GB2312" w:cs="仿宋_GB2312"/>
          <w:b w:val="0"/>
          <w:i w:val="0"/>
          <w:caps w:val="0"/>
          <w:color w:val="000000"/>
          <w:spacing w:val="0"/>
          <w:sz w:val="32"/>
          <w:szCs w:val="32"/>
          <w:shd w:val="clear" w:fill="FFFFFF"/>
        </w:rPr>
        <w:t>    </w:t>
      </w:r>
    </w:p>
    <w:tbl>
      <w:tblPr>
        <w:tblStyle w:val="9"/>
        <w:tblW w:w="833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234"/>
        <w:gridCol w:w="31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8335" w:type="dxa"/>
            <w:gridSpan w:val="2"/>
            <w:tcBorders>
              <w:top w:val="nil"/>
              <w:left w:val="nil"/>
              <w:bottom w:val="nil"/>
              <w:right w:val="nil"/>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rPr>
              <w:t> </w:t>
            </w:r>
          </w:p>
          <w:p>
            <w:pPr>
              <w:pStyle w:val="2"/>
              <w:keepNext w:val="0"/>
              <w:keepLines w:val="0"/>
              <w:widowControl/>
              <w:suppressLineNumbers w:val="0"/>
              <w:spacing w:before="0" w:beforeAutospacing="1" w:after="0" w:afterAutospacing="1" w:line="306" w:lineRule="atLeast"/>
              <w:ind w:left="0" w:right="0"/>
              <w:jc w:val="both"/>
              <w:textAlignment w:val="bottom"/>
              <w:rPr>
                <w:rFonts w:hint="eastAsia" w:ascii="仿宋" w:hAnsi="仿宋" w:eastAsia="仿宋" w:cs="仿宋"/>
                <w:sz w:val="32"/>
                <w:szCs w:val="32"/>
              </w:rPr>
            </w:pPr>
            <w:r>
              <w:rPr>
                <w:rFonts w:hint="eastAsia" w:ascii="仿宋" w:hAnsi="仿宋" w:eastAsia="仿宋" w:cs="仿宋"/>
                <w:b/>
                <w:spacing w:val="0"/>
                <w:sz w:val="32"/>
                <w:szCs w:val="32"/>
                <w:vertAlign w:val="baseline"/>
              </w:rPr>
              <w:t>201</w:t>
            </w:r>
            <w:r>
              <w:rPr>
                <w:rFonts w:hint="eastAsia" w:ascii="仿宋" w:hAnsi="仿宋" w:eastAsia="仿宋" w:cs="仿宋"/>
                <w:b/>
                <w:spacing w:val="0"/>
                <w:sz w:val="32"/>
                <w:szCs w:val="32"/>
                <w:vertAlign w:val="baseline"/>
                <w:lang w:val="en-US" w:eastAsia="zh-CN"/>
              </w:rPr>
              <w:t>8</w:t>
            </w:r>
            <w:r>
              <w:rPr>
                <w:rFonts w:hint="eastAsia" w:ascii="仿宋" w:hAnsi="仿宋" w:eastAsia="仿宋" w:cs="仿宋"/>
                <w:b/>
                <w:spacing w:val="0"/>
                <w:sz w:val="32"/>
                <w:szCs w:val="32"/>
                <w:vertAlign w:val="baseline"/>
              </w:rPr>
              <w:t>年一般公共预算财政拨款“三公”经费预算表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80" w:hRule="atLeast"/>
        </w:trPr>
        <w:tc>
          <w:tcPr>
            <w:tcW w:w="5234"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部门：霍邱县供销社</w:t>
            </w:r>
          </w:p>
        </w:tc>
        <w:tc>
          <w:tcPr>
            <w:tcW w:w="3101"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项目</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b/>
                <w:spacing w:val="0"/>
                <w:sz w:val="32"/>
                <w:szCs w:val="32"/>
                <w:vertAlign w:val="baseline"/>
              </w:rPr>
              <w:t>合计</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因公出国（境）费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公务接待费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公务用车购置及运行费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其中：公务用车运行费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仿宋" w:hAnsi="仿宋" w:eastAsia="仿宋" w:cs="仿宋"/>
                <w:sz w:val="32"/>
                <w:szCs w:val="32"/>
              </w:rPr>
            </w:pPr>
            <w:r>
              <w:rPr>
                <w:rFonts w:hint="eastAsia" w:ascii="仿宋" w:hAnsi="仿宋" w:eastAsia="仿宋" w:cs="仿宋"/>
                <w:spacing w:val="0"/>
                <w:sz w:val="32"/>
                <w:szCs w:val="32"/>
                <w:vertAlign w:val="baseline"/>
              </w:rPr>
              <w:t>       公务用车购置费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rPr>
                <w:rFonts w:hint="eastAsia" w:ascii="仿宋" w:hAnsi="仿宋" w:eastAsia="仿宋" w:cs="仿宋"/>
                <w:sz w:val="32"/>
                <w:szCs w:val="32"/>
              </w:rPr>
            </w:pPr>
            <w:r>
              <w:rPr>
                <w:rFonts w:hint="eastAsia" w:ascii="仿宋" w:hAnsi="仿宋" w:eastAsia="仿宋" w:cs="仿宋"/>
                <w:sz w:val="32"/>
                <w:szCs w:val="32"/>
              </w:rPr>
              <w:t> </w:t>
            </w:r>
          </w:p>
        </w:tc>
      </w:tr>
    </w:tbl>
    <w:p>
      <w:pPr>
        <w:pStyle w:val="2"/>
        <w:keepNext w:val="0"/>
        <w:keepLines w:val="0"/>
        <w:widowControl/>
        <w:suppressLineNumbers w:val="0"/>
        <w:spacing w:before="0" w:beforeAutospacing="1" w:after="0" w:afterAutospacing="1" w:line="357" w:lineRule="atLeast"/>
        <w:ind w:left="0" w:right="0" w:firstLine="64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firstLine="64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rPr>
          <w:rFonts w:hint="default" w:ascii="仿宋_GB2312" w:hAnsi="lucida Grande" w:eastAsia="仿宋_GB2312" w:cs="仿宋_GB2312"/>
          <w:b w:val="0"/>
          <w:i w:val="0"/>
          <w:caps w:val="0"/>
          <w:color w:val="000000"/>
          <w:spacing w:val="0"/>
          <w:sz w:val="32"/>
          <w:szCs w:val="32"/>
          <w:shd w:val="clear" w:fill="FFFFFF"/>
        </w:rPr>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rPr>
          <w:rFonts w:hint="default" w:ascii="仿宋_GB2312" w:hAnsi="lucida Grande" w:eastAsia="仿宋_GB2312" w:cs="仿宋_GB2312"/>
          <w:b w:val="0"/>
          <w:i w:val="0"/>
          <w:caps w:val="0"/>
          <w:color w:val="000000"/>
          <w:spacing w:val="0"/>
          <w:sz w:val="32"/>
          <w:szCs w:val="32"/>
          <w:shd w:val="clear" w:fill="FFFFFF"/>
        </w:rPr>
      </w:pPr>
    </w:p>
    <w:p>
      <w:pPr>
        <w:pStyle w:val="2"/>
        <w:keepNext w:val="0"/>
        <w:keepLines w:val="0"/>
        <w:widowControl/>
        <w:suppressLineNumbers w:val="0"/>
        <w:spacing w:before="0" w:beforeAutospacing="1" w:after="0" w:afterAutospacing="1" w:line="357" w:lineRule="atLeast"/>
        <w:ind w:left="0" w:right="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jc w:val="both"/>
      </w:pPr>
      <w:r>
        <w:rPr>
          <w:rFonts w:hint="default" w:ascii="仿宋_GB2312" w:hAnsi="lucida Grande" w:eastAsia="仿宋_GB2312" w:cs="仿宋_GB2312"/>
          <w:b w:val="0"/>
          <w:i w:val="0"/>
          <w:caps w:val="0"/>
          <w:color w:val="000000"/>
          <w:spacing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0ECF9"/>
        <w:ind w:left="0" w:firstLine="0"/>
        <w:jc w:val="left"/>
        <w:rPr>
          <w:rFonts w:hint="default" w:ascii="lucida Grande" w:hAnsi="lucida Grande" w:eastAsia="lucida Grande" w:cs="lucida Grande"/>
          <w:b w:val="0"/>
          <w:i w:val="0"/>
          <w:caps w:val="0"/>
          <w:color w:val="A0A0A0"/>
          <w:spacing w:val="0"/>
          <w:sz w:val="18"/>
          <w:szCs w:val="18"/>
        </w:rPr>
      </w:pPr>
      <w:r>
        <w:rPr>
          <w:rFonts w:hint="default" w:ascii="lucida Grande" w:hAnsi="lucida Grande" w:eastAsia="lucida Grande" w:cs="lucida Grande"/>
          <w:b/>
          <w:i w:val="0"/>
          <w:caps w:val="0"/>
          <w:color w:val="000000"/>
          <w:spacing w:val="0"/>
          <w:kern w:val="0"/>
          <w:sz w:val="21"/>
          <w:szCs w:val="21"/>
          <w:shd w:val="clear" w:fill="E0ECF9"/>
          <w:lang w:val="en-US" w:eastAsia="zh-CN" w:bidi="ar"/>
        </w:rPr>
        <w:drawing>
          <wp:inline distT="0" distB="0" distL="114300" distR="114300">
            <wp:extent cx="9525" cy="95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cida Grand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238265"/>
    <w:multiLevelType w:val="singleLevel"/>
    <w:tmpl w:val="F0238265"/>
    <w:lvl w:ilvl="0" w:tentative="0">
      <w:start w:val="1"/>
      <w:numFmt w:val="chineseCounting"/>
      <w:suff w:val="nothing"/>
      <w:lvlText w:val="%1、"/>
      <w:lvlJc w:val="left"/>
      <w:rPr>
        <w:rFonts w:hint="eastAsia"/>
      </w:rPr>
    </w:lvl>
  </w:abstractNum>
  <w:abstractNum w:abstractNumId="1">
    <w:nsid w:val="6BEA2EC3"/>
    <w:multiLevelType w:val="singleLevel"/>
    <w:tmpl w:val="6BEA2EC3"/>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4A0F9A"/>
    <w:rsid w:val="00404F1A"/>
    <w:rsid w:val="006B229F"/>
    <w:rsid w:val="01445B83"/>
    <w:rsid w:val="04B5668B"/>
    <w:rsid w:val="0629509E"/>
    <w:rsid w:val="064A0F9A"/>
    <w:rsid w:val="066A23CC"/>
    <w:rsid w:val="06853642"/>
    <w:rsid w:val="0A7353C0"/>
    <w:rsid w:val="0B6D472A"/>
    <w:rsid w:val="0EFE0D5F"/>
    <w:rsid w:val="104C3CFA"/>
    <w:rsid w:val="10FF278C"/>
    <w:rsid w:val="11ED71D4"/>
    <w:rsid w:val="134B15E8"/>
    <w:rsid w:val="137B0F32"/>
    <w:rsid w:val="185B3090"/>
    <w:rsid w:val="1A6C5A94"/>
    <w:rsid w:val="1C7A3864"/>
    <w:rsid w:val="1E983FB2"/>
    <w:rsid w:val="20602E6B"/>
    <w:rsid w:val="236B60EA"/>
    <w:rsid w:val="255E3FBF"/>
    <w:rsid w:val="2B8702C9"/>
    <w:rsid w:val="2B91444A"/>
    <w:rsid w:val="2BB05CFC"/>
    <w:rsid w:val="2C2B678D"/>
    <w:rsid w:val="2C5B3C38"/>
    <w:rsid w:val="300801DC"/>
    <w:rsid w:val="30E52759"/>
    <w:rsid w:val="3EAB5A41"/>
    <w:rsid w:val="40187D9D"/>
    <w:rsid w:val="4163101B"/>
    <w:rsid w:val="476C2A42"/>
    <w:rsid w:val="4A413279"/>
    <w:rsid w:val="4DDB0515"/>
    <w:rsid w:val="4F165581"/>
    <w:rsid w:val="50866D08"/>
    <w:rsid w:val="52367ADF"/>
    <w:rsid w:val="5408211E"/>
    <w:rsid w:val="55B73707"/>
    <w:rsid w:val="5AB64E06"/>
    <w:rsid w:val="5B733378"/>
    <w:rsid w:val="60BD0B12"/>
    <w:rsid w:val="60F304B4"/>
    <w:rsid w:val="61546A25"/>
    <w:rsid w:val="64D95FAF"/>
    <w:rsid w:val="657E7AEC"/>
    <w:rsid w:val="65DA362B"/>
    <w:rsid w:val="687745A5"/>
    <w:rsid w:val="6AE56BCD"/>
    <w:rsid w:val="6AE57D0A"/>
    <w:rsid w:val="6AF1648E"/>
    <w:rsid w:val="6DD44EED"/>
    <w:rsid w:val="6E871702"/>
    <w:rsid w:val="73053A46"/>
    <w:rsid w:val="74CD1392"/>
    <w:rsid w:val="77935B3F"/>
    <w:rsid w:val="7B9D7A3C"/>
    <w:rsid w:val="7BC42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Emphasis"/>
    <w:basedOn w:val="3"/>
    <w:qFormat/>
    <w:uiPriority w:val="0"/>
    <w:rPr>
      <w:i/>
      <w:vanish/>
    </w:rPr>
  </w:style>
  <w:style w:type="character" w:styleId="7">
    <w:name w:val="HTML Acronym"/>
    <w:basedOn w:val="3"/>
    <w:qFormat/>
    <w:uiPriority w:val="0"/>
  </w:style>
  <w:style w:type="character" w:styleId="8">
    <w:name w:val="Hyperlink"/>
    <w:basedOn w:val="3"/>
    <w:qFormat/>
    <w:uiPriority w:val="0"/>
    <w:rPr>
      <w:color w:val="333333"/>
      <w:u w:val="none"/>
    </w:rPr>
  </w:style>
  <w:style w:type="character" w:customStyle="1" w:styleId="10">
    <w:name w:val="font51"/>
    <w:basedOn w:val="3"/>
    <w:qFormat/>
    <w:uiPriority w:val="0"/>
    <w:rPr>
      <w:rFonts w:hint="eastAsia" w:ascii="宋体" w:hAnsi="宋体" w:eastAsia="宋体" w:cs="宋体"/>
      <w:color w:val="000000"/>
      <w:sz w:val="22"/>
      <w:szCs w:val="22"/>
      <w:u w:val="none"/>
    </w:rPr>
  </w:style>
  <w:style w:type="character" w:customStyle="1" w:styleId="11">
    <w:name w:val="tmpztreemove_arrow"/>
    <w:basedOn w:val="3"/>
    <w:qFormat/>
    <w:uiPriority w:val="0"/>
  </w:style>
  <w:style w:type="character" w:customStyle="1" w:styleId="12">
    <w:name w:val="button"/>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2018-01-16T08:06:00Z</dcterms:created>
  <dc:creator>Administrator</dc:creator>
  <cp:lastModifiedBy>供销社收发员</cp:lastModifiedBy>
  <dcterms:modified xsi:type="dcterms:W3CDTF">2019-01-18T09:03:13Z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2052-11.1.0.8236</vt:lpwstr>
  </property>
</Properties>
</file>