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1710B3">
      <w:pPr>
        <w:spacing w:line="540" w:lineRule="exact"/>
        <w:jc w:val="center"/>
        <w:rPr>
          <w:rFonts w:ascii="方正小标宋_GBK" w:eastAsia="方正小标宋_GBK"/>
          <w:sz w:val="44"/>
          <w:szCs w:val="44"/>
        </w:rPr>
      </w:pPr>
      <w:r>
        <w:rPr>
          <w:rFonts w:hint="eastAsia" w:ascii="方正小标宋_GBK" w:hAnsi="Arial" w:eastAsia="方正小标宋_GBK" w:cs="Arial"/>
          <w:sz w:val="44"/>
          <w:szCs w:val="44"/>
        </w:rPr>
        <w:t>项目支出绩效评价报告</w:t>
      </w:r>
    </w:p>
    <w:p w14:paraId="79676032">
      <w:pPr>
        <w:keepNext w:val="0"/>
        <w:keepLines w:val="0"/>
        <w:pageBreakBefore w:val="0"/>
        <w:widowControl w:val="0"/>
        <w:kinsoku/>
        <w:wordWrap/>
        <w:overflowPunct/>
        <w:topLinePunct w:val="0"/>
        <w:autoSpaceDE/>
        <w:autoSpaceDN/>
        <w:bidi w:val="0"/>
        <w:adjustRightInd/>
        <w:snapToGrid/>
        <w:spacing w:line="520" w:lineRule="exact"/>
        <w:ind w:firstLine="600"/>
        <w:textAlignment w:val="auto"/>
        <w:rPr>
          <w:rFonts w:hint="eastAsia" w:ascii="黑体" w:hAnsi="黑体" w:eastAsia="黑体" w:cs="黑体"/>
          <w:szCs w:val="32"/>
        </w:rPr>
      </w:pPr>
    </w:p>
    <w:p w14:paraId="28C82E93">
      <w:pPr>
        <w:keepNext w:val="0"/>
        <w:keepLines w:val="0"/>
        <w:pageBreakBefore w:val="0"/>
        <w:widowControl w:val="0"/>
        <w:kinsoku/>
        <w:wordWrap/>
        <w:overflowPunct/>
        <w:topLinePunct w:val="0"/>
        <w:autoSpaceDE/>
        <w:autoSpaceDN/>
        <w:bidi w:val="0"/>
        <w:adjustRightInd/>
        <w:snapToGrid/>
        <w:spacing w:line="520" w:lineRule="exact"/>
        <w:ind w:firstLine="600"/>
        <w:textAlignment w:val="auto"/>
        <w:rPr>
          <w:rFonts w:ascii="黑体" w:hAnsi="黑体" w:eastAsia="黑体" w:cs="黑体"/>
          <w:szCs w:val="32"/>
        </w:rPr>
      </w:pPr>
      <w:r>
        <w:rPr>
          <w:rFonts w:hint="eastAsia" w:ascii="黑体" w:hAnsi="黑体" w:eastAsia="黑体" w:cs="黑体"/>
          <w:szCs w:val="32"/>
        </w:rPr>
        <w:t>一、项目基本情况</w:t>
      </w:r>
    </w:p>
    <w:p w14:paraId="5C9B60AD">
      <w:pPr>
        <w:keepNext w:val="0"/>
        <w:keepLines w:val="0"/>
        <w:pageBreakBefore w:val="0"/>
        <w:widowControl w:val="0"/>
        <w:kinsoku/>
        <w:wordWrap/>
        <w:overflowPunct/>
        <w:topLinePunct w:val="0"/>
        <w:autoSpaceDE/>
        <w:autoSpaceDN/>
        <w:bidi w:val="0"/>
        <w:adjustRightInd/>
        <w:snapToGrid/>
        <w:spacing w:line="500" w:lineRule="exact"/>
        <w:ind w:firstLine="601"/>
        <w:textAlignment w:val="auto"/>
        <w:outlineLvl w:val="0"/>
        <w:rPr>
          <w:rFonts w:ascii="仿宋_GB2312" w:hAnsi="仿宋_GB2312" w:cs="仿宋_GB2312"/>
          <w:szCs w:val="32"/>
        </w:rPr>
      </w:pPr>
      <w:r>
        <w:rPr>
          <w:rFonts w:hint="eastAsia" w:ascii="仿宋_GB2312" w:hAnsi="仿宋_GB2312" w:cs="仿宋_GB2312"/>
          <w:szCs w:val="32"/>
        </w:rPr>
        <w:t>（一）项目概况。</w:t>
      </w:r>
      <w:r>
        <w:rPr>
          <w:rFonts w:hint="eastAsia" w:ascii="仿宋_GB2312" w:hAnsi="仿宋_GB2312" w:cs="仿宋_GB2312"/>
          <w:color w:val="000000"/>
          <w:szCs w:val="32"/>
          <w:lang w:val="en-US" w:eastAsia="zh-CN"/>
        </w:rPr>
        <w:t>事业发展经费，预算总金额264万元，主要内容包括办公费200万元，电费25万元，印刷费15万元，维修（护）费19万元，差旅</w:t>
      </w:r>
      <w:bookmarkStart w:id="0" w:name="_GoBack"/>
      <w:bookmarkEnd w:id="0"/>
      <w:r>
        <w:rPr>
          <w:rFonts w:hint="eastAsia" w:ascii="仿宋_GB2312" w:hAnsi="仿宋_GB2312" w:cs="仿宋_GB2312"/>
          <w:color w:val="000000"/>
          <w:szCs w:val="32"/>
          <w:lang w:val="en-US" w:eastAsia="zh-CN"/>
        </w:rPr>
        <w:t>费5万元，该项目主要是保障事业发展工作经费，确保事业发展工作正常开展。2025年度，事业发展经费预算执行率74.12%，自评的得分97.41分，该项资金的使用情况良好，为我镇经济发展提供了很大支撑。</w:t>
      </w:r>
    </w:p>
    <w:p w14:paraId="02410EFF">
      <w:pPr>
        <w:keepNext w:val="0"/>
        <w:keepLines w:val="0"/>
        <w:pageBreakBefore w:val="0"/>
        <w:widowControl w:val="0"/>
        <w:kinsoku/>
        <w:wordWrap/>
        <w:overflowPunct/>
        <w:topLinePunct w:val="0"/>
        <w:autoSpaceDE/>
        <w:autoSpaceDN/>
        <w:bidi w:val="0"/>
        <w:adjustRightInd/>
        <w:snapToGrid/>
        <w:spacing w:line="500" w:lineRule="exact"/>
        <w:ind w:firstLine="601"/>
        <w:textAlignment w:val="auto"/>
        <w:rPr>
          <w:rFonts w:ascii="仿宋_GB2312" w:hAnsi="仿宋_GB2312" w:cs="仿宋_GB2312"/>
          <w:szCs w:val="32"/>
        </w:rPr>
      </w:pPr>
      <w:r>
        <w:rPr>
          <w:rFonts w:hint="eastAsia" w:ascii="仿宋_GB2312" w:hAnsi="仿宋_GB2312" w:cs="仿宋_GB2312"/>
          <w:szCs w:val="32"/>
        </w:rPr>
        <w:t>（二）项目绩效目标。</w:t>
      </w:r>
      <w:r>
        <w:rPr>
          <w:rFonts w:hint="eastAsia" w:ascii="仿宋_GB2312" w:hAnsi="仿宋_GB2312" w:cs="仿宋_GB2312"/>
          <w:szCs w:val="32"/>
          <w:lang w:val="en-US" w:eastAsia="zh-CN"/>
        </w:rPr>
        <w:t>事业发展经费的总体目标是助力我镇工作开支平衡，阶段性目标是保障各职工办公条件有序。</w:t>
      </w:r>
    </w:p>
    <w:p w14:paraId="2ECF7632">
      <w:pPr>
        <w:keepNext w:val="0"/>
        <w:keepLines w:val="0"/>
        <w:pageBreakBefore w:val="0"/>
        <w:widowControl w:val="0"/>
        <w:kinsoku/>
        <w:wordWrap/>
        <w:overflowPunct/>
        <w:topLinePunct w:val="0"/>
        <w:autoSpaceDE/>
        <w:autoSpaceDN/>
        <w:bidi w:val="0"/>
        <w:adjustRightInd/>
        <w:snapToGrid/>
        <w:spacing w:line="520" w:lineRule="exact"/>
        <w:ind w:firstLine="600"/>
        <w:textAlignment w:val="auto"/>
        <w:rPr>
          <w:rFonts w:ascii="黑体" w:hAnsi="黑体" w:eastAsia="黑体" w:cs="黑体"/>
          <w:szCs w:val="32"/>
        </w:rPr>
      </w:pPr>
      <w:r>
        <w:rPr>
          <w:rFonts w:hint="eastAsia" w:ascii="黑体" w:hAnsi="黑体" w:eastAsia="黑体" w:cs="黑体"/>
          <w:szCs w:val="32"/>
        </w:rPr>
        <w:t>二、绩效评价工作开展情况</w:t>
      </w:r>
    </w:p>
    <w:p w14:paraId="2B10312B">
      <w:pPr>
        <w:keepNext w:val="0"/>
        <w:keepLines w:val="0"/>
        <w:pageBreakBefore w:val="0"/>
        <w:widowControl w:val="0"/>
        <w:kinsoku/>
        <w:wordWrap/>
        <w:overflowPunct/>
        <w:topLinePunct w:val="0"/>
        <w:autoSpaceDE/>
        <w:autoSpaceDN/>
        <w:bidi w:val="0"/>
        <w:adjustRightInd/>
        <w:snapToGrid/>
        <w:spacing w:line="520" w:lineRule="exact"/>
        <w:ind w:firstLine="600"/>
        <w:textAlignment w:val="auto"/>
        <w:rPr>
          <w:rFonts w:hint="default" w:ascii="仿宋_GB2312" w:hAnsi="仿宋_GB2312" w:eastAsia="仿宋_GB2312" w:cs="仿宋_GB2312"/>
          <w:szCs w:val="32"/>
          <w:lang w:val="en-US" w:eastAsia="zh-CN"/>
        </w:rPr>
      </w:pPr>
      <w:r>
        <w:rPr>
          <w:rFonts w:hint="eastAsia" w:ascii="仿宋_GB2312" w:hAnsi="仿宋_GB2312" w:cs="仿宋_GB2312"/>
          <w:szCs w:val="32"/>
        </w:rPr>
        <w:t>（一）绩效评价目的、对象和范围</w:t>
      </w:r>
      <w:r>
        <w:rPr>
          <w:rFonts w:hint="eastAsia" w:ascii="仿宋_GB2312" w:hAnsi="仿宋_GB2312" w:cs="仿宋_GB2312"/>
          <w:szCs w:val="32"/>
          <w:lang w:eastAsia="zh-CN"/>
        </w:rPr>
        <w:t>：</w:t>
      </w:r>
      <w:r>
        <w:rPr>
          <w:rFonts w:hint="eastAsia" w:ascii="仿宋_GB2312" w:hAnsi="仿宋_GB2312" w:cs="仿宋_GB2312"/>
          <w:szCs w:val="32"/>
          <w:lang w:val="en-US" w:eastAsia="zh-CN"/>
        </w:rPr>
        <w:t>事业发展经费评价的目的是保障在岗在职人员的基本福利、办公条件有序，评价的对象是各在岗在职人员，范围是工作期间产生的各项开支。</w:t>
      </w:r>
    </w:p>
    <w:p w14:paraId="07F4BC21">
      <w:pPr>
        <w:keepNext w:val="0"/>
        <w:keepLines w:val="0"/>
        <w:pageBreakBefore w:val="0"/>
        <w:widowControl w:val="0"/>
        <w:kinsoku/>
        <w:wordWrap/>
        <w:overflowPunct/>
        <w:topLinePunct w:val="0"/>
        <w:autoSpaceDE/>
        <w:autoSpaceDN/>
        <w:bidi w:val="0"/>
        <w:adjustRightInd/>
        <w:snapToGrid/>
        <w:spacing w:line="520" w:lineRule="exact"/>
        <w:ind w:firstLine="600"/>
        <w:textAlignment w:val="auto"/>
        <w:rPr>
          <w:rFonts w:hint="eastAsia" w:ascii="仿宋_GB2312" w:hAnsi="仿宋_GB2312" w:cs="仿宋_GB2312"/>
          <w:szCs w:val="32"/>
          <w:lang w:eastAsia="zh-CN"/>
        </w:rPr>
      </w:pPr>
      <w:r>
        <w:rPr>
          <w:rFonts w:hint="eastAsia" w:ascii="仿宋_GB2312" w:hAnsi="仿宋_GB2312" w:cs="仿宋_GB2312"/>
          <w:szCs w:val="32"/>
        </w:rPr>
        <w:t>（二）绩效评价原则、评价指标体系（附表说明）、评价方法、评价标准</w:t>
      </w:r>
      <w:r>
        <w:rPr>
          <w:rFonts w:hint="eastAsia" w:ascii="仿宋_GB2312" w:hAnsi="仿宋_GB2312" w:cs="仿宋_GB2312"/>
          <w:szCs w:val="32"/>
          <w:lang w:eastAsia="zh-CN"/>
        </w:rPr>
        <w:t>：</w:t>
      </w:r>
      <w:r>
        <w:rPr>
          <w:rFonts w:hint="eastAsia" w:ascii="仿宋_GB2312" w:hAnsi="仿宋_GB2312" w:cs="仿宋_GB2312"/>
          <w:szCs w:val="32"/>
        </w:rPr>
        <w:t>本次评价标准为预算批复时确定的绩效指标，包括项目的产出数量、质量、时效、成本，以及经济效益、社会效益、服务对象满意度等。</w:t>
      </w:r>
    </w:p>
    <w:p w14:paraId="74D55C97">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方正仿宋_GB2312" w:hAnsi="方正仿宋_GB2312" w:eastAsia="方正仿宋_GB2312" w:cs="方正仿宋_GB2312"/>
          <w:color w:val="000000"/>
          <w:sz w:val="32"/>
          <w:szCs w:val="32"/>
        </w:rPr>
      </w:pPr>
      <w:r>
        <w:rPr>
          <w:rFonts w:hint="eastAsia" w:ascii="仿宋_GB2312" w:hAnsi="仿宋_GB2312" w:cs="仿宋_GB2312"/>
          <w:szCs w:val="32"/>
        </w:rPr>
        <w:t>（三）绩效评价工作过程</w:t>
      </w:r>
      <w:r>
        <w:rPr>
          <w:rFonts w:hint="eastAsia" w:ascii="仿宋_GB2312" w:hAnsi="仿宋_GB2312" w:cs="仿宋_GB2312"/>
          <w:szCs w:val="32"/>
          <w:lang w:eastAsia="zh-CN"/>
        </w:rPr>
        <w:t>：</w:t>
      </w:r>
      <w:r>
        <w:rPr>
          <w:rFonts w:hint="eastAsia" w:ascii="仿宋_GB2312" w:hAnsi="仿宋_GB2312" w:cs="仿宋_GB2312"/>
          <w:szCs w:val="32"/>
          <w:lang w:val="en-US" w:eastAsia="zh-CN"/>
        </w:rPr>
        <w:t>由众兴集镇财政资产和管理中心</w:t>
      </w:r>
      <w:r>
        <w:rPr>
          <w:rFonts w:hint="eastAsia" w:ascii="方正仿宋_GB2312" w:hAnsi="方正仿宋_GB2312" w:eastAsia="方正仿宋_GB2312" w:cs="方正仿宋_GB2312"/>
          <w:color w:val="000000"/>
          <w:sz w:val="32"/>
          <w:szCs w:val="32"/>
        </w:rPr>
        <w:t>对</w:t>
      </w:r>
      <w:r>
        <w:rPr>
          <w:rFonts w:hint="eastAsia" w:ascii="方正仿宋_GB2312" w:hAnsi="方正仿宋_GB2312" w:eastAsia="方正仿宋_GB2312" w:cs="方正仿宋_GB2312"/>
          <w:color w:val="000000"/>
          <w:sz w:val="32"/>
          <w:szCs w:val="32"/>
          <w:lang w:eastAsia="zh-CN"/>
        </w:rPr>
        <w:t>我</w:t>
      </w:r>
      <w:r>
        <w:rPr>
          <w:rFonts w:hint="eastAsia" w:ascii="方正仿宋_GB2312" w:hAnsi="方正仿宋_GB2312" w:eastAsia="方正仿宋_GB2312" w:cs="方正仿宋_GB2312"/>
          <w:color w:val="000000"/>
          <w:sz w:val="32"/>
          <w:szCs w:val="32"/>
          <w:lang w:val="en-US" w:eastAsia="zh-CN"/>
        </w:rPr>
        <w:t>镇</w:t>
      </w:r>
      <w:r>
        <w:rPr>
          <w:rFonts w:hint="eastAsia" w:ascii="方正仿宋_GB2312" w:hAnsi="方正仿宋_GB2312" w:eastAsia="方正仿宋_GB2312" w:cs="方正仿宋_GB2312"/>
          <w:color w:val="000000"/>
          <w:sz w:val="32"/>
          <w:szCs w:val="32"/>
        </w:rPr>
        <w:t>202</w:t>
      </w:r>
      <w:r>
        <w:rPr>
          <w:rFonts w:hint="eastAsia" w:ascii="方正仿宋_GB2312" w:hAnsi="方正仿宋_GB2312" w:eastAsia="方正仿宋_GB2312" w:cs="方正仿宋_GB2312"/>
          <w:color w:val="000000"/>
          <w:sz w:val="32"/>
          <w:szCs w:val="32"/>
          <w:lang w:val="en-US" w:eastAsia="zh-CN"/>
        </w:rPr>
        <w:t>5</w:t>
      </w:r>
      <w:r>
        <w:rPr>
          <w:rFonts w:hint="eastAsia" w:ascii="方正仿宋_GB2312" w:hAnsi="方正仿宋_GB2312" w:eastAsia="方正仿宋_GB2312" w:cs="方正仿宋_GB2312"/>
          <w:color w:val="000000"/>
          <w:sz w:val="32"/>
          <w:szCs w:val="32"/>
        </w:rPr>
        <w:t>年度</w:t>
      </w:r>
      <w:r>
        <w:rPr>
          <w:rFonts w:hint="eastAsia" w:ascii="方正仿宋_GB2312" w:hAnsi="方正仿宋_GB2312" w:eastAsia="方正仿宋_GB2312" w:cs="方正仿宋_GB2312"/>
          <w:color w:val="000000"/>
          <w:sz w:val="32"/>
          <w:szCs w:val="32"/>
          <w:lang w:val="en-US" w:eastAsia="zh-CN"/>
        </w:rPr>
        <w:t>事业发展经费</w:t>
      </w:r>
      <w:r>
        <w:rPr>
          <w:rFonts w:hint="eastAsia" w:ascii="方正仿宋_GB2312" w:hAnsi="方正仿宋_GB2312" w:eastAsia="方正仿宋_GB2312" w:cs="方正仿宋_GB2312"/>
          <w:color w:val="000000"/>
          <w:sz w:val="32"/>
          <w:szCs w:val="32"/>
        </w:rPr>
        <w:t>项目的资金使用、</w:t>
      </w:r>
      <w:r>
        <w:rPr>
          <w:rFonts w:hint="eastAsia" w:ascii="方正仿宋_GB2312" w:hAnsi="方正仿宋_GB2312" w:eastAsia="方正仿宋_GB2312" w:cs="方正仿宋_GB2312"/>
          <w:color w:val="000000"/>
          <w:sz w:val="32"/>
          <w:szCs w:val="32"/>
          <w:lang w:val="en-US" w:eastAsia="zh-CN"/>
        </w:rPr>
        <w:t xml:space="preserve"> </w:t>
      </w:r>
      <w:r>
        <w:rPr>
          <w:rFonts w:hint="eastAsia" w:ascii="方正仿宋_GB2312" w:hAnsi="方正仿宋_GB2312" w:eastAsia="方正仿宋_GB2312" w:cs="方正仿宋_GB2312"/>
          <w:color w:val="000000"/>
          <w:sz w:val="32"/>
          <w:szCs w:val="32"/>
        </w:rPr>
        <w:t>管理情况以及成效进行全方位自查和自评打分，并形成了自评报告。</w:t>
      </w:r>
    </w:p>
    <w:p w14:paraId="31053CEC">
      <w:pPr>
        <w:keepNext w:val="0"/>
        <w:keepLines w:val="0"/>
        <w:pageBreakBefore w:val="0"/>
        <w:widowControl w:val="0"/>
        <w:kinsoku/>
        <w:wordWrap/>
        <w:overflowPunct/>
        <w:topLinePunct w:val="0"/>
        <w:autoSpaceDE/>
        <w:autoSpaceDN/>
        <w:bidi w:val="0"/>
        <w:adjustRightInd/>
        <w:snapToGrid/>
        <w:spacing w:line="520" w:lineRule="exact"/>
        <w:ind w:firstLine="600"/>
        <w:textAlignment w:val="auto"/>
        <w:rPr>
          <w:rFonts w:hint="eastAsia" w:ascii="仿宋_GB2312" w:hAnsi="仿宋_GB2312" w:eastAsia="仿宋_GB2312" w:cs="仿宋_GB2312"/>
          <w:szCs w:val="32"/>
          <w:lang w:eastAsia="zh-CN"/>
        </w:rPr>
      </w:pPr>
    </w:p>
    <w:p w14:paraId="4EE98704">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00"/>
        <w:textAlignment w:val="auto"/>
        <w:rPr>
          <w:rFonts w:hint="eastAsia" w:ascii="黑体" w:hAnsi="黑体" w:eastAsia="黑体" w:cs="黑体"/>
          <w:szCs w:val="32"/>
        </w:rPr>
      </w:pPr>
      <w:r>
        <w:rPr>
          <w:rFonts w:hint="eastAsia" w:ascii="黑体" w:hAnsi="黑体" w:eastAsia="黑体" w:cs="黑体"/>
          <w:szCs w:val="32"/>
        </w:rPr>
        <w:t>综合评价情况及评价结论</w:t>
      </w:r>
    </w:p>
    <w:tbl>
      <w:tblPr>
        <w:tblStyle w:val="3"/>
        <w:tblW w:w="512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9"/>
        <w:gridCol w:w="457"/>
        <w:gridCol w:w="641"/>
        <w:gridCol w:w="1880"/>
        <w:gridCol w:w="842"/>
        <w:gridCol w:w="878"/>
        <w:gridCol w:w="1236"/>
        <w:gridCol w:w="527"/>
        <w:gridCol w:w="825"/>
        <w:gridCol w:w="920"/>
      </w:tblGrid>
      <w:tr w14:paraId="5CCC6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0"/>
            <w:tcBorders>
              <w:top w:val="nil"/>
              <w:left w:val="nil"/>
              <w:bottom w:val="nil"/>
              <w:right w:val="nil"/>
            </w:tcBorders>
            <w:shd w:val="clear" w:color="auto" w:fill="auto"/>
            <w:vAlign w:val="center"/>
          </w:tcPr>
          <w:p w14:paraId="3BD12EE9">
            <w:pPr>
              <w:keepNext w:val="0"/>
              <w:keepLines w:val="0"/>
              <w:widowControl/>
              <w:suppressLineNumbers w:val="0"/>
              <w:snapToGrid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 xml:space="preserve">       项目支出绩效自评表 </w:t>
            </w:r>
          </w:p>
        </w:tc>
      </w:tr>
      <w:tr w14:paraId="02AA0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0"/>
            <w:tcBorders>
              <w:top w:val="nil"/>
              <w:left w:val="nil"/>
              <w:bottom w:val="nil"/>
              <w:right w:val="nil"/>
            </w:tcBorders>
            <w:shd w:val="clear" w:color="auto" w:fill="auto"/>
            <w:vAlign w:val="center"/>
          </w:tcPr>
          <w:p w14:paraId="0502E8DF">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14:paraId="08CBE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CC2C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4068"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EABA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事业发展经费</w:t>
            </w:r>
          </w:p>
        </w:tc>
      </w:tr>
      <w:tr w14:paraId="3E81D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E148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06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65D2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107-霍邱县众兴集镇人民政府</w:t>
            </w: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5F49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3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E65F0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107001-霍邱县众兴集镇人民政府</w:t>
            </w:r>
          </w:p>
        </w:tc>
      </w:tr>
      <w:tr w14:paraId="45720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E82A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项目期限</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138F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98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21E8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其中：建设期限</w:t>
            </w: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2757E">
            <w:pPr>
              <w:snapToGrid w:val="0"/>
              <w:jc w:val="center"/>
              <w:rPr>
                <w:rFonts w:hint="eastAsia" w:ascii="宋体" w:hAnsi="宋体" w:eastAsia="宋体" w:cs="宋体"/>
                <w:i w:val="0"/>
                <w:iCs w:val="0"/>
                <w:color w:val="000000"/>
                <w:sz w:val="20"/>
                <w:szCs w:val="20"/>
                <w:u w:val="none"/>
              </w:rPr>
            </w:pPr>
          </w:p>
        </w:tc>
        <w:tc>
          <w:tcPr>
            <w:tcW w:w="77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4B92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运营期限</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8CF9E">
            <w:pPr>
              <w:snapToGrid w:val="0"/>
              <w:jc w:val="center"/>
              <w:rPr>
                <w:rFonts w:hint="eastAsia" w:ascii="宋体" w:hAnsi="宋体" w:eastAsia="宋体" w:cs="宋体"/>
                <w:i w:val="0"/>
                <w:iCs w:val="0"/>
                <w:color w:val="000000"/>
                <w:sz w:val="20"/>
                <w:szCs w:val="20"/>
                <w:u w:val="none"/>
              </w:rPr>
            </w:pPr>
          </w:p>
        </w:tc>
      </w:tr>
      <w:tr w14:paraId="50FC5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1" w:type="pct"/>
            <w:gridSpan w:val="3"/>
            <w:vMerge w:val="restart"/>
            <w:tcBorders>
              <w:top w:val="single" w:color="000000" w:sz="4" w:space="0"/>
              <w:left w:val="single" w:color="000000" w:sz="4" w:space="0"/>
              <w:bottom w:val="nil"/>
              <w:right w:val="single" w:color="000000" w:sz="4" w:space="0"/>
            </w:tcBorders>
            <w:shd w:val="clear" w:color="auto" w:fill="auto"/>
            <w:vAlign w:val="center"/>
          </w:tcPr>
          <w:p w14:paraId="61EDD21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                    （万元）</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3C571">
            <w:pPr>
              <w:snapToGrid w:val="0"/>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A27B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年初预算数</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A5BC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FAC8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55D2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分值 </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589B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执行率</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C340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r>
      <w:tr w14:paraId="33DEF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14:paraId="1B51CC31">
            <w:pPr>
              <w:snapToGrid w:val="0"/>
              <w:jc w:val="center"/>
              <w:rPr>
                <w:rFonts w:hint="eastAsia" w:ascii="宋体" w:hAnsi="宋体" w:eastAsia="宋体" w:cs="宋体"/>
                <w:i w:val="0"/>
                <w:iCs w:val="0"/>
                <w:color w:val="000000"/>
                <w:sz w:val="20"/>
                <w:szCs w:val="20"/>
                <w:u w:val="none"/>
              </w:rPr>
            </w:pP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7A32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481" w:type="pct"/>
            <w:tcBorders>
              <w:top w:val="single" w:color="000000" w:sz="4" w:space="0"/>
              <w:left w:val="single" w:color="000000" w:sz="4" w:space="0"/>
              <w:bottom w:val="nil"/>
              <w:right w:val="single" w:color="000000" w:sz="4" w:space="0"/>
            </w:tcBorders>
            <w:shd w:val="clear" w:color="auto" w:fill="auto"/>
            <w:noWrap/>
            <w:vAlign w:val="center"/>
          </w:tcPr>
          <w:p w14:paraId="0EA8BEF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264.00</w:t>
            </w:r>
          </w:p>
        </w:tc>
        <w:tc>
          <w:tcPr>
            <w:tcW w:w="502" w:type="pct"/>
            <w:tcBorders>
              <w:top w:val="single" w:color="000000" w:sz="4" w:space="0"/>
              <w:left w:val="single" w:color="000000" w:sz="4" w:space="0"/>
              <w:bottom w:val="nil"/>
              <w:right w:val="single" w:color="000000" w:sz="4" w:space="0"/>
            </w:tcBorders>
            <w:shd w:val="clear" w:color="auto" w:fill="auto"/>
            <w:noWrap/>
            <w:vAlign w:val="center"/>
          </w:tcPr>
          <w:p w14:paraId="072BA1F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264.00</w:t>
            </w:r>
          </w:p>
        </w:tc>
        <w:tc>
          <w:tcPr>
            <w:tcW w:w="707" w:type="pct"/>
            <w:tcBorders>
              <w:top w:val="single" w:color="000000" w:sz="4" w:space="0"/>
              <w:left w:val="single" w:color="000000" w:sz="4" w:space="0"/>
              <w:bottom w:val="nil"/>
              <w:right w:val="single" w:color="000000" w:sz="4" w:space="0"/>
            </w:tcBorders>
            <w:shd w:val="clear" w:color="auto" w:fill="auto"/>
            <w:noWrap/>
            <w:vAlign w:val="center"/>
          </w:tcPr>
          <w:p w14:paraId="0A7674F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195.67</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064A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0051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74.12%</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C687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7.41</w:t>
            </w:r>
          </w:p>
        </w:tc>
      </w:tr>
      <w:tr w14:paraId="34673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14:paraId="24467D18">
            <w:pPr>
              <w:snapToGrid w:val="0"/>
              <w:jc w:val="center"/>
              <w:rPr>
                <w:rFonts w:hint="eastAsia" w:ascii="宋体" w:hAnsi="宋体" w:eastAsia="宋体" w:cs="宋体"/>
                <w:i w:val="0"/>
                <w:iCs w:val="0"/>
                <w:color w:val="000000"/>
                <w:sz w:val="20"/>
                <w:szCs w:val="20"/>
                <w:u w:val="none"/>
              </w:rPr>
            </w:pP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FEC7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其中：本年财政拨款</w:t>
            </w:r>
          </w:p>
        </w:tc>
        <w:tc>
          <w:tcPr>
            <w:tcW w:w="481" w:type="pct"/>
            <w:tcBorders>
              <w:top w:val="single" w:color="000000" w:sz="4" w:space="0"/>
              <w:left w:val="single" w:color="000000" w:sz="4" w:space="0"/>
              <w:bottom w:val="nil"/>
              <w:right w:val="single" w:color="000000" w:sz="4" w:space="0"/>
            </w:tcBorders>
            <w:shd w:val="clear" w:color="auto" w:fill="auto"/>
            <w:noWrap/>
            <w:vAlign w:val="center"/>
          </w:tcPr>
          <w:p w14:paraId="73CF55C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264.00</w:t>
            </w:r>
          </w:p>
        </w:tc>
        <w:tc>
          <w:tcPr>
            <w:tcW w:w="502" w:type="pct"/>
            <w:tcBorders>
              <w:top w:val="single" w:color="000000" w:sz="4" w:space="0"/>
              <w:left w:val="single" w:color="000000" w:sz="4" w:space="0"/>
              <w:bottom w:val="nil"/>
              <w:right w:val="single" w:color="000000" w:sz="4" w:space="0"/>
            </w:tcBorders>
            <w:shd w:val="clear" w:color="auto" w:fill="auto"/>
            <w:noWrap/>
            <w:vAlign w:val="center"/>
          </w:tcPr>
          <w:p w14:paraId="74C49D9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264.00</w:t>
            </w:r>
          </w:p>
        </w:tc>
        <w:tc>
          <w:tcPr>
            <w:tcW w:w="707" w:type="pct"/>
            <w:tcBorders>
              <w:top w:val="single" w:color="000000" w:sz="4" w:space="0"/>
              <w:left w:val="single" w:color="000000" w:sz="4" w:space="0"/>
              <w:bottom w:val="nil"/>
              <w:right w:val="single" w:color="000000" w:sz="4" w:space="0"/>
            </w:tcBorders>
            <w:shd w:val="clear" w:color="auto" w:fill="auto"/>
            <w:noWrap/>
            <w:vAlign w:val="center"/>
          </w:tcPr>
          <w:p w14:paraId="18F9961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195.67</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C9B5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5A3DD">
            <w:pPr>
              <w:snapToGrid w:val="0"/>
              <w:jc w:val="center"/>
              <w:rPr>
                <w:rFonts w:hint="eastAsia" w:ascii="宋体" w:hAnsi="宋体" w:eastAsia="宋体" w:cs="宋体"/>
                <w:i w:val="0"/>
                <w:iCs w:val="0"/>
                <w:color w:val="000000"/>
                <w:sz w:val="20"/>
                <w:szCs w:val="20"/>
                <w:u w:val="none"/>
              </w:rPr>
            </w:pP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17244">
            <w:pPr>
              <w:snapToGrid w:val="0"/>
              <w:jc w:val="center"/>
              <w:rPr>
                <w:rFonts w:hint="eastAsia" w:ascii="宋体" w:hAnsi="宋体" w:eastAsia="宋体" w:cs="宋体"/>
                <w:i w:val="0"/>
                <w:iCs w:val="0"/>
                <w:color w:val="000000"/>
                <w:sz w:val="20"/>
                <w:szCs w:val="20"/>
                <w:u w:val="none"/>
              </w:rPr>
            </w:pPr>
          </w:p>
        </w:tc>
      </w:tr>
      <w:tr w14:paraId="27391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14:paraId="4FEC6866">
            <w:pPr>
              <w:snapToGrid w:val="0"/>
              <w:jc w:val="center"/>
              <w:rPr>
                <w:rFonts w:hint="eastAsia" w:ascii="宋体" w:hAnsi="宋体" w:eastAsia="宋体" w:cs="宋体"/>
                <w:i w:val="0"/>
                <w:iCs w:val="0"/>
                <w:color w:val="000000"/>
                <w:sz w:val="20"/>
                <w:szCs w:val="20"/>
                <w:u w:val="none"/>
              </w:rPr>
            </w:pP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31CA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专项债券资金</w:t>
            </w:r>
          </w:p>
        </w:tc>
        <w:tc>
          <w:tcPr>
            <w:tcW w:w="481" w:type="pct"/>
            <w:tcBorders>
              <w:top w:val="single" w:color="000000" w:sz="4" w:space="0"/>
              <w:left w:val="single" w:color="000000" w:sz="4" w:space="0"/>
              <w:bottom w:val="nil"/>
              <w:right w:val="single" w:color="000000" w:sz="4" w:space="0"/>
            </w:tcBorders>
            <w:shd w:val="clear" w:color="auto" w:fill="auto"/>
            <w:noWrap/>
            <w:vAlign w:val="center"/>
          </w:tcPr>
          <w:p w14:paraId="2849808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02" w:type="pct"/>
            <w:tcBorders>
              <w:top w:val="single" w:color="000000" w:sz="4" w:space="0"/>
              <w:left w:val="single" w:color="000000" w:sz="4" w:space="0"/>
              <w:bottom w:val="nil"/>
              <w:right w:val="single" w:color="000000" w:sz="4" w:space="0"/>
            </w:tcBorders>
            <w:shd w:val="clear" w:color="auto" w:fill="auto"/>
            <w:noWrap/>
            <w:vAlign w:val="center"/>
          </w:tcPr>
          <w:p w14:paraId="1A5CC36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07" w:type="pct"/>
            <w:tcBorders>
              <w:top w:val="single" w:color="000000" w:sz="4" w:space="0"/>
              <w:left w:val="single" w:color="000000" w:sz="4" w:space="0"/>
              <w:bottom w:val="nil"/>
              <w:right w:val="single" w:color="000000" w:sz="4" w:space="0"/>
            </w:tcBorders>
            <w:shd w:val="clear" w:color="auto" w:fill="auto"/>
            <w:noWrap/>
            <w:vAlign w:val="center"/>
          </w:tcPr>
          <w:p w14:paraId="4A1E0B8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B4B1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6A823">
            <w:pPr>
              <w:snapToGrid w:val="0"/>
              <w:jc w:val="center"/>
              <w:rPr>
                <w:rFonts w:hint="eastAsia" w:ascii="宋体" w:hAnsi="宋体" w:eastAsia="宋体" w:cs="宋体"/>
                <w:i w:val="0"/>
                <w:iCs w:val="0"/>
                <w:color w:val="000000"/>
                <w:sz w:val="20"/>
                <w:szCs w:val="20"/>
                <w:u w:val="none"/>
              </w:rPr>
            </w:pP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51D3E">
            <w:pPr>
              <w:snapToGrid w:val="0"/>
              <w:jc w:val="center"/>
              <w:rPr>
                <w:rFonts w:hint="eastAsia" w:ascii="宋体" w:hAnsi="宋体" w:eastAsia="宋体" w:cs="宋体"/>
                <w:i w:val="0"/>
                <w:iCs w:val="0"/>
                <w:color w:val="000000"/>
                <w:sz w:val="20"/>
                <w:szCs w:val="20"/>
                <w:u w:val="none"/>
              </w:rPr>
            </w:pPr>
          </w:p>
        </w:tc>
      </w:tr>
      <w:tr w14:paraId="681F0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14:paraId="3D8B273E">
            <w:pPr>
              <w:snapToGrid w:val="0"/>
              <w:jc w:val="center"/>
              <w:rPr>
                <w:rFonts w:hint="eastAsia" w:ascii="宋体" w:hAnsi="宋体" w:eastAsia="宋体" w:cs="宋体"/>
                <w:i w:val="0"/>
                <w:iCs w:val="0"/>
                <w:color w:val="000000"/>
                <w:sz w:val="20"/>
                <w:szCs w:val="20"/>
                <w:u w:val="none"/>
              </w:rPr>
            </w:pP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669C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上年结转资金</w:t>
            </w:r>
          </w:p>
        </w:tc>
        <w:tc>
          <w:tcPr>
            <w:tcW w:w="481" w:type="pct"/>
            <w:tcBorders>
              <w:top w:val="single" w:color="000000" w:sz="4" w:space="0"/>
              <w:left w:val="single" w:color="000000" w:sz="4" w:space="0"/>
              <w:bottom w:val="nil"/>
              <w:right w:val="single" w:color="000000" w:sz="4" w:space="0"/>
            </w:tcBorders>
            <w:shd w:val="clear" w:color="auto" w:fill="auto"/>
            <w:noWrap/>
            <w:vAlign w:val="center"/>
          </w:tcPr>
          <w:p w14:paraId="4007737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02" w:type="pct"/>
            <w:tcBorders>
              <w:top w:val="single" w:color="000000" w:sz="4" w:space="0"/>
              <w:left w:val="single" w:color="000000" w:sz="4" w:space="0"/>
              <w:bottom w:val="nil"/>
              <w:right w:val="single" w:color="000000" w:sz="4" w:space="0"/>
            </w:tcBorders>
            <w:shd w:val="clear" w:color="auto" w:fill="auto"/>
            <w:noWrap/>
            <w:vAlign w:val="center"/>
          </w:tcPr>
          <w:p w14:paraId="5171155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07" w:type="pct"/>
            <w:tcBorders>
              <w:top w:val="single" w:color="000000" w:sz="4" w:space="0"/>
              <w:left w:val="single" w:color="000000" w:sz="4" w:space="0"/>
              <w:bottom w:val="nil"/>
              <w:right w:val="single" w:color="000000" w:sz="4" w:space="0"/>
            </w:tcBorders>
            <w:shd w:val="clear" w:color="auto" w:fill="auto"/>
            <w:noWrap/>
            <w:vAlign w:val="center"/>
          </w:tcPr>
          <w:p w14:paraId="6088F37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7026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3C4DE">
            <w:pPr>
              <w:snapToGrid w:val="0"/>
              <w:jc w:val="center"/>
              <w:rPr>
                <w:rFonts w:hint="eastAsia" w:ascii="宋体" w:hAnsi="宋体" w:eastAsia="宋体" w:cs="宋体"/>
                <w:i w:val="0"/>
                <w:iCs w:val="0"/>
                <w:color w:val="000000"/>
                <w:sz w:val="20"/>
                <w:szCs w:val="20"/>
                <w:u w:val="none"/>
              </w:rPr>
            </w:pP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DA54D">
            <w:pPr>
              <w:snapToGrid w:val="0"/>
              <w:jc w:val="center"/>
              <w:rPr>
                <w:rFonts w:hint="eastAsia" w:ascii="宋体" w:hAnsi="宋体" w:eastAsia="宋体" w:cs="宋体"/>
                <w:i w:val="0"/>
                <w:iCs w:val="0"/>
                <w:color w:val="000000"/>
                <w:sz w:val="20"/>
                <w:szCs w:val="20"/>
                <w:u w:val="none"/>
              </w:rPr>
            </w:pPr>
          </w:p>
        </w:tc>
      </w:tr>
      <w:tr w14:paraId="69150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14:paraId="6ECC5C10">
            <w:pPr>
              <w:snapToGrid w:val="0"/>
              <w:jc w:val="center"/>
              <w:rPr>
                <w:rFonts w:hint="eastAsia" w:ascii="宋体" w:hAnsi="宋体" w:eastAsia="宋体" w:cs="宋体"/>
                <w:i w:val="0"/>
                <w:iCs w:val="0"/>
                <w:color w:val="000000"/>
                <w:sz w:val="20"/>
                <w:szCs w:val="20"/>
                <w:u w:val="none"/>
              </w:rPr>
            </w:pPr>
          </w:p>
        </w:tc>
        <w:tc>
          <w:tcPr>
            <w:tcW w:w="1076" w:type="pct"/>
            <w:tcBorders>
              <w:top w:val="single" w:color="000000" w:sz="4" w:space="0"/>
              <w:left w:val="single" w:color="000000" w:sz="4" w:space="0"/>
              <w:bottom w:val="nil"/>
              <w:right w:val="single" w:color="000000" w:sz="4" w:space="0"/>
            </w:tcBorders>
            <w:shd w:val="clear" w:color="auto" w:fill="auto"/>
            <w:noWrap/>
            <w:vAlign w:val="center"/>
          </w:tcPr>
          <w:p w14:paraId="22EB166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其他资金</w:t>
            </w:r>
          </w:p>
        </w:tc>
        <w:tc>
          <w:tcPr>
            <w:tcW w:w="481" w:type="pct"/>
            <w:tcBorders>
              <w:top w:val="single" w:color="000000" w:sz="4" w:space="0"/>
              <w:left w:val="single" w:color="000000" w:sz="4" w:space="0"/>
              <w:bottom w:val="nil"/>
              <w:right w:val="single" w:color="000000" w:sz="4" w:space="0"/>
            </w:tcBorders>
            <w:shd w:val="clear" w:color="auto" w:fill="auto"/>
            <w:noWrap/>
            <w:vAlign w:val="center"/>
          </w:tcPr>
          <w:p w14:paraId="061959D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02" w:type="pct"/>
            <w:tcBorders>
              <w:top w:val="single" w:color="000000" w:sz="4" w:space="0"/>
              <w:left w:val="single" w:color="000000" w:sz="4" w:space="0"/>
              <w:bottom w:val="nil"/>
              <w:right w:val="single" w:color="000000" w:sz="4" w:space="0"/>
            </w:tcBorders>
            <w:shd w:val="clear" w:color="auto" w:fill="auto"/>
            <w:noWrap/>
            <w:vAlign w:val="center"/>
          </w:tcPr>
          <w:p w14:paraId="51A2503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07" w:type="pct"/>
            <w:tcBorders>
              <w:top w:val="single" w:color="000000" w:sz="4" w:space="0"/>
              <w:left w:val="single" w:color="000000" w:sz="4" w:space="0"/>
              <w:bottom w:val="nil"/>
              <w:right w:val="single" w:color="000000" w:sz="4" w:space="0"/>
            </w:tcBorders>
            <w:shd w:val="clear" w:color="auto" w:fill="auto"/>
            <w:noWrap/>
            <w:vAlign w:val="center"/>
          </w:tcPr>
          <w:p w14:paraId="0E93656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C5BF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A9EFE">
            <w:pPr>
              <w:snapToGrid w:val="0"/>
              <w:jc w:val="center"/>
              <w:rPr>
                <w:rFonts w:hint="eastAsia" w:ascii="宋体" w:hAnsi="宋体" w:eastAsia="宋体" w:cs="宋体"/>
                <w:i w:val="0"/>
                <w:iCs w:val="0"/>
                <w:color w:val="000000"/>
                <w:sz w:val="20"/>
                <w:szCs w:val="20"/>
                <w:u w:val="none"/>
              </w:rPr>
            </w:pP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9E1C2">
            <w:pPr>
              <w:snapToGrid w:val="0"/>
              <w:jc w:val="center"/>
              <w:rPr>
                <w:rFonts w:hint="eastAsia" w:ascii="宋体" w:hAnsi="宋体" w:eastAsia="宋体" w:cs="宋体"/>
                <w:i w:val="0"/>
                <w:iCs w:val="0"/>
                <w:color w:val="000000"/>
                <w:sz w:val="20"/>
                <w:szCs w:val="20"/>
                <w:u w:val="none"/>
              </w:rPr>
            </w:pPr>
          </w:p>
        </w:tc>
      </w:tr>
      <w:tr w14:paraId="1B496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2" w:type="pct"/>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6D460A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6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64BF8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200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45F9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77CFC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2"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6F83264">
            <w:pPr>
              <w:snapToGrid w:val="0"/>
              <w:jc w:val="center"/>
              <w:rPr>
                <w:rFonts w:hint="eastAsia" w:ascii="宋体" w:hAnsi="宋体" w:eastAsia="宋体" w:cs="宋体"/>
                <w:i w:val="0"/>
                <w:iCs w:val="0"/>
                <w:color w:val="000000"/>
                <w:sz w:val="20"/>
                <w:szCs w:val="20"/>
                <w:u w:val="none"/>
              </w:rPr>
            </w:pPr>
          </w:p>
        </w:tc>
        <w:tc>
          <w:tcPr>
            <w:tcW w:w="26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D4C53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按期发放</w:t>
            </w:r>
          </w:p>
        </w:tc>
        <w:tc>
          <w:tcPr>
            <w:tcW w:w="200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612292">
            <w:pPr>
              <w:snapToGrid w:val="0"/>
              <w:jc w:val="center"/>
              <w:rPr>
                <w:rFonts w:hint="eastAsia" w:ascii="宋体" w:hAnsi="宋体" w:eastAsia="宋体" w:cs="宋体"/>
                <w:i w:val="0"/>
                <w:iCs w:val="0"/>
                <w:color w:val="000000"/>
                <w:sz w:val="20"/>
                <w:szCs w:val="20"/>
                <w:u w:val="none"/>
              </w:rPr>
            </w:pPr>
          </w:p>
        </w:tc>
      </w:tr>
      <w:tr w14:paraId="0921D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2" w:type="pct"/>
            <w:vMerge w:val="restart"/>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2737F4C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绩效指标</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9718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1F85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15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3607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104A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年度指标值</w:t>
            </w: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9564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60C7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DAD5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426D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偏差原因分析及改进措施</w:t>
            </w:r>
          </w:p>
        </w:tc>
      </w:tr>
      <w:tr w14:paraId="3A7CB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02"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54670085">
            <w:pPr>
              <w:snapToGrid w:val="0"/>
              <w:jc w:val="center"/>
              <w:rPr>
                <w:rFonts w:hint="eastAsia" w:ascii="宋体" w:hAnsi="宋体" w:eastAsia="宋体" w:cs="宋体"/>
                <w:i w:val="0"/>
                <w:iCs w:val="0"/>
                <w:color w:val="000000"/>
                <w:sz w:val="20"/>
                <w:szCs w:val="20"/>
                <w:u w:val="none"/>
              </w:rPr>
            </w:pPr>
          </w:p>
        </w:tc>
        <w:tc>
          <w:tcPr>
            <w:tcW w:w="2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1C85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B173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5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9FAAB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全年完成数值</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F6B4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≥264万元</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2706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264万元</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DA44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CFF0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A78A5">
            <w:pPr>
              <w:snapToGrid w:val="0"/>
              <w:jc w:val="center"/>
              <w:rPr>
                <w:rFonts w:hint="eastAsia" w:ascii="宋体" w:hAnsi="宋体" w:eastAsia="宋体" w:cs="宋体"/>
                <w:i w:val="0"/>
                <w:iCs w:val="0"/>
                <w:color w:val="000000"/>
                <w:sz w:val="20"/>
                <w:szCs w:val="20"/>
                <w:u w:val="none"/>
              </w:rPr>
            </w:pPr>
          </w:p>
        </w:tc>
      </w:tr>
      <w:tr w14:paraId="209D9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2"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4FE8FB4C">
            <w:pPr>
              <w:snapToGrid w:val="0"/>
              <w:jc w:val="center"/>
              <w:rPr>
                <w:rFonts w:hint="eastAsia" w:ascii="宋体" w:hAnsi="宋体" w:eastAsia="宋体" w:cs="宋体"/>
                <w:i w:val="0"/>
                <w:iCs w:val="0"/>
                <w:color w:val="000000"/>
                <w:sz w:val="20"/>
                <w:szCs w:val="20"/>
                <w:u w:val="none"/>
              </w:rPr>
            </w:pP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2B0D9">
            <w:pPr>
              <w:snapToGrid w:val="0"/>
              <w:jc w:val="center"/>
              <w:rPr>
                <w:rFonts w:hint="eastAsia" w:ascii="宋体" w:hAnsi="宋体" w:eastAsia="宋体" w:cs="宋体"/>
                <w:i w:val="0"/>
                <w:iCs w:val="0"/>
                <w:color w:val="000000"/>
                <w:sz w:val="20"/>
                <w:szCs w:val="20"/>
                <w:u w:val="none"/>
              </w:rPr>
            </w:pPr>
          </w:p>
        </w:tc>
        <w:tc>
          <w:tcPr>
            <w:tcW w:w="366" w:type="pct"/>
            <w:tcBorders>
              <w:top w:val="single" w:color="000000" w:sz="4" w:space="0"/>
              <w:left w:val="single" w:color="000000" w:sz="4" w:space="0"/>
              <w:bottom w:val="nil"/>
              <w:right w:val="single" w:color="000000" w:sz="4" w:space="0"/>
            </w:tcBorders>
            <w:shd w:val="clear" w:color="auto" w:fill="auto"/>
            <w:vAlign w:val="center"/>
          </w:tcPr>
          <w:p w14:paraId="550B7D6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5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6693B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3E80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FC4A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2FAF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63E6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8B311">
            <w:pPr>
              <w:snapToGrid w:val="0"/>
              <w:jc w:val="center"/>
              <w:rPr>
                <w:rFonts w:hint="eastAsia" w:ascii="宋体" w:hAnsi="宋体" w:eastAsia="宋体" w:cs="宋体"/>
                <w:i w:val="0"/>
                <w:iCs w:val="0"/>
                <w:color w:val="000000"/>
                <w:sz w:val="20"/>
                <w:szCs w:val="20"/>
                <w:u w:val="none"/>
              </w:rPr>
            </w:pPr>
          </w:p>
        </w:tc>
      </w:tr>
      <w:tr w14:paraId="24BC7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02"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466FAC65">
            <w:pPr>
              <w:snapToGrid w:val="0"/>
              <w:jc w:val="center"/>
              <w:rPr>
                <w:rFonts w:hint="eastAsia" w:ascii="宋体" w:hAnsi="宋体" w:eastAsia="宋体" w:cs="宋体"/>
                <w:i w:val="0"/>
                <w:iCs w:val="0"/>
                <w:color w:val="000000"/>
                <w:sz w:val="20"/>
                <w:szCs w:val="20"/>
                <w:u w:val="none"/>
              </w:rPr>
            </w:pP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04758">
            <w:pPr>
              <w:snapToGrid w:val="0"/>
              <w:jc w:val="center"/>
              <w:rPr>
                <w:rFonts w:hint="eastAsia" w:ascii="宋体" w:hAnsi="宋体" w:eastAsia="宋体" w:cs="宋体"/>
                <w:i w:val="0"/>
                <w:iCs w:val="0"/>
                <w:color w:val="000000"/>
                <w:sz w:val="20"/>
                <w:szCs w:val="20"/>
                <w:u w:val="none"/>
              </w:rPr>
            </w:pPr>
          </w:p>
        </w:tc>
        <w:tc>
          <w:tcPr>
            <w:tcW w:w="366" w:type="pct"/>
            <w:tcBorders>
              <w:top w:val="single" w:color="000000" w:sz="4" w:space="0"/>
              <w:left w:val="single" w:color="000000" w:sz="4" w:space="0"/>
              <w:bottom w:val="nil"/>
              <w:right w:val="single" w:color="000000" w:sz="4" w:space="0"/>
            </w:tcBorders>
            <w:shd w:val="clear" w:color="auto" w:fill="auto"/>
            <w:vAlign w:val="center"/>
          </w:tcPr>
          <w:p w14:paraId="144FE66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5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4EB6B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完成时间</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A315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＝1年</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8EC0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1年</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C3F2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D840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46BB4">
            <w:pPr>
              <w:snapToGrid w:val="0"/>
              <w:jc w:val="center"/>
              <w:rPr>
                <w:rFonts w:hint="eastAsia" w:ascii="宋体" w:hAnsi="宋体" w:eastAsia="宋体" w:cs="宋体"/>
                <w:i w:val="0"/>
                <w:iCs w:val="0"/>
                <w:color w:val="000000"/>
                <w:sz w:val="20"/>
                <w:szCs w:val="20"/>
                <w:u w:val="none"/>
              </w:rPr>
            </w:pPr>
          </w:p>
        </w:tc>
      </w:tr>
      <w:tr w14:paraId="102E8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2"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2D3064F4">
            <w:pPr>
              <w:snapToGrid w:val="0"/>
              <w:jc w:val="center"/>
              <w:rPr>
                <w:rFonts w:hint="eastAsia" w:ascii="宋体" w:hAnsi="宋体" w:eastAsia="宋体" w:cs="宋体"/>
                <w:i w:val="0"/>
                <w:iCs w:val="0"/>
                <w:color w:val="000000"/>
                <w:sz w:val="20"/>
                <w:szCs w:val="20"/>
                <w:u w:val="none"/>
              </w:rPr>
            </w:pP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7223C">
            <w:pPr>
              <w:snapToGrid w:val="0"/>
              <w:jc w:val="center"/>
              <w:rPr>
                <w:rFonts w:hint="eastAsia" w:ascii="宋体" w:hAnsi="宋体" w:eastAsia="宋体" w:cs="宋体"/>
                <w:i w:val="0"/>
                <w:iCs w:val="0"/>
                <w:color w:val="000000"/>
                <w:sz w:val="20"/>
                <w:szCs w:val="20"/>
                <w:u w:val="none"/>
              </w:rPr>
            </w:pPr>
          </w:p>
        </w:tc>
        <w:tc>
          <w:tcPr>
            <w:tcW w:w="366" w:type="pct"/>
            <w:tcBorders>
              <w:top w:val="single" w:color="000000" w:sz="4" w:space="0"/>
              <w:left w:val="single" w:color="000000" w:sz="4" w:space="0"/>
              <w:bottom w:val="nil"/>
              <w:right w:val="single" w:color="000000" w:sz="4" w:space="0"/>
            </w:tcBorders>
            <w:shd w:val="clear" w:color="auto" w:fill="auto"/>
            <w:vAlign w:val="center"/>
          </w:tcPr>
          <w:p w14:paraId="653639E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5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38F15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项目成本</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E64C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≤264万元</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44B3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264万元</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F294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C1C7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345E2">
            <w:pPr>
              <w:snapToGrid w:val="0"/>
              <w:jc w:val="center"/>
              <w:rPr>
                <w:rFonts w:hint="eastAsia" w:ascii="宋体" w:hAnsi="宋体" w:eastAsia="宋体" w:cs="宋体"/>
                <w:i w:val="0"/>
                <w:iCs w:val="0"/>
                <w:color w:val="000000"/>
                <w:sz w:val="20"/>
                <w:szCs w:val="20"/>
                <w:u w:val="none"/>
              </w:rPr>
            </w:pPr>
          </w:p>
        </w:tc>
      </w:tr>
      <w:tr w14:paraId="18F22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02"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0341DE80">
            <w:pPr>
              <w:snapToGrid w:val="0"/>
              <w:jc w:val="center"/>
              <w:rPr>
                <w:rFonts w:hint="eastAsia" w:ascii="宋体" w:hAnsi="宋体" w:eastAsia="宋体" w:cs="宋体"/>
                <w:i w:val="0"/>
                <w:iCs w:val="0"/>
                <w:color w:val="000000"/>
                <w:sz w:val="20"/>
                <w:szCs w:val="20"/>
                <w:u w:val="none"/>
              </w:rPr>
            </w:pPr>
          </w:p>
        </w:tc>
        <w:tc>
          <w:tcPr>
            <w:tcW w:w="2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0AD4E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366" w:type="pct"/>
            <w:tcBorders>
              <w:top w:val="single" w:color="000000" w:sz="4" w:space="0"/>
              <w:left w:val="single" w:color="000000" w:sz="4" w:space="0"/>
              <w:bottom w:val="nil"/>
              <w:right w:val="single" w:color="000000" w:sz="4" w:space="0"/>
            </w:tcBorders>
            <w:shd w:val="clear" w:color="auto" w:fill="auto"/>
            <w:vAlign w:val="center"/>
          </w:tcPr>
          <w:p w14:paraId="13817F1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w:t>
            </w:r>
          </w:p>
        </w:tc>
        <w:tc>
          <w:tcPr>
            <w:tcW w:w="15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F63A3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生活环境提升率</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913C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DC25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E741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D7D7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A78FC">
            <w:pPr>
              <w:snapToGrid w:val="0"/>
              <w:jc w:val="center"/>
              <w:rPr>
                <w:rFonts w:hint="eastAsia" w:ascii="宋体" w:hAnsi="宋体" w:eastAsia="宋体" w:cs="宋体"/>
                <w:i w:val="0"/>
                <w:iCs w:val="0"/>
                <w:color w:val="000000"/>
                <w:sz w:val="20"/>
                <w:szCs w:val="20"/>
                <w:u w:val="none"/>
              </w:rPr>
            </w:pPr>
          </w:p>
        </w:tc>
      </w:tr>
      <w:tr w14:paraId="53E61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2"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17A0D596">
            <w:pPr>
              <w:snapToGrid w:val="0"/>
              <w:jc w:val="center"/>
              <w:rPr>
                <w:rFonts w:hint="eastAsia" w:ascii="宋体" w:hAnsi="宋体" w:eastAsia="宋体" w:cs="宋体"/>
                <w:i w:val="0"/>
                <w:iCs w:val="0"/>
                <w:color w:val="000000"/>
                <w:sz w:val="20"/>
                <w:szCs w:val="20"/>
                <w:u w:val="none"/>
              </w:rPr>
            </w:pP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0EF48">
            <w:pPr>
              <w:snapToGrid w:val="0"/>
              <w:jc w:val="center"/>
              <w:rPr>
                <w:rFonts w:hint="eastAsia" w:ascii="宋体" w:hAnsi="宋体" w:eastAsia="宋体" w:cs="宋体"/>
                <w:i w:val="0"/>
                <w:iCs w:val="0"/>
                <w:color w:val="000000"/>
                <w:sz w:val="20"/>
                <w:szCs w:val="20"/>
                <w:u w:val="none"/>
              </w:rPr>
            </w:pPr>
          </w:p>
        </w:tc>
        <w:tc>
          <w:tcPr>
            <w:tcW w:w="366" w:type="pct"/>
            <w:tcBorders>
              <w:top w:val="single" w:color="000000" w:sz="4" w:space="0"/>
              <w:left w:val="single" w:color="000000" w:sz="4" w:space="0"/>
              <w:bottom w:val="nil"/>
              <w:right w:val="single" w:color="000000" w:sz="4" w:space="0"/>
            </w:tcBorders>
            <w:shd w:val="clear" w:color="auto" w:fill="auto"/>
            <w:vAlign w:val="center"/>
          </w:tcPr>
          <w:p w14:paraId="0DD2092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w:t>
            </w:r>
          </w:p>
        </w:tc>
        <w:tc>
          <w:tcPr>
            <w:tcW w:w="15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C4220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生态环境改善率提高</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3571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F02D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22D4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0772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6D3DF">
            <w:pPr>
              <w:snapToGrid w:val="0"/>
              <w:jc w:val="center"/>
              <w:rPr>
                <w:rFonts w:hint="eastAsia" w:ascii="宋体" w:hAnsi="宋体" w:eastAsia="宋体" w:cs="宋体"/>
                <w:i w:val="0"/>
                <w:iCs w:val="0"/>
                <w:color w:val="000000"/>
                <w:sz w:val="20"/>
                <w:szCs w:val="20"/>
                <w:u w:val="none"/>
              </w:rPr>
            </w:pPr>
          </w:p>
        </w:tc>
      </w:tr>
      <w:tr w14:paraId="4D166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02"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6B5DB435">
            <w:pPr>
              <w:snapToGrid w:val="0"/>
              <w:jc w:val="center"/>
              <w:rPr>
                <w:rFonts w:hint="eastAsia" w:ascii="宋体" w:hAnsi="宋体" w:eastAsia="宋体" w:cs="宋体"/>
                <w:i w:val="0"/>
                <w:iCs w:val="0"/>
                <w:color w:val="000000"/>
                <w:sz w:val="20"/>
                <w:szCs w:val="20"/>
                <w:u w:val="none"/>
              </w:rPr>
            </w:pP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02A69">
            <w:pPr>
              <w:snapToGrid w:val="0"/>
              <w:jc w:val="center"/>
              <w:rPr>
                <w:rFonts w:hint="eastAsia" w:ascii="宋体" w:hAnsi="宋体" w:eastAsia="宋体" w:cs="宋体"/>
                <w:i w:val="0"/>
                <w:iCs w:val="0"/>
                <w:color w:val="000000"/>
                <w:sz w:val="20"/>
                <w:szCs w:val="20"/>
                <w:u w:val="none"/>
              </w:rPr>
            </w:pPr>
          </w:p>
        </w:tc>
        <w:tc>
          <w:tcPr>
            <w:tcW w:w="366" w:type="pct"/>
            <w:tcBorders>
              <w:top w:val="single" w:color="000000" w:sz="4" w:space="0"/>
              <w:left w:val="single" w:color="000000" w:sz="4" w:space="0"/>
              <w:bottom w:val="nil"/>
              <w:right w:val="single" w:color="000000" w:sz="4" w:space="0"/>
            </w:tcBorders>
            <w:shd w:val="clear" w:color="auto" w:fill="auto"/>
            <w:vAlign w:val="center"/>
          </w:tcPr>
          <w:p w14:paraId="515BA2B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w:t>
            </w:r>
          </w:p>
        </w:tc>
        <w:tc>
          <w:tcPr>
            <w:tcW w:w="15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99C27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事业发展经费</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F3A3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能够保证可持续发展</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39AA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达成预期指标</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3120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C1D4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6908D">
            <w:pPr>
              <w:snapToGrid w:val="0"/>
              <w:jc w:val="center"/>
              <w:rPr>
                <w:rFonts w:hint="eastAsia" w:ascii="宋体" w:hAnsi="宋体" w:eastAsia="宋体" w:cs="宋体"/>
                <w:i w:val="0"/>
                <w:iCs w:val="0"/>
                <w:color w:val="000000"/>
                <w:sz w:val="20"/>
                <w:szCs w:val="20"/>
                <w:u w:val="none"/>
              </w:rPr>
            </w:pPr>
          </w:p>
        </w:tc>
      </w:tr>
      <w:tr w14:paraId="06E31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2" w:type="pct"/>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1DE7BF54">
            <w:pPr>
              <w:snapToGrid w:val="0"/>
              <w:jc w:val="center"/>
              <w:rPr>
                <w:rFonts w:hint="eastAsia" w:ascii="宋体" w:hAnsi="宋体" w:eastAsia="宋体" w:cs="宋体"/>
                <w:i w:val="0"/>
                <w:iCs w:val="0"/>
                <w:color w:val="000000"/>
                <w:sz w:val="20"/>
                <w:szCs w:val="20"/>
                <w:u w:val="none"/>
              </w:rPr>
            </w:pP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DF2E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8B27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15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51B3B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受益人口满意度</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6ABF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C692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5FF6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8C71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38AC3">
            <w:pPr>
              <w:snapToGrid w:val="0"/>
              <w:jc w:val="center"/>
              <w:rPr>
                <w:rFonts w:hint="eastAsia" w:ascii="宋体" w:hAnsi="宋体" w:eastAsia="宋体" w:cs="宋体"/>
                <w:i w:val="0"/>
                <w:iCs w:val="0"/>
                <w:color w:val="000000"/>
                <w:sz w:val="20"/>
                <w:szCs w:val="20"/>
                <w:u w:val="none"/>
              </w:rPr>
            </w:pPr>
          </w:p>
        </w:tc>
      </w:tr>
      <w:tr w14:paraId="5174D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991"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551C7">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总分</w:t>
            </w: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978E4">
            <w:pPr>
              <w:snapToGrid w:val="0"/>
              <w:jc w:val="center"/>
              <w:rPr>
                <w:rFonts w:hint="eastAsia" w:ascii="宋体" w:hAnsi="宋体" w:eastAsia="宋体" w:cs="宋体"/>
                <w:b/>
                <w:bCs/>
                <w:i w:val="0"/>
                <w:iCs w:val="0"/>
                <w:color w:val="000000"/>
                <w:sz w:val="20"/>
                <w:szCs w:val="20"/>
                <w:u w:val="none"/>
              </w:rPr>
            </w:pP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2808D">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69DCB">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97.41</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69A52">
            <w:pPr>
              <w:snapToGrid w:val="0"/>
              <w:jc w:val="center"/>
              <w:rPr>
                <w:rFonts w:hint="eastAsia" w:ascii="宋体" w:hAnsi="宋体" w:eastAsia="宋体" w:cs="宋体"/>
                <w:i w:val="0"/>
                <w:iCs w:val="0"/>
                <w:color w:val="000000"/>
                <w:sz w:val="20"/>
                <w:szCs w:val="20"/>
                <w:u w:val="none"/>
              </w:rPr>
            </w:pPr>
          </w:p>
        </w:tc>
      </w:tr>
    </w:tbl>
    <w:p w14:paraId="5709C29A">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黑体" w:hAnsi="黑体" w:eastAsia="黑体" w:cs="黑体"/>
          <w:szCs w:val="32"/>
        </w:rPr>
      </w:pPr>
    </w:p>
    <w:p w14:paraId="2FA50791">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firstLine="600" w:firstLineChars="0"/>
        <w:textAlignment w:val="auto"/>
        <w:rPr>
          <w:rFonts w:hint="eastAsia" w:ascii="黑体" w:hAnsi="黑体" w:eastAsia="黑体" w:cs="黑体"/>
          <w:szCs w:val="32"/>
        </w:rPr>
      </w:pPr>
      <w:r>
        <w:rPr>
          <w:rFonts w:hint="eastAsia" w:ascii="黑体" w:hAnsi="黑体" w:eastAsia="黑体" w:cs="黑体"/>
          <w:szCs w:val="32"/>
        </w:rPr>
        <w:t>绩效评价指标分析</w:t>
      </w:r>
    </w:p>
    <w:p w14:paraId="63F14A7C">
      <w:pPr>
        <w:keepNext w:val="0"/>
        <w:keepLines w:val="0"/>
        <w:pageBreakBefore w:val="0"/>
        <w:widowControl w:val="0"/>
        <w:numPr>
          <w:ilvl w:val="0"/>
          <w:numId w:val="2"/>
        </w:numPr>
        <w:kinsoku/>
        <w:wordWrap/>
        <w:overflowPunct/>
        <w:topLinePunct w:val="0"/>
        <w:autoSpaceDE/>
        <w:autoSpaceDN/>
        <w:bidi w:val="0"/>
        <w:adjustRightInd/>
        <w:snapToGrid/>
        <w:spacing w:line="500" w:lineRule="exact"/>
        <w:ind w:left="601" w:leftChars="0"/>
        <w:textAlignment w:val="auto"/>
        <w:rPr>
          <w:rFonts w:hint="eastAsia" w:ascii="方正仿宋_GB2312" w:hAnsi="方正仿宋_GB2312" w:eastAsia="方正仿宋_GB2312" w:cs="方正仿宋_GB2312"/>
          <w:color w:val="000000"/>
          <w:kern w:val="2"/>
          <w:sz w:val="32"/>
          <w:szCs w:val="32"/>
          <w:lang w:val="en-US" w:eastAsia="zh-CN" w:bidi="ar-SA"/>
        </w:rPr>
      </w:pPr>
      <w:r>
        <w:rPr>
          <w:rFonts w:hint="eastAsia" w:ascii="方正仿宋_GB2312" w:hAnsi="方正仿宋_GB2312" w:eastAsia="方正仿宋_GB2312" w:cs="方正仿宋_GB2312"/>
          <w:color w:val="000000"/>
          <w:kern w:val="2"/>
          <w:sz w:val="32"/>
          <w:szCs w:val="32"/>
          <w:lang w:val="en-US" w:eastAsia="zh-CN" w:bidi="ar-SA"/>
        </w:rPr>
        <w:t>项目决策情况：项目立项依据充分，目标明确，预算编制合理。</w:t>
      </w:r>
    </w:p>
    <w:p w14:paraId="225A0EFF">
      <w:pPr>
        <w:keepNext w:val="0"/>
        <w:keepLines w:val="0"/>
        <w:pageBreakBefore w:val="0"/>
        <w:widowControl w:val="0"/>
        <w:numPr>
          <w:ilvl w:val="0"/>
          <w:numId w:val="2"/>
        </w:numPr>
        <w:kinsoku/>
        <w:wordWrap/>
        <w:overflowPunct/>
        <w:topLinePunct w:val="0"/>
        <w:autoSpaceDE/>
        <w:autoSpaceDN/>
        <w:bidi w:val="0"/>
        <w:adjustRightInd/>
        <w:snapToGrid/>
        <w:spacing w:line="500" w:lineRule="exact"/>
        <w:ind w:left="601" w:leftChars="0" w:firstLine="0" w:firstLineChars="0"/>
        <w:textAlignment w:val="auto"/>
        <w:rPr>
          <w:rFonts w:hint="eastAsia" w:ascii="方正仿宋_GB2312" w:hAnsi="方正仿宋_GB2312" w:eastAsia="方正仿宋_GB2312" w:cs="方正仿宋_GB2312"/>
          <w:color w:val="000000"/>
          <w:kern w:val="2"/>
          <w:sz w:val="32"/>
          <w:szCs w:val="32"/>
          <w:lang w:val="en-US" w:eastAsia="zh-CN" w:bidi="ar-SA"/>
        </w:rPr>
      </w:pPr>
      <w:r>
        <w:rPr>
          <w:rFonts w:hint="eastAsia" w:ascii="方正仿宋_GB2312" w:hAnsi="方正仿宋_GB2312" w:eastAsia="方正仿宋_GB2312" w:cs="方正仿宋_GB2312"/>
          <w:color w:val="000000"/>
          <w:kern w:val="2"/>
          <w:sz w:val="32"/>
          <w:szCs w:val="32"/>
          <w:lang w:val="en-US" w:eastAsia="zh-CN" w:bidi="ar-SA"/>
        </w:rPr>
        <w:t>项目过程情况：实施流程规范，资金使用合规。</w:t>
      </w:r>
    </w:p>
    <w:p w14:paraId="69C46F75">
      <w:pPr>
        <w:keepNext w:val="0"/>
        <w:keepLines w:val="0"/>
        <w:pageBreakBefore w:val="0"/>
        <w:widowControl w:val="0"/>
        <w:numPr>
          <w:ilvl w:val="0"/>
          <w:numId w:val="2"/>
        </w:numPr>
        <w:kinsoku/>
        <w:wordWrap/>
        <w:overflowPunct/>
        <w:topLinePunct w:val="0"/>
        <w:autoSpaceDE/>
        <w:autoSpaceDN/>
        <w:bidi w:val="0"/>
        <w:adjustRightInd/>
        <w:snapToGrid/>
        <w:spacing w:line="500" w:lineRule="exact"/>
        <w:ind w:left="601" w:leftChars="0" w:firstLine="0" w:firstLineChars="0"/>
        <w:textAlignment w:val="auto"/>
        <w:rPr>
          <w:rFonts w:hint="eastAsia" w:ascii="方正仿宋_GB2312" w:hAnsi="方正仿宋_GB2312" w:eastAsia="方正仿宋_GB2312" w:cs="方正仿宋_GB2312"/>
          <w:color w:val="000000"/>
          <w:kern w:val="2"/>
          <w:sz w:val="32"/>
          <w:szCs w:val="32"/>
          <w:lang w:val="en-US" w:eastAsia="zh-CN" w:bidi="ar-SA"/>
        </w:rPr>
      </w:pPr>
      <w:r>
        <w:rPr>
          <w:rFonts w:hint="eastAsia" w:ascii="方正仿宋_GB2312" w:hAnsi="方正仿宋_GB2312" w:eastAsia="方正仿宋_GB2312" w:cs="方正仿宋_GB2312"/>
          <w:color w:val="000000"/>
          <w:kern w:val="2"/>
          <w:sz w:val="32"/>
          <w:szCs w:val="32"/>
          <w:lang w:val="en-US" w:eastAsia="zh-CN" w:bidi="ar-SA"/>
        </w:rPr>
        <w:t>项目产出情况：计划都基本完成，产出数量和质量基本达标。</w:t>
      </w:r>
    </w:p>
    <w:p w14:paraId="020606A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601" w:leftChars="0"/>
        <w:textAlignment w:val="auto"/>
        <w:rPr>
          <w:rFonts w:hint="eastAsia" w:ascii="方正仿宋_GB2312" w:hAnsi="方正仿宋_GB2312" w:eastAsia="方正仿宋_GB2312" w:cs="方正仿宋_GB2312"/>
          <w:color w:val="000000"/>
          <w:kern w:val="2"/>
          <w:sz w:val="32"/>
          <w:szCs w:val="32"/>
          <w:lang w:val="en-US" w:eastAsia="zh-CN" w:bidi="ar-SA"/>
        </w:rPr>
      </w:pPr>
      <w:r>
        <w:rPr>
          <w:rFonts w:hint="eastAsia" w:ascii="方正仿宋_GB2312" w:hAnsi="方正仿宋_GB2312" w:eastAsia="方正仿宋_GB2312" w:cs="方正仿宋_GB2312"/>
          <w:color w:val="000000"/>
          <w:kern w:val="2"/>
          <w:sz w:val="32"/>
          <w:szCs w:val="32"/>
          <w:lang w:val="en-US" w:eastAsia="zh-CN" w:bidi="ar-SA"/>
        </w:rPr>
        <w:t>（四）项目效益情况：社会效益显著，群众满意度高，但可持续性需加强。</w:t>
      </w:r>
    </w:p>
    <w:p w14:paraId="68BA2E20">
      <w:pPr>
        <w:keepNext w:val="0"/>
        <w:keepLines w:val="0"/>
        <w:pageBreakBefore w:val="0"/>
        <w:widowControl w:val="0"/>
        <w:kinsoku/>
        <w:wordWrap/>
        <w:overflowPunct/>
        <w:topLinePunct w:val="0"/>
        <w:autoSpaceDE/>
        <w:autoSpaceDN/>
        <w:bidi w:val="0"/>
        <w:adjustRightInd/>
        <w:snapToGrid/>
        <w:spacing w:line="520" w:lineRule="exact"/>
        <w:ind w:firstLine="600"/>
        <w:textAlignment w:val="auto"/>
        <w:rPr>
          <w:rFonts w:hint="eastAsia" w:ascii="黑体" w:hAnsi="黑体" w:eastAsia="黑体" w:cs="黑体"/>
          <w:szCs w:val="32"/>
        </w:rPr>
      </w:pPr>
      <w:r>
        <w:rPr>
          <w:rFonts w:hint="eastAsia" w:ascii="黑体" w:hAnsi="黑体" w:eastAsia="黑体" w:cs="黑体"/>
          <w:szCs w:val="32"/>
        </w:rPr>
        <w:t>五、主要经验及做法</w:t>
      </w:r>
    </w:p>
    <w:p w14:paraId="114004A0">
      <w:pPr>
        <w:pStyle w:val="2"/>
        <w:keepNext w:val="0"/>
        <w:keepLines w:val="0"/>
        <w:pageBreakBefore w:val="0"/>
        <w:widowControl/>
        <w:kinsoku/>
        <w:wordWrap/>
        <w:overflowPunct/>
        <w:topLinePunct w:val="0"/>
        <w:autoSpaceDE/>
        <w:autoSpaceDN/>
        <w:bidi w:val="0"/>
        <w:adjustRightInd/>
        <w:snapToGrid w:val="0"/>
        <w:spacing w:beforeAutospacing="0" w:afterAutospacing="0" w:line="520" w:lineRule="exact"/>
        <w:ind w:firstLine="640" w:firstLineChars="200"/>
        <w:jc w:val="both"/>
        <w:textAlignment w:val="auto"/>
        <w:rPr>
          <w:rFonts w:hint="eastAsia" w:ascii="方正仿宋_GB2312" w:hAnsi="方正仿宋_GB2312" w:eastAsia="方正仿宋_GB2312" w:cs="方正仿宋_GB2312"/>
          <w:color w:val="000000"/>
          <w:kern w:val="2"/>
          <w:sz w:val="32"/>
          <w:szCs w:val="32"/>
          <w:lang w:val="en-US" w:eastAsia="zh-CN" w:bidi="ar-SA"/>
        </w:rPr>
      </w:pPr>
      <w:r>
        <w:rPr>
          <w:rFonts w:hint="eastAsia" w:ascii="方正仿宋_GB2312" w:hAnsi="方正仿宋_GB2312" w:eastAsia="方正仿宋_GB2312" w:cs="方正仿宋_GB2312"/>
          <w:color w:val="000000"/>
          <w:kern w:val="2"/>
          <w:sz w:val="32"/>
          <w:szCs w:val="32"/>
          <w:lang w:val="en-US" w:eastAsia="zh-CN" w:bidi="ar-SA"/>
        </w:rPr>
        <w:t>为做好专项实施的跟踪检查工作。我单位定期不定期地对专项资金实施情况和经费使用情况进行跟踪检查，对能实现预期绩效目标的项目予以充分肯定，对进展缓慢，预期绩效目标较差的项目，及时进行协调和提出整改措施，确保专项资金使用达到预期绩效目标。</w:t>
      </w:r>
    </w:p>
    <w:p w14:paraId="288C6A9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Cs w:val="32"/>
        </w:rPr>
      </w:pPr>
      <w:r>
        <w:rPr>
          <w:rFonts w:hint="eastAsia" w:ascii="黑体" w:hAnsi="黑体" w:eastAsia="黑体" w:cs="黑体"/>
          <w:szCs w:val="32"/>
          <w:lang w:val="en-US" w:eastAsia="zh-CN"/>
        </w:rPr>
        <w:t>六、</w:t>
      </w:r>
      <w:r>
        <w:rPr>
          <w:rFonts w:hint="eastAsia" w:ascii="黑体" w:hAnsi="黑体" w:eastAsia="黑体" w:cs="黑体"/>
          <w:szCs w:val="32"/>
        </w:rPr>
        <w:t>存在问题及原因分析</w:t>
      </w:r>
    </w:p>
    <w:p w14:paraId="751719F8">
      <w:pPr>
        <w:pStyle w:val="2"/>
        <w:keepNext w:val="0"/>
        <w:keepLines w:val="0"/>
        <w:pageBreakBefore w:val="0"/>
        <w:widowControl/>
        <w:kinsoku/>
        <w:wordWrap/>
        <w:overflowPunct/>
        <w:topLinePunct w:val="0"/>
        <w:autoSpaceDE/>
        <w:autoSpaceDN/>
        <w:bidi w:val="0"/>
        <w:adjustRightInd/>
        <w:snapToGrid w:val="0"/>
        <w:spacing w:beforeAutospacing="0" w:afterAutospacing="0" w:line="520" w:lineRule="exact"/>
        <w:ind w:firstLine="640" w:firstLineChars="200"/>
        <w:jc w:val="both"/>
        <w:textAlignment w:val="auto"/>
        <w:rPr>
          <w:rFonts w:hint="eastAsia" w:ascii="方正仿宋_GB2312" w:hAnsi="方正仿宋_GB2312" w:eastAsia="方正仿宋_GB2312" w:cs="方正仿宋_GB2312"/>
          <w:color w:val="000000"/>
          <w:kern w:val="2"/>
          <w:sz w:val="32"/>
          <w:szCs w:val="32"/>
          <w:lang w:val="en-US" w:eastAsia="zh-CN" w:bidi="ar-SA"/>
        </w:rPr>
      </w:pPr>
      <w:r>
        <w:rPr>
          <w:rFonts w:hint="eastAsia" w:ascii="方正仿宋_GB2312" w:hAnsi="方正仿宋_GB2312" w:eastAsia="方正仿宋_GB2312" w:cs="方正仿宋_GB2312"/>
          <w:color w:val="000000"/>
          <w:kern w:val="2"/>
          <w:sz w:val="32"/>
          <w:szCs w:val="32"/>
          <w:lang w:val="en-US" w:eastAsia="zh-CN" w:bidi="ar-SA"/>
        </w:rPr>
        <w:t>部分工作尚处于探索阶段，受政策影响较大。政府项目管理制度有待完善。部分项目执行进度慢，我部门将进一步加快项目实施进度，确保项目及时完成。项目预算执行监管力度还有待加强，部分项目建设进度较慢资金执行率低。</w:t>
      </w:r>
    </w:p>
    <w:p w14:paraId="6C434561">
      <w:pPr>
        <w:keepNext w:val="0"/>
        <w:keepLines w:val="0"/>
        <w:pageBreakBefore w:val="0"/>
        <w:widowControl w:val="0"/>
        <w:kinsoku/>
        <w:wordWrap/>
        <w:overflowPunct/>
        <w:topLinePunct w:val="0"/>
        <w:autoSpaceDE/>
        <w:autoSpaceDN/>
        <w:bidi w:val="0"/>
        <w:adjustRightInd/>
        <w:snapToGrid/>
        <w:spacing w:line="520" w:lineRule="exact"/>
        <w:ind w:firstLine="601"/>
        <w:textAlignment w:val="auto"/>
        <w:rPr>
          <w:rFonts w:ascii="黑体" w:hAnsi="黑体" w:eastAsia="黑体" w:cs="黑体"/>
          <w:szCs w:val="32"/>
        </w:rPr>
      </w:pPr>
      <w:r>
        <w:rPr>
          <w:rFonts w:hint="eastAsia" w:ascii="黑体" w:hAnsi="黑体" w:eastAsia="黑体" w:cs="黑体"/>
          <w:szCs w:val="32"/>
        </w:rPr>
        <w:t>七、有关建议</w:t>
      </w:r>
    </w:p>
    <w:p w14:paraId="7529EFC2">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方正仿宋_GB2312" w:hAnsi="方正仿宋_GB2312" w:eastAsia="方正仿宋_GB2312" w:cs="方正仿宋_GB2312"/>
          <w:color w:val="000000"/>
          <w:kern w:val="2"/>
          <w:sz w:val="32"/>
          <w:szCs w:val="32"/>
          <w:lang w:val="en-US" w:eastAsia="zh-CN" w:bidi="ar-SA"/>
        </w:rPr>
      </w:pPr>
      <w:r>
        <w:rPr>
          <w:rFonts w:hint="eastAsia" w:ascii="方正仿宋_GB2312" w:hAnsi="方正仿宋_GB2312" w:eastAsia="方正仿宋_GB2312" w:cs="方正仿宋_GB2312"/>
          <w:color w:val="000000"/>
          <w:kern w:val="2"/>
          <w:sz w:val="32"/>
          <w:szCs w:val="32"/>
          <w:lang w:val="en-US" w:eastAsia="zh-CN" w:bidi="ar-SA"/>
        </w:rPr>
        <w:t>在今后的工作中，我们将借鉴优秀地方政府总结的经验,采纳他们的长处,弥补自己不足的地方。以这次部门绩效自评工作为契机，进一步提高责任意识。加强机关预算管理，提前做好项目论证，对项目执行中存在的变动提前做好预案，防止预算执行过程中出现偏差;加强专项资金制度管理，根据绩效目标落实责任到人，进一步完善专项资金结果考核制度建设。在下一步工作中，我单位将把自评结果应用作为全过程预算绩效管理落脚点，及时整理、归纳、分析、反馈绩效自评结果，并将其作为改进预算管理和以后年度预算安排的重要依据。</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KSOFE8852770">
    <w:panose1 w:val="03000509000000000000"/>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F2DB9D"/>
    <w:multiLevelType w:val="singleLevel"/>
    <w:tmpl w:val="C7F2DB9D"/>
    <w:lvl w:ilvl="0" w:tentative="0">
      <w:start w:val="3"/>
      <w:numFmt w:val="chineseCounting"/>
      <w:suff w:val="nothing"/>
      <w:lvlText w:val="%1、"/>
      <w:lvlJc w:val="left"/>
      <w:rPr>
        <w:rFonts w:hint="eastAsia"/>
      </w:rPr>
    </w:lvl>
  </w:abstractNum>
  <w:abstractNum w:abstractNumId="1">
    <w:nsid w:val="F83928F1"/>
    <w:multiLevelType w:val="singleLevel"/>
    <w:tmpl w:val="F83928F1"/>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363CC0"/>
    <w:rsid w:val="01363CC0"/>
    <w:rsid w:val="13280194"/>
    <w:rsid w:val="20D6616D"/>
    <w:rsid w:val="3E2171FA"/>
    <w:rsid w:val="64306035"/>
    <w:rsid w:val="702239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1468</Words>
  <Characters>1614</Characters>
  <Lines>0</Lines>
  <Paragraphs>0</Paragraphs>
  <TotalTime>8</TotalTime>
  <ScaleCrop>false</ScaleCrop>
  <LinksUpToDate>false</LinksUpToDate>
  <CharactersWithSpaces>1650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2026-04-16T00:40:00Z</dcterms:created>
  <dc:creator>哆啦A梦的口袋</dc:creator>
  <cp:lastModifiedBy>南方</cp:lastModifiedBy>
  <cp:lastPrinted>2026-07-16T07:23:05Z</cp:lastPrinted>
  <dcterms:modified xsi:type="dcterms:W3CDTF">2026-07-16T07:31:20Z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5C1C7CA4268D472382539466A9005454_13</vt:lpwstr>
  </property>
  <property fmtid="{D5CDD505-2E9C-101B-9397-08002B2CF9AE}" pid="4" name="KSOTemplateDocerSaveRecord">
    <vt:lpwstr>eyJoZGlkIjoiZjRiMTJjZTI4YTQzMWQxODc3YjViMDk4MmUyNTljYzciLCJ1c2VySWQiOiIzNDUwODI3NzkifQ==</vt:lpwstr>
  </property>
</Properties>
</file>