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position w:val="0"/>
          <w:sz w:val="44"/>
          <w:szCs w:val="44"/>
        </w:rPr>
        <w:t>霍邱县第五届青年教师才艺展演实施方案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为深入落实新时代学校美育工作要求，全面展示我县青年教师昂扬向上的精神风貌与艺术素养，丰富校园文化生活、提升教师综合能力，持续弘扬尊师重教优良风尚，深化文旅与教育融合发展，促进校园美育事业高质量发展，同时为省市文艺赛事储备优秀人才，现决定举办霍邱县第五届青年教师才艺展</w:t>
      </w:r>
      <w:r>
        <w:rPr>
          <w:rFonts w:hint="eastAsia" w:ascii="仿宋" w:hAnsi="仿宋" w:eastAsia="仿宋" w:cs="仿宋"/>
          <w:spacing w:val="-11"/>
          <w:position w:val="0"/>
          <w:sz w:val="32"/>
          <w:szCs w:val="32"/>
        </w:rPr>
        <w:t>演。本次展演分预赛、决赛两个阶段开展，具体实施方案如下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一、组织机构及任务分工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(一)主办单位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中共霍邱县委宣传部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霍邱县文化旅游体育局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(二)承办单位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霍邱县文化馆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(三)协办单位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霍邱县融媒体中心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(四)职责分工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1.县委宣传部：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统筹指导展演整体工作，协调各单位联动</w:t>
      </w:r>
      <w:r>
        <w:rPr>
          <w:rFonts w:hint="eastAsia" w:ascii="仿宋" w:hAnsi="仿宋" w:eastAsia="仿宋" w:cs="仿宋"/>
          <w:spacing w:val="-11"/>
          <w:position w:val="0"/>
          <w:sz w:val="32"/>
          <w:szCs w:val="32"/>
        </w:rPr>
        <w:t>配合，把控活动舆论导向，指导文明创建、文旅宣传融合工作。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2.县文化旅游体育局：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负责展演整体组织实施、经费保障、流程统筹，联动文旅资源赋能活动开展，做好原创文艺作品挖掘培育工作。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3.县教育局：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统筹全县各级各类学校宣传发动工作，督促各校择优推荐参演教师，压实学校组织责任，以展演推动校园美育建设。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4.县文化馆：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负责展演报名审核、预赛视频评审、决赛现</w:t>
      </w:r>
      <w:r>
        <w:rPr>
          <w:rFonts w:hint="eastAsia" w:ascii="仿宋" w:hAnsi="仿宋" w:eastAsia="仿宋" w:cs="仿宋"/>
          <w:spacing w:val="-11"/>
          <w:position w:val="0"/>
          <w:sz w:val="32"/>
          <w:szCs w:val="32"/>
        </w:rPr>
        <w:t>场统筹、专家邀约、场地布置、活动全程执行及作品归档工作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5.县融媒体中心：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负责展演预热、直播报道、宣传总结，通过新媒体平台全方位宣传展演亮点，扩大活动社会影响力。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二、参演对象、内容及要求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参演对象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全县各级各类学校45周岁及以下(年龄计算截止至2026年7月31日)在职在岗青年教师，涵盖公办及民办中小学、幼儿园、中等职业学校；为拓宽美育展示覆盖面，同步纳入合规备案校外培训机构在职在岗专任艺术教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报送要求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各县直学校、乡镇中心学校严格筛选、择优推荐，声乐、器乐、舞蹈三大类别每类别选送1个及以上优秀作品参演，鼓励各校多类别、多名额踊跃报送，优先推荐原创作品、贴合本土文化题材作品。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三）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作品要求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1.内容主题：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作品主题积极健康、格调高雅，紧扣爱党爱国、立德树人、深耕教坛、赞美家乡、青春奋进、美育育人等核心主题，传递新时代教师正能量，彰显霍邱教育风采与青年教师使命担当。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2.形式规范：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本次展演所有节目均为单人表演，节目表演时长严格控制在6分钟以内，超时将酌情扣分。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3.诚信要求：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参演作品必须为本人真实表演，杜绝抄袭、代录、替赛等弄虚作假行为。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四）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节目类别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1.声乐类：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仅限个人独唱，曲风不限，参演者自行准备伴奏音频，可自带伴奏乐器。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2.器乐类：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仅限个人独奏，中西乐器不限，演奏曲目积极向上，自备乐器及演奏所需道具。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3.舞蹈类：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仅限个人独舞，舞种不限，参演者自备演出服装、伴奏视频及道具。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三、展演安排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一）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预赛阶段(视频评审)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1.报送时间：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即日起至2026年7月31日截止，逾期不再受理报名。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2.报送材料：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参演节目高清无剪辑完整视频和参演报名表，统一打包发送至指定邮箱：240173342@qq.com,邮件统一命名格式：学校+姓名+参演类别+作品名称。联系电话：6080958。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3.评审方式：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由县文化馆邀请专家组成评审组，对所有参演视频进行评审，确定进入决赛节目。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4.结果公示：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预赛晋级名单将于8月上旬在霍邱县文化馆微信公众号公示并电话通知。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5.展演说明：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本次展演全程免费报名、不收取任何费用。一经查实替赛、视频剪辑、弄虚作假等违规行为，立即取消参演资格，通报所在学校。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  <w:lang w:val="en-US" w:eastAsia="zh-CN"/>
        </w:rPr>
        <w:t>二）</w:t>
      </w: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决赛阶段(现场评审)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02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0"/>
          <w:szCs w:val="30"/>
        </w:rPr>
        <w:t>1.参赛要求：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决赛节目、参赛选手、作品内容、伴奏素材必须与预赛完全一致，不得擅自更换、改编、更换曲目，不符要求者不予参赛评分。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02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0"/>
          <w:szCs w:val="30"/>
        </w:rPr>
        <w:t>2.评审方式：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邀请市县专家进行现场打分，并现场统分、现场亮分，按照类别排名确定获奖等次。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02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0"/>
          <w:szCs w:val="30"/>
        </w:rPr>
        <w:t>3.颁</w:t>
      </w:r>
      <w:r>
        <w:rPr>
          <w:rFonts w:hint="eastAsia" w:ascii="仿宋" w:hAnsi="仿宋" w:eastAsia="仿宋" w:cs="仿宋"/>
          <w:b/>
          <w:bCs/>
          <w:spacing w:val="-23"/>
          <w:position w:val="0"/>
          <w:sz w:val="30"/>
          <w:szCs w:val="30"/>
        </w:rPr>
        <w:t>奖环节：</w:t>
      </w:r>
      <w:r>
        <w:rPr>
          <w:rFonts w:hint="eastAsia" w:ascii="仿宋" w:hAnsi="仿宋" w:eastAsia="仿宋" w:cs="仿宋"/>
          <w:spacing w:val="-23"/>
          <w:position w:val="0"/>
          <w:sz w:val="32"/>
          <w:szCs w:val="32"/>
        </w:rPr>
        <w:t>决赛结束后公布获奖名单，举行现场颁奖仪式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四、决赛时间及地点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581" w:firstLineChars="181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决赛时间：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2026年8月下旬(具体时间另行通知)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position w:val="0"/>
          <w:sz w:val="32"/>
          <w:szCs w:val="32"/>
        </w:rPr>
        <w:t>决赛地点：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霍邱县文化馆小剧场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五、奖项设置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声乐类、器乐类、舞蹈类分别设置一、二、三等奖，其余进入决赛节目均为优秀奖(注：根据各组别实际参赛人数按比例设置奖项数量。)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六、工作要求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1.高度重视，精心组织。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各学校及机构要充分认识本次展演对美育建设、教师队伍建设的重要意义，将展演作为喜迎教师节、推进校园美育提质的重点工作，广泛动员青年教师积极参与。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2.严把质量，突出特色。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坚持以质为先，聚焦立德树人根本任务，优先推选思想正、水平高、有创意、接地气的优秀作品，深度结合霍邱本土文化、教育特色，展现我县青年教师精湛的艺术功底和良好职业素养。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3.严守纪律，规范参赛。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严格遵守赛事时间、流程及参赛规则，坚决杜绝各类违规违纪行为，自觉维护展演公平公正的良好氛围，确保安全、有序、圆满开展。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0"/>
          <w:position w:val="0"/>
          <w:sz w:val="32"/>
          <w:szCs w:val="32"/>
        </w:rPr>
        <w:t>4.广泛宣传，营造氛围。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县融媒体中心、县文化馆全方位做好赛事宣传推广，讲好霍邱教育故事，营造全社会尊师重教、重视美育、助力青年教师成长的浓厚氛围。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附件：霍邱县第五届青年教师才艺展演报名表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中共霍邱县委宣传部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center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center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霍邱县文化旅游体育局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center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center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sectPr>
          <w:footerReference r:id="rId5" w:type="default"/>
          <w:pgSz w:w="11910" w:h="16840"/>
          <w:pgMar w:top="2098" w:right="1531" w:bottom="1984" w:left="1531" w:header="850" w:footer="1474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ascii="仿宋" w:hAnsi="仿宋" w:eastAsia="仿宋" w:cs="仿宋"/>
          <w:spacing w:val="0"/>
          <w:position w:val="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pacing w:val="0"/>
          <w:position w:val="0"/>
          <w:sz w:val="32"/>
          <w:szCs w:val="32"/>
        </w:rPr>
        <w:t>2026年6月30日</w:t>
      </w:r>
    </w:p>
    <w:p>
      <w:pPr>
        <w:pStyle w:val="2"/>
        <w:spacing w:before="58" w:line="219" w:lineRule="auto"/>
        <w:jc w:val="center"/>
        <w:rPr>
          <w:rFonts w:ascii="Arial"/>
          <w:spacing w:val="0"/>
          <w:sz w:val="21"/>
        </w:rPr>
      </w:pPr>
      <w:r>
        <w:rPr>
          <w:b/>
          <w:bCs/>
          <w:spacing w:val="0"/>
          <w:w w:val="94"/>
          <w:sz w:val="44"/>
          <w:szCs w:val="44"/>
        </w:rPr>
        <w:t>霍邱县第</w:t>
      </w:r>
      <w:r>
        <w:rPr>
          <w:rFonts w:hint="eastAsia"/>
          <w:b/>
          <w:bCs/>
          <w:spacing w:val="0"/>
          <w:w w:val="94"/>
          <w:sz w:val="44"/>
          <w:szCs w:val="44"/>
          <w:lang w:val="en-US" w:eastAsia="zh-CN"/>
        </w:rPr>
        <w:t>五</w:t>
      </w:r>
      <w:r>
        <w:rPr>
          <w:b/>
          <w:bCs/>
          <w:spacing w:val="0"/>
          <w:w w:val="94"/>
          <w:sz w:val="44"/>
          <w:szCs w:val="44"/>
        </w:rPr>
        <w:t>届青年教师才艺</w:t>
      </w:r>
      <w:r>
        <w:rPr>
          <w:rFonts w:hint="eastAsia"/>
          <w:b/>
          <w:bCs/>
          <w:spacing w:val="0"/>
          <w:w w:val="94"/>
          <w:sz w:val="44"/>
          <w:szCs w:val="44"/>
          <w:lang w:val="en-US" w:eastAsia="zh-CN"/>
        </w:rPr>
        <w:t>展演</w:t>
      </w:r>
      <w:r>
        <w:rPr>
          <w:b/>
          <w:bCs/>
          <w:spacing w:val="0"/>
          <w:w w:val="94"/>
          <w:sz w:val="44"/>
          <w:szCs w:val="44"/>
        </w:rPr>
        <w:t>报名表</w:t>
      </w:r>
    </w:p>
    <w:p>
      <w:pPr>
        <w:spacing w:line="339" w:lineRule="auto"/>
        <w:rPr>
          <w:rFonts w:ascii="Arial"/>
          <w:sz w:val="21"/>
        </w:rPr>
      </w:pPr>
    </w:p>
    <w:p>
      <w:pPr>
        <w:pStyle w:val="2"/>
        <w:spacing w:before="78" w:line="227" w:lineRule="auto"/>
        <w:ind w:left="874"/>
        <w:rPr>
          <w:sz w:val="22"/>
          <w:szCs w:val="22"/>
        </w:rPr>
      </w:pPr>
      <w:r>
        <w:rPr>
          <w:spacing w:val="-10"/>
          <w:sz w:val="22"/>
          <w:szCs w:val="22"/>
        </w:rPr>
        <w:t xml:space="preserve">选送单位：                                           </w:t>
      </w:r>
      <w:r>
        <w:rPr>
          <w:spacing w:val="-10"/>
          <w:sz w:val="24"/>
          <w:szCs w:val="24"/>
        </w:rPr>
        <w:t xml:space="preserve">领队：                  </w:t>
      </w:r>
      <w:r>
        <w:rPr>
          <w:spacing w:val="-11"/>
          <w:sz w:val="24"/>
          <w:szCs w:val="24"/>
        </w:rPr>
        <w:t xml:space="preserve">            </w:t>
      </w:r>
      <w:r>
        <w:rPr>
          <w:spacing w:val="-11"/>
          <w:sz w:val="22"/>
          <w:szCs w:val="22"/>
        </w:rPr>
        <w:t>联系方式：</w:t>
      </w:r>
    </w:p>
    <w:p>
      <w:pPr>
        <w:spacing w:before="97"/>
      </w:pPr>
    </w:p>
    <w:tbl>
      <w:tblPr>
        <w:tblStyle w:val="7"/>
        <w:tblpPr w:leftFromText="180" w:rightFromText="180" w:vertAnchor="text" w:horzAnchor="page" w:tblpX="1931" w:tblpY="252"/>
        <w:tblOverlap w:val="never"/>
        <w:tblW w:w="133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2086"/>
        <w:gridCol w:w="997"/>
        <w:gridCol w:w="1689"/>
        <w:gridCol w:w="1320"/>
        <w:gridCol w:w="1456"/>
        <w:gridCol w:w="2435"/>
        <w:gridCol w:w="772"/>
        <w:gridCol w:w="16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992" w:type="dxa"/>
            <w:vAlign w:val="top"/>
          </w:tcPr>
          <w:p>
            <w:pPr>
              <w:pStyle w:val="8"/>
              <w:spacing w:line="452" w:lineRule="auto"/>
            </w:pPr>
          </w:p>
          <w:p>
            <w:pPr>
              <w:spacing w:before="68" w:line="219" w:lineRule="auto"/>
              <w:ind w:left="1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节目类型</w:t>
            </w:r>
          </w:p>
        </w:tc>
        <w:tc>
          <w:tcPr>
            <w:tcW w:w="2086" w:type="dxa"/>
            <w:vAlign w:val="top"/>
          </w:tcPr>
          <w:p>
            <w:pPr>
              <w:pStyle w:val="8"/>
              <w:spacing w:line="453" w:lineRule="auto"/>
            </w:pPr>
          </w:p>
          <w:p>
            <w:pPr>
              <w:spacing w:before="68" w:line="220" w:lineRule="auto"/>
              <w:ind w:left="7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节目名称</w:t>
            </w:r>
          </w:p>
        </w:tc>
        <w:tc>
          <w:tcPr>
            <w:tcW w:w="997" w:type="dxa"/>
            <w:vAlign w:val="top"/>
          </w:tcPr>
          <w:p>
            <w:pPr>
              <w:pStyle w:val="8"/>
              <w:spacing w:line="463" w:lineRule="auto"/>
            </w:pPr>
          </w:p>
          <w:p>
            <w:pPr>
              <w:spacing w:before="68" w:line="220" w:lineRule="auto"/>
              <w:ind w:left="1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是否原创</w:t>
            </w:r>
          </w:p>
        </w:tc>
        <w:tc>
          <w:tcPr>
            <w:tcW w:w="1689" w:type="dxa"/>
            <w:vAlign w:val="top"/>
          </w:tcPr>
          <w:p>
            <w:pPr>
              <w:spacing w:before="244" w:line="220" w:lineRule="auto"/>
              <w:ind w:left="5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创作人员</w:t>
            </w:r>
          </w:p>
          <w:p>
            <w:pPr>
              <w:spacing w:before="309" w:line="220" w:lineRule="auto"/>
              <w:ind w:left="3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(原创作品填)</w:t>
            </w:r>
          </w:p>
        </w:tc>
        <w:tc>
          <w:tcPr>
            <w:tcW w:w="1320" w:type="dxa"/>
            <w:vAlign w:val="top"/>
          </w:tcPr>
          <w:p>
            <w:pPr>
              <w:pStyle w:val="8"/>
              <w:spacing w:line="453" w:lineRule="auto"/>
            </w:pPr>
          </w:p>
          <w:p>
            <w:pPr>
              <w:spacing w:before="68" w:line="220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节目时长</w:t>
            </w:r>
          </w:p>
        </w:tc>
        <w:tc>
          <w:tcPr>
            <w:tcW w:w="1456" w:type="dxa"/>
            <w:vAlign w:val="top"/>
          </w:tcPr>
          <w:p>
            <w:pPr>
              <w:pStyle w:val="8"/>
              <w:spacing w:line="443" w:lineRule="auto"/>
            </w:pPr>
          </w:p>
          <w:p>
            <w:pPr>
              <w:spacing w:before="69" w:line="221" w:lineRule="auto"/>
              <w:ind w:left="5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表演者</w:t>
            </w:r>
          </w:p>
        </w:tc>
        <w:tc>
          <w:tcPr>
            <w:tcW w:w="2435" w:type="dxa"/>
            <w:vAlign w:val="top"/>
          </w:tcPr>
          <w:p>
            <w:pPr>
              <w:pStyle w:val="8"/>
              <w:spacing w:line="453" w:lineRule="auto"/>
            </w:pPr>
          </w:p>
          <w:p>
            <w:pPr>
              <w:spacing w:before="68" w:line="220" w:lineRule="auto"/>
              <w:ind w:left="9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工作单位</w:t>
            </w:r>
          </w:p>
        </w:tc>
        <w:tc>
          <w:tcPr>
            <w:tcW w:w="772" w:type="dxa"/>
            <w:vAlign w:val="top"/>
          </w:tcPr>
          <w:p>
            <w:pPr>
              <w:pStyle w:val="8"/>
              <w:spacing w:line="432" w:lineRule="auto"/>
            </w:pPr>
          </w:p>
          <w:p>
            <w:pPr>
              <w:spacing w:before="69" w:line="219" w:lineRule="auto"/>
              <w:ind w:left="2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年龄</w:t>
            </w:r>
          </w:p>
        </w:tc>
        <w:tc>
          <w:tcPr>
            <w:tcW w:w="1648" w:type="dxa"/>
            <w:vAlign w:val="top"/>
          </w:tcPr>
          <w:p>
            <w:pPr>
              <w:pStyle w:val="8"/>
              <w:spacing w:line="461" w:lineRule="auto"/>
            </w:pPr>
          </w:p>
          <w:p>
            <w:pPr>
              <w:spacing w:before="68" w:line="219" w:lineRule="auto"/>
              <w:ind w:left="5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手机号码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992" w:type="dxa"/>
            <w:vAlign w:val="top"/>
          </w:tcPr>
          <w:p>
            <w:pPr>
              <w:pStyle w:val="8"/>
            </w:pPr>
          </w:p>
        </w:tc>
        <w:tc>
          <w:tcPr>
            <w:tcW w:w="2086" w:type="dxa"/>
            <w:vAlign w:val="top"/>
          </w:tcPr>
          <w:p>
            <w:pPr>
              <w:pStyle w:val="8"/>
            </w:pPr>
          </w:p>
        </w:tc>
        <w:tc>
          <w:tcPr>
            <w:tcW w:w="997" w:type="dxa"/>
            <w:vAlign w:val="top"/>
          </w:tcPr>
          <w:p>
            <w:pPr>
              <w:pStyle w:val="8"/>
            </w:pPr>
          </w:p>
        </w:tc>
        <w:tc>
          <w:tcPr>
            <w:tcW w:w="1689" w:type="dxa"/>
            <w:vAlign w:val="top"/>
          </w:tcPr>
          <w:p>
            <w:pPr>
              <w:pStyle w:val="8"/>
            </w:pPr>
          </w:p>
        </w:tc>
        <w:tc>
          <w:tcPr>
            <w:tcW w:w="1320" w:type="dxa"/>
            <w:vAlign w:val="top"/>
          </w:tcPr>
          <w:p>
            <w:pPr>
              <w:pStyle w:val="8"/>
            </w:pPr>
          </w:p>
        </w:tc>
        <w:tc>
          <w:tcPr>
            <w:tcW w:w="1456" w:type="dxa"/>
            <w:vAlign w:val="top"/>
          </w:tcPr>
          <w:p>
            <w:pPr>
              <w:pStyle w:val="8"/>
            </w:pPr>
          </w:p>
        </w:tc>
        <w:tc>
          <w:tcPr>
            <w:tcW w:w="2435" w:type="dxa"/>
            <w:vAlign w:val="top"/>
          </w:tcPr>
          <w:p>
            <w:pPr>
              <w:pStyle w:val="8"/>
            </w:pPr>
          </w:p>
        </w:tc>
        <w:tc>
          <w:tcPr>
            <w:tcW w:w="772" w:type="dxa"/>
            <w:vAlign w:val="top"/>
          </w:tcPr>
          <w:p>
            <w:pPr>
              <w:pStyle w:val="8"/>
            </w:pPr>
          </w:p>
        </w:tc>
        <w:tc>
          <w:tcPr>
            <w:tcW w:w="1648" w:type="dxa"/>
            <w:vAlign w:val="top"/>
          </w:tcPr>
          <w:p>
            <w:pPr>
              <w:pStyle w:val="8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992" w:type="dxa"/>
            <w:vAlign w:val="top"/>
          </w:tcPr>
          <w:p>
            <w:pPr>
              <w:pStyle w:val="8"/>
            </w:pPr>
          </w:p>
        </w:tc>
        <w:tc>
          <w:tcPr>
            <w:tcW w:w="2086" w:type="dxa"/>
            <w:vAlign w:val="top"/>
          </w:tcPr>
          <w:p>
            <w:pPr>
              <w:pStyle w:val="8"/>
            </w:pPr>
          </w:p>
        </w:tc>
        <w:tc>
          <w:tcPr>
            <w:tcW w:w="997" w:type="dxa"/>
            <w:vAlign w:val="top"/>
          </w:tcPr>
          <w:p>
            <w:pPr>
              <w:pStyle w:val="8"/>
            </w:pPr>
          </w:p>
        </w:tc>
        <w:tc>
          <w:tcPr>
            <w:tcW w:w="1689" w:type="dxa"/>
            <w:vAlign w:val="top"/>
          </w:tcPr>
          <w:p>
            <w:pPr>
              <w:pStyle w:val="8"/>
            </w:pPr>
          </w:p>
        </w:tc>
        <w:tc>
          <w:tcPr>
            <w:tcW w:w="1320" w:type="dxa"/>
            <w:vAlign w:val="top"/>
          </w:tcPr>
          <w:p>
            <w:pPr>
              <w:pStyle w:val="8"/>
            </w:pPr>
          </w:p>
        </w:tc>
        <w:tc>
          <w:tcPr>
            <w:tcW w:w="1456" w:type="dxa"/>
            <w:vAlign w:val="top"/>
          </w:tcPr>
          <w:p>
            <w:pPr>
              <w:pStyle w:val="8"/>
            </w:pPr>
          </w:p>
        </w:tc>
        <w:tc>
          <w:tcPr>
            <w:tcW w:w="2435" w:type="dxa"/>
            <w:vAlign w:val="top"/>
          </w:tcPr>
          <w:p>
            <w:pPr>
              <w:pStyle w:val="8"/>
            </w:pPr>
          </w:p>
        </w:tc>
        <w:tc>
          <w:tcPr>
            <w:tcW w:w="772" w:type="dxa"/>
            <w:vAlign w:val="top"/>
          </w:tcPr>
          <w:p>
            <w:pPr>
              <w:pStyle w:val="8"/>
            </w:pPr>
          </w:p>
        </w:tc>
        <w:tc>
          <w:tcPr>
            <w:tcW w:w="1648" w:type="dxa"/>
            <w:vAlign w:val="top"/>
          </w:tcPr>
          <w:p>
            <w:pPr>
              <w:pStyle w:val="8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992" w:type="dxa"/>
            <w:vAlign w:val="top"/>
          </w:tcPr>
          <w:p>
            <w:pPr>
              <w:pStyle w:val="8"/>
            </w:pPr>
          </w:p>
        </w:tc>
        <w:tc>
          <w:tcPr>
            <w:tcW w:w="2086" w:type="dxa"/>
            <w:vAlign w:val="top"/>
          </w:tcPr>
          <w:p>
            <w:pPr>
              <w:pStyle w:val="8"/>
            </w:pPr>
          </w:p>
        </w:tc>
        <w:tc>
          <w:tcPr>
            <w:tcW w:w="997" w:type="dxa"/>
            <w:vAlign w:val="top"/>
          </w:tcPr>
          <w:p>
            <w:pPr>
              <w:pStyle w:val="8"/>
            </w:pPr>
          </w:p>
        </w:tc>
        <w:tc>
          <w:tcPr>
            <w:tcW w:w="1689" w:type="dxa"/>
            <w:vAlign w:val="top"/>
          </w:tcPr>
          <w:p>
            <w:pPr>
              <w:pStyle w:val="8"/>
            </w:pPr>
          </w:p>
        </w:tc>
        <w:tc>
          <w:tcPr>
            <w:tcW w:w="1320" w:type="dxa"/>
            <w:vAlign w:val="top"/>
          </w:tcPr>
          <w:p>
            <w:pPr>
              <w:pStyle w:val="8"/>
            </w:pPr>
          </w:p>
        </w:tc>
        <w:tc>
          <w:tcPr>
            <w:tcW w:w="1456" w:type="dxa"/>
            <w:vAlign w:val="top"/>
          </w:tcPr>
          <w:p>
            <w:pPr>
              <w:pStyle w:val="8"/>
            </w:pPr>
          </w:p>
        </w:tc>
        <w:tc>
          <w:tcPr>
            <w:tcW w:w="2435" w:type="dxa"/>
            <w:vAlign w:val="top"/>
          </w:tcPr>
          <w:p>
            <w:pPr>
              <w:pStyle w:val="8"/>
            </w:pPr>
          </w:p>
        </w:tc>
        <w:tc>
          <w:tcPr>
            <w:tcW w:w="772" w:type="dxa"/>
            <w:vAlign w:val="top"/>
          </w:tcPr>
          <w:p>
            <w:pPr>
              <w:pStyle w:val="8"/>
            </w:pPr>
          </w:p>
        </w:tc>
        <w:tc>
          <w:tcPr>
            <w:tcW w:w="1648" w:type="dxa"/>
            <w:vAlign w:val="top"/>
          </w:tcPr>
          <w:p>
            <w:pPr>
              <w:pStyle w:val="8"/>
            </w:pPr>
          </w:p>
        </w:tc>
      </w:tr>
    </w:tbl>
    <w:p>
      <w:pPr>
        <w:pStyle w:val="2"/>
        <w:spacing w:before="284" w:line="219" w:lineRule="auto"/>
        <w:ind w:left="915"/>
        <w:rPr>
          <w:sz w:val="21"/>
          <w:szCs w:val="21"/>
        </w:rPr>
      </w:pPr>
      <w:r>
        <w:rPr>
          <w:sz w:val="21"/>
          <w:szCs w:val="21"/>
        </w:rPr>
        <w:t>备注：1.该表请于7月31日前报送至邮箱</w:t>
      </w:r>
      <w:r>
        <w:rPr>
          <w:rFonts w:hint="eastAsia"/>
          <w:sz w:val="21"/>
          <w:szCs w:val="21"/>
        </w:rPr>
        <w:t>240173342@qq.com</w:t>
      </w:r>
      <w:r>
        <w:rPr>
          <w:sz w:val="21"/>
          <w:szCs w:val="21"/>
        </w:rPr>
        <w:t>。</w:t>
      </w:r>
    </w:p>
    <w:p>
      <w:pPr>
        <w:spacing w:line="253" w:lineRule="auto"/>
        <w:rPr>
          <w:rFonts w:ascii="Arial"/>
          <w:sz w:val="21"/>
        </w:rPr>
      </w:pPr>
    </w:p>
    <w:p>
      <w:pPr>
        <w:pStyle w:val="2"/>
        <w:spacing w:before="66" w:line="219" w:lineRule="auto"/>
        <w:ind w:left="1484"/>
        <w:rPr>
          <w:sz w:val="20"/>
          <w:szCs w:val="20"/>
        </w:rPr>
      </w:pPr>
      <w:r>
        <w:rPr>
          <w:sz w:val="21"/>
          <w:szCs w:val="21"/>
        </w:rPr>
        <w:t>2.</w:t>
      </w:r>
      <w:r>
        <w:rPr>
          <w:spacing w:val="-4"/>
          <w:sz w:val="20"/>
          <w:szCs w:val="20"/>
        </w:rPr>
        <w:t>请同步报送完整节目视频、伴奏、背景。</w:t>
      </w:r>
    </w:p>
    <w:p>
      <w:pPr>
        <w:spacing w:line="246" w:lineRule="auto"/>
        <w:rPr>
          <w:rFonts w:ascii="Arial"/>
          <w:sz w:val="21"/>
        </w:rPr>
      </w:pPr>
    </w:p>
    <w:p>
      <w:pPr>
        <w:pStyle w:val="2"/>
        <w:spacing w:before="65" w:line="219" w:lineRule="auto"/>
        <w:ind w:left="1495"/>
      </w:pPr>
      <w:r>
        <w:rPr>
          <w:sz w:val="21"/>
          <w:szCs w:val="21"/>
        </w:rPr>
        <w:t>3.</w:t>
      </w:r>
      <w:r>
        <w:rPr>
          <w:spacing w:val="-5"/>
          <w:sz w:val="20"/>
          <w:szCs w:val="20"/>
        </w:rPr>
        <w:t>此表格可根据内容进行调整。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center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eastAsia" w:ascii="仿宋" w:hAnsi="仿宋" w:eastAsia="仿宋" w:cs="仿宋"/>
          <w:spacing w:val="0"/>
          <w:position w:val="0"/>
          <w:sz w:val="32"/>
          <w:szCs w:val="32"/>
        </w:rPr>
      </w:pPr>
    </w:p>
    <w:sectPr>
      <w:pgSz w:w="16840" w:h="11910" w:orient="landscape"/>
      <w:pgMar w:top="1531" w:right="2098" w:bottom="1531" w:left="1984" w:header="850" w:footer="147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0231DC9"/>
    <w:rsid w:val="73DACCCB"/>
    <w:rsid w:val="760277B8"/>
    <w:rsid w:val="E7DF08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8"/>
      <w:szCs w:val="5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1927</Words>
  <Characters>1988</Characters>
  <TotalTime>1</TotalTime>
  <ScaleCrop>false</ScaleCrop>
  <LinksUpToDate>false</LinksUpToDate>
  <CharactersWithSpaces>2055</CharactersWithSpaces>
  <Application>WPS Office_11.8.2.10953_F1E327BC-269C-435d-A152-05C5408002CA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2026-08-22T00:42:00Z</dcterms:created>
  <dc:creator>bgs</dc:creator>
  <cp:lastModifiedBy>bgs</cp:lastModifiedBy>
  <dcterms:modified xsi:type="dcterms:W3CDTF">2026-08-21T14:53:45Z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2026-08-21T08:42:16Z</vt:filetime>
  </property>
  <property fmtid="{D5CDD505-2E9C-101B-9397-08002B2CF9AE}" pid="4" name="UsrData">
    <vt:lpwstr>6a879ee55753170020479cebwl</vt:lpwstr>
  </property>
  <property fmtid="{D5CDD505-2E9C-101B-9397-08002B2CF9AE}" pid="5" name="KSOProductBuildVer">
    <vt:lpwstr>2052-11.8.2.10953</vt:lpwstr>
  </property>
  <property fmtid="{D5CDD505-2E9C-101B-9397-08002B2CF9AE}" pid="6" name="KSOTemplateDocerSaveRecord">
    <vt:lpwstr>eyJoZGlkIjoiYWY4ZTE1MDczM2NkOGUxNGMwZWRkZTgwZTFhZjMxNTYiLCJ1c2VySWQiOiI2Njk2MzkxMzkifQ==</vt:lpwstr>
  </property>
  <property fmtid="{D5CDD505-2E9C-101B-9397-08002B2CF9AE}" pid="7" name="ICV">
    <vt:lpwstr>100DB60D282F49E595B8C0CCFEAF27F7_12</vt:lpwstr>
  </property>
</Properties>
</file>