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6478A">
      <w:pPr>
        <w:pStyle w:val="2"/>
        <w:keepNext w:val="0"/>
        <w:keepLines w:val="0"/>
        <w:widowControl/>
        <w:suppressLineNumbers w:val="0"/>
        <w:spacing w:before="0" w:beforeAutospacing="0" w:after="0" w:afterAutospacing="0"/>
        <w:ind w:left="0" w:right="0"/>
        <w:jc w:val="center"/>
        <w:rPr>
          <w:rFonts w:ascii="Calibri" w:hAnsi="Calibri" w:cs="Calibri"/>
          <w:sz w:val="21"/>
          <w:szCs w:val="21"/>
        </w:rPr>
      </w:pPr>
      <w:r>
        <w:rPr>
          <w:rFonts w:ascii="仿宋" w:hAnsi="仿宋" w:eastAsia="仿宋" w:cs="仿宋"/>
          <w:sz w:val="32"/>
          <w:szCs w:val="32"/>
        </w:rPr>
        <w:t> </w:t>
      </w:r>
    </w:p>
    <w:p w14:paraId="364F68E4">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default" w:ascii="Calibri" w:hAnsi="Calibri" w:cs="Calibri"/>
          <w:sz w:val="21"/>
          <w:szCs w:val="21"/>
        </w:rPr>
        <w:t> </w:t>
      </w:r>
    </w:p>
    <w:p w14:paraId="22E48121">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eastAsia" w:ascii="仿宋" w:hAnsi="仿宋" w:eastAsia="仿宋" w:cs="仿宋"/>
          <w:sz w:val="32"/>
          <w:szCs w:val="32"/>
        </w:rPr>
        <w:t>根据《中华人民共和国政府信息公开条例》及上级部门关于政府信息公开的要求，现向社会公布六安市霍邱县退役军人事务局2019年度政府信息公开工作年度报告。本报告主要由主要包括总体情况、行政机关主动公开政府信息情况、行政机关收到和处理政府信息公开申请情况、因政府信息公开工作被申请行政复议、提起行政诉讼情况、政府信息公开工作存在的主要问题及改进情况和其他需要报告的事项等部分组成。报告所列数据的统计期限自2019年1月1日至2019年12月31日如对本报告有任何疑问，请联系霍邱县退役军人事务局办公室，地址：霍邱县烈士陵园北100米，联系电话0564-6066609。</w:t>
      </w:r>
    </w:p>
    <w:p w14:paraId="3580CCD3">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ascii="黑体" w:hAnsi="宋体" w:eastAsia="黑体" w:cs="黑体"/>
          <w:sz w:val="32"/>
          <w:szCs w:val="32"/>
        </w:rPr>
        <w:t>一、</w:t>
      </w:r>
      <w:r>
        <w:rPr>
          <w:rFonts w:hint="eastAsia" w:ascii="黑体" w:hAnsi="宋体" w:eastAsia="黑体" w:cs="黑体"/>
          <w:sz w:val="32"/>
          <w:szCs w:val="32"/>
        </w:rPr>
        <w:t>总体情况</w:t>
      </w:r>
    </w:p>
    <w:p w14:paraId="6EA6AD38">
      <w:pPr>
        <w:pStyle w:val="2"/>
        <w:keepNext w:val="0"/>
        <w:keepLines w:val="0"/>
        <w:widowControl/>
        <w:suppressLineNumbers w:val="0"/>
        <w:spacing w:before="0" w:beforeAutospacing="0" w:after="0" w:afterAutospacing="0"/>
        <w:ind w:left="0" w:right="0"/>
        <w:jc w:val="both"/>
        <w:rPr>
          <w:rFonts w:hint="default" w:ascii="Calibri" w:hAnsi="Calibri" w:cs="Calibri"/>
          <w:sz w:val="21"/>
          <w:szCs w:val="21"/>
        </w:rPr>
      </w:pPr>
      <w:r>
        <w:rPr>
          <w:rFonts w:hint="eastAsia" w:ascii="仿宋" w:hAnsi="仿宋" w:eastAsia="仿宋" w:cs="仿宋"/>
          <w:sz w:val="32"/>
          <w:szCs w:val="32"/>
        </w:rPr>
        <w:t>     </w:t>
      </w:r>
      <w:r>
        <w:rPr>
          <w:rFonts w:ascii="楷体" w:hAnsi="楷体" w:eastAsia="楷体" w:cs="楷体"/>
          <w:sz w:val="32"/>
          <w:szCs w:val="32"/>
        </w:rPr>
        <w:t>（一）本单位主动公开政府信息的数量。</w:t>
      </w:r>
      <w:r>
        <w:rPr>
          <w:rFonts w:hint="eastAsia" w:ascii="仿宋" w:hAnsi="仿宋" w:eastAsia="仿宋" w:cs="仿宋"/>
          <w:sz w:val="32"/>
          <w:szCs w:val="32"/>
        </w:rPr>
        <w:t>在2019年度主动公开的34条政府信息中，机构领导、机构设置及人事信息类信息占16条，政策、规范性文件类信息占4条，规划计划报告信息1条，财务预决算、财政专项经费管理使用和“三公”经费类10条，其他主动公开类信息4条、政策解读稿件发布数2篇。</w:t>
      </w:r>
    </w:p>
    <w:p w14:paraId="41CDAF4C">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eastAsia" w:ascii="楷体" w:hAnsi="楷体" w:eastAsia="楷体" w:cs="楷体"/>
          <w:sz w:val="32"/>
          <w:szCs w:val="32"/>
        </w:rPr>
        <w:t>（二）政府信息依申请公开办理情况。</w:t>
      </w:r>
      <w:r>
        <w:rPr>
          <w:rFonts w:hint="eastAsia" w:ascii="仿宋" w:hAnsi="仿宋" w:eastAsia="仿宋" w:cs="仿宋"/>
          <w:sz w:val="32"/>
          <w:szCs w:val="32"/>
        </w:rPr>
        <w:t>2019年度未收到政府信息公开申请。</w:t>
      </w:r>
    </w:p>
    <w:p w14:paraId="2C847F4E">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eastAsia" w:ascii="楷体" w:hAnsi="楷体" w:eastAsia="楷体" w:cs="楷体"/>
          <w:sz w:val="32"/>
          <w:szCs w:val="32"/>
        </w:rPr>
        <w:t>（三）政府信息管理情况</w:t>
      </w:r>
      <w:r>
        <w:rPr>
          <w:rFonts w:hint="eastAsia" w:ascii="仿宋" w:hAnsi="仿宋" w:eastAsia="仿宋" w:cs="仿宋"/>
          <w:sz w:val="32"/>
          <w:szCs w:val="32"/>
        </w:rPr>
        <w:t>。规范信息发布流程，严把信息质量关口，由办公室主任审核、分管领导审定，重要信息由主要领导审签，做到逐级把关、层层负责。实行保密审查责任制，加强政府信息公开属性审核。明确专人负责网站信息发布管理和网站和网络安全管理。</w:t>
      </w:r>
    </w:p>
    <w:p w14:paraId="612B0233">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eastAsia" w:ascii="楷体" w:hAnsi="楷体" w:eastAsia="楷体" w:cs="楷体"/>
          <w:sz w:val="32"/>
          <w:szCs w:val="32"/>
        </w:rPr>
        <w:t>（三）政府信息公开平台建设情况。</w:t>
      </w:r>
      <w:r>
        <w:rPr>
          <w:rFonts w:hint="eastAsia" w:ascii="仿宋" w:hAnsi="仿宋" w:eastAsia="仿宋" w:cs="仿宋"/>
          <w:sz w:val="32"/>
          <w:szCs w:val="32"/>
        </w:rPr>
        <w:t>霍邱县退役军人事务局政务公开主要在霍邱县人民政府政务信息公开专栏进行全文电子化公开。2019年我局根据《关于做好政府信息主动公开目录调整工作的通知》（六政务公开办〔2019〕9号）的要求，在原有《政府信息主动公开基本目录》基础上，对照政府信息主动公开基本目录规范2019年版，编制了我局主动公开基本目录。</w:t>
      </w:r>
    </w:p>
    <w:p w14:paraId="2293DE05">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eastAsia" w:ascii="楷体" w:hAnsi="楷体" w:eastAsia="楷体" w:cs="楷体"/>
          <w:sz w:val="32"/>
          <w:szCs w:val="32"/>
        </w:rPr>
        <w:t>（四）监督保障机制</w:t>
      </w:r>
      <w:r>
        <w:rPr>
          <w:rFonts w:hint="eastAsia" w:ascii="仿宋" w:hAnsi="仿宋" w:eastAsia="仿宋" w:cs="仿宋"/>
          <w:sz w:val="32"/>
          <w:szCs w:val="32"/>
        </w:rPr>
        <w:t>。在上级信息公开工作管理部门的业务指导下，进一步健全完善县退役军人事务局信息公开工作机制，进一步修订完善主动公开的《霍邱县退役军人事务局信息公开指南》和《霍邱县退役军人事务局信息公开目录》。切实加强对信息公开工作的监督检查,确保各项准备工作和措施落实到位。加强对信息公开工作的督查指导,研究解决工作中出现的新情况和新问题。对于出现问题的方面,给予通报和追究责任,促进信息公开工作有序、有效开展。建立和完善政府信息发布协调与处理机制,保证行政机关发布的政府信息准确一致。</w:t>
      </w:r>
    </w:p>
    <w:p w14:paraId="7004FDC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sz w:val="21"/>
          <w:szCs w:val="21"/>
        </w:rPr>
      </w:pPr>
      <w:r>
        <w:rPr>
          <w:rFonts w:hint="eastAsia" w:ascii="黑体" w:hAnsi="宋体" w:eastAsia="黑体" w:cs="黑体"/>
          <w:sz w:val="32"/>
          <w:szCs w:val="32"/>
        </w:rPr>
        <w:t>二、主动公开政府信息情况</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1420"/>
        <w:gridCol w:w="2084"/>
        <w:gridCol w:w="2670"/>
        <w:gridCol w:w="2348"/>
      </w:tblGrid>
      <w:tr w14:paraId="44B619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22"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32D1D74">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第二十条第（一）项</w:t>
            </w:r>
          </w:p>
        </w:tc>
      </w:tr>
      <w:tr w14:paraId="3E4207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124A14F">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信息内容</w:t>
            </w:r>
          </w:p>
        </w:tc>
        <w:tc>
          <w:tcPr>
            <w:tcW w:w="208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FFCE17E">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本年度制作数量</w:t>
            </w:r>
          </w:p>
        </w:tc>
        <w:tc>
          <w:tcPr>
            <w:tcW w:w="267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9C5971C">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本年新公开数量</w:t>
            </w:r>
          </w:p>
        </w:tc>
        <w:tc>
          <w:tcPr>
            <w:tcW w:w="2348"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61610C7">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对外公开总数量</w:t>
            </w:r>
          </w:p>
        </w:tc>
      </w:tr>
      <w:tr w14:paraId="1A5803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1349885E">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行政法规、规章</w:t>
            </w:r>
          </w:p>
        </w:tc>
        <w:tc>
          <w:tcPr>
            <w:tcW w:w="208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DF5E86">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67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04F5B2D">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34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CA9C2D9">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r>
      <w:tr w14:paraId="74ED98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672617A">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规范性文件</w:t>
            </w:r>
          </w:p>
        </w:tc>
        <w:tc>
          <w:tcPr>
            <w:tcW w:w="208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04A458F">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67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EE34C68">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34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112C51">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2</w:t>
            </w:r>
          </w:p>
        </w:tc>
      </w:tr>
      <w:tr w14:paraId="675D1B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22"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A66CE33">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第二十条第（五）项</w:t>
            </w:r>
          </w:p>
        </w:tc>
      </w:tr>
      <w:tr w14:paraId="18C67B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4067590">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信息内容</w:t>
            </w:r>
          </w:p>
        </w:tc>
        <w:tc>
          <w:tcPr>
            <w:tcW w:w="208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92A5C09">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上一年项目数量</w:t>
            </w:r>
          </w:p>
        </w:tc>
        <w:tc>
          <w:tcPr>
            <w:tcW w:w="267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765D339">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本年增/减</w:t>
            </w:r>
          </w:p>
        </w:tc>
        <w:tc>
          <w:tcPr>
            <w:tcW w:w="2348"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B37FA5E">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处理决定数量</w:t>
            </w:r>
          </w:p>
        </w:tc>
      </w:tr>
      <w:tr w14:paraId="531A7A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298" w:hRule="atLeast"/>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2A19B2D4">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行政许可</w:t>
            </w:r>
          </w:p>
        </w:tc>
        <w:tc>
          <w:tcPr>
            <w:tcW w:w="208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60A9885">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67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9D5F128">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34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E85F4B6">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r>
      <w:tr w14:paraId="4080D1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2396" w:hRule="atLeast"/>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2CC4E35">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其他对外管理服务事项</w:t>
            </w:r>
          </w:p>
        </w:tc>
        <w:tc>
          <w:tcPr>
            <w:tcW w:w="208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2F2ADBF">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13</w:t>
            </w:r>
          </w:p>
        </w:tc>
        <w:tc>
          <w:tcPr>
            <w:tcW w:w="267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1F8D6C9">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34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5DBAE5">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1528</w:t>
            </w:r>
          </w:p>
        </w:tc>
      </w:tr>
      <w:tr w14:paraId="6AEAEB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22"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1FBC421">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第二十条第（六）项</w:t>
            </w:r>
          </w:p>
        </w:tc>
      </w:tr>
      <w:tr w14:paraId="10756F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80E631B">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信息内容</w:t>
            </w:r>
          </w:p>
        </w:tc>
        <w:tc>
          <w:tcPr>
            <w:tcW w:w="208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0110578">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上一年项目数量</w:t>
            </w:r>
          </w:p>
        </w:tc>
        <w:tc>
          <w:tcPr>
            <w:tcW w:w="267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7686B13">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本年增/减</w:t>
            </w:r>
          </w:p>
        </w:tc>
        <w:tc>
          <w:tcPr>
            <w:tcW w:w="2348"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3CF7BAE">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处理决定数量</w:t>
            </w:r>
          </w:p>
        </w:tc>
      </w:tr>
      <w:tr w14:paraId="7EF00F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2BC279C4">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行政处罚</w:t>
            </w:r>
          </w:p>
        </w:tc>
        <w:tc>
          <w:tcPr>
            <w:tcW w:w="208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00B9A1">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67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C5ABE59">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34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6AD0A89">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r>
      <w:tr w14:paraId="2B40BC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CF7D231">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行政强制</w:t>
            </w:r>
          </w:p>
        </w:tc>
        <w:tc>
          <w:tcPr>
            <w:tcW w:w="208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9116EA">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67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238916F">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34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75DC1CB">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r>
      <w:tr w14:paraId="25249F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460E206">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行政处罚决定</w:t>
            </w:r>
          </w:p>
        </w:tc>
        <w:tc>
          <w:tcPr>
            <w:tcW w:w="208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15F2E02">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67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F424DCE">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234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0DA7175">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r>
      <w:tr w14:paraId="22A6F9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8522"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6404ABE6">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第二十条第（八）项</w:t>
            </w:r>
          </w:p>
        </w:tc>
      </w:tr>
      <w:tr w14:paraId="40D6AF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5DAF79E">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信息内容</w:t>
            </w:r>
          </w:p>
        </w:tc>
        <w:tc>
          <w:tcPr>
            <w:tcW w:w="208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1E83238">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上一年项目数量</w:t>
            </w:r>
          </w:p>
        </w:tc>
        <w:tc>
          <w:tcPr>
            <w:tcW w:w="5018" w:type="dxa"/>
            <w:gridSpan w:val="2"/>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D04BFF0">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本年增/减</w:t>
            </w:r>
          </w:p>
          <w:p w14:paraId="4AB30077">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default" w:ascii="Calibri" w:hAnsi="Calibri" w:cs="Calibri"/>
                <w:sz w:val="21"/>
                <w:szCs w:val="21"/>
              </w:rPr>
              <w:t> </w:t>
            </w:r>
          </w:p>
        </w:tc>
      </w:tr>
      <w:tr w14:paraId="49C73E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1427" w:hRule="atLeast"/>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1C9395A7">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行政事业性收费</w:t>
            </w:r>
          </w:p>
        </w:tc>
        <w:tc>
          <w:tcPr>
            <w:tcW w:w="208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6F5D3A3">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5018"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D7A628">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r>
      <w:tr w14:paraId="1404A2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22" w:type="dxa"/>
            <w:gridSpan w:val="4"/>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2B61CA9">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第二十条第（九）项</w:t>
            </w:r>
          </w:p>
        </w:tc>
      </w:tr>
      <w:tr w14:paraId="15B00B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077CF13">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信息内容</w:t>
            </w:r>
          </w:p>
        </w:tc>
        <w:tc>
          <w:tcPr>
            <w:tcW w:w="208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20954C5">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采购项目数量</w:t>
            </w:r>
          </w:p>
        </w:tc>
        <w:tc>
          <w:tcPr>
            <w:tcW w:w="5018" w:type="dxa"/>
            <w:gridSpan w:val="2"/>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D4D8E7C">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采购总金额</w:t>
            </w:r>
          </w:p>
        </w:tc>
      </w:tr>
      <w:tr w14:paraId="26C698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1420"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0A4CC81">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政府集中采购</w:t>
            </w:r>
          </w:p>
        </w:tc>
        <w:tc>
          <w:tcPr>
            <w:tcW w:w="208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01EED5A">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c>
          <w:tcPr>
            <w:tcW w:w="5018"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ED64674">
            <w:pPr>
              <w:pStyle w:val="2"/>
              <w:keepNext w:val="0"/>
              <w:keepLines w:val="0"/>
              <w:widowControl/>
              <w:suppressLineNumbers w:val="0"/>
              <w:spacing w:before="0" w:beforeAutospacing="0" w:after="0" w:afterAutospacing="0"/>
              <w:ind w:left="0" w:right="0"/>
              <w:jc w:val="center"/>
              <w:rPr>
                <w:rFonts w:hint="default" w:ascii="Calibri" w:hAnsi="Calibri" w:cs="Calibri"/>
                <w:sz w:val="21"/>
                <w:szCs w:val="21"/>
              </w:rPr>
            </w:pPr>
            <w:r>
              <w:rPr>
                <w:rFonts w:hint="eastAsia" w:ascii="仿宋" w:hAnsi="仿宋" w:eastAsia="仿宋" w:cs="仿宋"/>
                <w:sz w:val="32"/>
                <w:szCs w:val="32"/>
              </w:rPr>
              <w:t>0</w:t>
            </w:r>
          </w:p>
        </w:tc>
      </w:tr>
    </w:tbl>
    <w:p w14:paraId="4EA5B067">
      <w:pPr>
        <w:pStyle w:val="2"/>
        <w:keepNext w:val="0"/>
        <w:keepLines w:val="0"/>
        <w:widowControl/>
        <w:suppressLineNumbers w:val="0"/>
        <w:spacing w:before="0" w:beforeAutospacing="0" w:after="0" w:afterAutospacing="0"/>
        <w:ind w:left="0" w:right="0"/>
        <w:jc w:val="both"/>
        <w:rPr>
          <w:rFonts w:hint="default" w:ascii="Calibri" w:hAnsi="Calibri" w:cs="Calibri"/>
          <w:sz w:val="21"/>
          <w:szCs w:val="21"/>
        </w:rPr>
      </w:pPr>
      <w:r>
        <w:rPr>
          <w:rFonts w:hint="default" w:ascii="Calibri" w:hAnsi="Calibri" w:cs="Calibri"/>
          <w:sz w:val="21"/>
          <w:szCs w:val="21"/>
        </w:rPr>
        <w:t> </w:t>
      </w:r>
    </w:p>
    <w:p w14:paraId="642F6164">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eastAsia" w:ascii="黑体" w:hAnsi="宋体" w:eastAsia="黑体" w:cs="黑体"/>
          <w:sz w:val="32"/>
          <w:szCs w:val="32"/>
        </w:rPr>
        <w:t>三、收到和处理政府信息公开申请情况</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660"/>
        <w:gridCol w:w="980"/>
        <w:gridCol w:w="1807"/>
        <w:gridCol w:w="719"/>
        <w:gridCol w:w="672"/>
        <w:gridCol w:w="672"/>
        <w:gridCol w:w="719"/>
        <w:gridCol w:w="847"/>
        <w:gridCol w:w="637"/>
        <w:gridCol w:w="613"/>
      </w:tblGrid>
      <w:tr w14:paraId="6085D6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3465" w:type="dxa"/>
            <w:gridSpan w:val="3"/>
            <w:vMerge w:val="restart"/>
            <w:tcBorders>
              <w:top w:val="outset" w:color="auto" w:sz="8" w:space="0"/>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61C64C2E">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（本列数据的勾稽关系为：第一项加第二项之和，等于第三项加第四项之和）</w:t>
            </w:r>
          </w:p>
        </w:tc>
        <w:tc>
          <w:tcPr>
            <w:tcW w:w="5580" w:type="dxa"/>
            <w:gridSpan w:val="7"/>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54B53588">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申请人情况</w:t>
            </w:r>
          </w:p>
        </w:tc>
      </w:tr>
      <w:tr w14:paraId="64FD76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3465" w:type="dxa"/>
            <w:gridSpan w:val="3"/>
            <w:vMerge w:val="continue"/>
            <w:tcBorders>
              <w:top w:val="outset" w:color="auto" w:sz="8" w:space="0"/>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5F296F3A">
            <w:pPr>
              <w:rPr>
                <w:rFonts w:hint="default" w:ascii="Times New Roman" w:hAnsi="Times New Roman" w:cs="Times New Roman"/>
                <w:sz w:val="20"/>
                <w:szCs w:val="20"/>
              </w:rPr>
            </w:pPr>
          </w:p>
        </w:tc>
        <w:tc>
          <w:tcPr>
            <w:tcW w:w="825" w:type="dxa"/>
            <w:vMerge w:val="restart"/>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6FA90D8">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自然人</w:t>
            </w:r>
          </w:p>
        </w:tc>
        <w:tc>
          <w:tcPr>
            <w:tcW w:w="4065" w:type="dxa"/>
            <w:gridSpan w:val="5"/>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763C6AA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法人或其他组织</w:t>
            </w:r>
          </w:p>
        </w:tc>
        <w:tc>
          <w:tcPr>
            <w:tcW w:w="690" w:type="dxa"/>
            <w:vMerge w:val="restart"/>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10BD30CB">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总计</w:t>
            </w:r>
          </w:p>
        </w:tc>
      </w:tr>
      <w:tr w14:paraId="3E167C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90" w:hRule="atLeast"/>
          <w:jc w:val="center"/>
        </w:trPr>
        <w:tc>
          <w:tcPr>
            <w:tcW w:w="3465" w:type="dxa"/>
            <w:gridSpan w:val="3"/>
            <w:vMerge w:val="continue"/>
            <w:tcBorders>
              <w:top w:val="outset" w:color="auto" w:sz="8" w:space="0"/>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1856E0EE">
            <w:pPr>
              <w:rPr>
                <w:rFonts w:hint="default" w:ascii="Times New Roman" w:hAnsi="Times New Roman" w:cs="Times New Roman"/>
                <w:sz w:val="20"/>
                <w:szCs w:val="20"/>
              </w:rPr>
            </w:pPr>
          </w:p>
        </w:tc>
        <w:tc>
          <w:tcPr>
            <w:tcW w:w="82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E3F8E06">
            <w:pPr>
              <w:rPr>
                <w:rFonts w:hint="default" w:ascii="Times New Roman" w:hAnsi="Times New Roman" w:cs="Times New Roman"/>
                <w:sz w:val="20"/>
                <w:szCs w:val="20"/>
              </w:rPr>
            </w:pP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3183F72">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商业企业</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674CF08">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科研机构</w:t>
            </w:r>
          </w:p>
        </w:tc>
        <w:tc>
          <w:tcPr>
            <w:tcW w:w="825"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39401274">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社会公益组织</w:t>
            </w:r>
          </w:p>
        </w:tc>
        <w:tc>
          <w:tcPr>
            <w:tcW w:w="990"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1D399C67">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法律服务机构</w:t>
            </w:r>
          </w:p>
        </w:tc>
        <w:tc>
          <w:tcPr>
            <w:tcW w:w="720"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126C541C">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其他</w:t>
            </w:r>
          </w:p>
        </w:tc>
        <w:tc>
          <w:tcPr>
            <w:tcW w:w="690" w:type="dxa"/>
            <w:vMerge w:val="continue"/>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507187E0">
            <w:pPr>
              <w:rPr>
                <w:rFonts w:hint="default" w:ascii="Times New Roman" w:hAnsi="Times New Roman" w:cs="Times New Roman"/>
                <w:sz w:val="20"/>
                <w:szCs w:val="20"/>
              </w:rPr>
            </w:pPr>
          </w:p>
        </w:tc>
      </w:tr>
      <w:tr w14:paraId="1603BB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008" w:hRule="atLeast"/>
          <w:jc w:val="center"/>
        </w:trPr>
        <w:tc>
          <w:tcPr>
            <w:tcW w:w="3465" w:type="dxa"/>
            <w:gridSpan w:val="3"/>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0933F4E3">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一、本年新收政府信息公开申请数量</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81CE7D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898AC90">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537BA8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713553C">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B533E98">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C4425FA">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203097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49F8CC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3465" w:type="dxa"/>
            <w:gridSpan w:val="3"/>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62CA0D60">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二、上年结转政府信息公开申请数量</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5B84160">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8284D5B">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85E869E">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DDEABB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219BEB2">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48FF8E7">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0F645D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154B33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480" w:type="dxa"/>
            <w:vMerge w:val="restart"/>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6A76DD35">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三、本年度办理结果</w:t>
            </w:r>
          </w:p>
        </w:tc>
        <w:tc>
          <w:tcPr>
            <w:tcW w:w="2985" w:type="dxa"/>
            <w:gridSpan w:val="2"/>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E845DA4">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（一）予以公开</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9A4BB37">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C142D35">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777CE57">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17AC41A">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76F5F7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76C3F57">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3F000414">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131175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4FC95087">
            <w:pPr>
              <w:rPr>
                <w:rFonts w:hint="default" w:ascii="Times New Roman" w:hAnsi="Times New Roman" w:cs="Times New Roman"/>
                <w:sz w:val="20"/>
                <w:szCs w:val="20"/>
              </w:rPr>
            </w:pPr>
          </w:p>
        </w:tc>
        <w:tc>
          <w:tcPr>
            <w:tcW w:w="2985" w:type="dxa"/>
            <w:gridSpan w:val="2"/>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DBA44E0">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（二）部分公开（区分处理的，只计这一情形，不计其他情形）</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8E918B8">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F10C2A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C14B75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2CB7FC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63F9A4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4A3E90B">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A8C770B">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294D06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15FD819B">
            <w:pPr>
              <w:rPr>
                <w:rFonts w:hint="default" w:ascii="Times New Roman" w:hAnsi="Times New Roman" w:cs="Times New Roman"/>
                <w:sz w:val="20"/>
                <w:szCs w:val="20"/>
              </w:rPr>
            </w:pPr>
          </w:p>
        </w:tc>
        <w:tc>
          <w:tcPr>
            <w:tcW w:w="855" w:type="dxa"/>
            <w:vMerge w:val="restart"/>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A066795">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（三）不予公开</w:t>
            </w: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E982626">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1.属于国家秘密</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C6E51C2">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111B20A">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A09A3AC">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B68FB54">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6C17703">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EA8AE3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131CBF8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0C7E24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0A0D8178">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E362C19">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E85D5C0">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2.其他法律行政法规禁止公开</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A9C71F3">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7DF5832">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0C2DE2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A45253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3ABEE4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C3ABF70">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0D4E36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337E33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6F66F8F1">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A4B8991">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990F083">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3.危及“三安全一稳定”</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3ED4DEA">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2492ED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D22B63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9C3533E">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8F6CF04">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89D209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A9C460B">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1C0381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843" w:hRule="atLeast"/>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19A0D2FE">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95CDC2B">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DD2C091">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4.保护第三方合法权益</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C24228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A55ECC0">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97BC332">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10EA67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C7CA7BE">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99A7D8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4389DEA">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324412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422" w:hRule="atLeast"/>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2B466D24">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23912FC">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7DB153D">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5.属于三类内部事务信息</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C9F6FD4">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B94803E">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821D35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D7621E2">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797218E">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48972F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6DBC9B3">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33E98F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73870D3D">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F67E8FA">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3F85FBA">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6.属于四类过程性信息</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FC29095">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6414B4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5ABA131">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2270BE5">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7366E0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26CEC03">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0A499E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2EFD3E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948" w:hRule="atLeast"/>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770F7B00">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5209F08">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C60C4CD">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7.属于行政执法案卷</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B15958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5A88117">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8F1C37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555CEEE">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A1D08A0">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194F447">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92A74E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689951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410E3544">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21C4A1E">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128CDC3">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8.属于行政查询事项</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D4FD02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CB9B07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BFE0F8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08BADA7">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B393C3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F36D49A">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3D96F3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653408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66A04FAE">
            <w:pPr>
              <w:rPr>
                <w:rFonts w:hint="default" w:ascii="Times New Roman" w:hAnsi="Times New Roman" w:cs="Times New Roman"/>
                <w:sz w:val="20"/>
                <w:szCs w:val="20"/>
              </w:rPr>
            </w:pPr>
          </w:p>
        </w:tc>
        <w:tc>
          <w:tcPr>
            <w:tcW w:w="855" w:type="dxa"/>
            <w:vMerge w:val="restart"/>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78D2C1A">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（四）无法提供</w:t>
            </w: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7A3257F">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1.本机关不掌握相关政府信息</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5A72B7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C156791">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58652F7">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4A3B09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176D72C">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51EDFC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9C5D8C8">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724D7F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6145E841">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A7F8586">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D429935">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2.没有现成信息需要另行制作</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4F951CC">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007BB0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5CFC854">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75209A3">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AC99C7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36F74F5">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CA787BA">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4F2381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464786A5">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F3749E7">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49FEBDF">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3.补正后申请内容仍不明确</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D98982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E7ECFD0">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BDE847E">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4B3DB45">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B9C63D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EB677D4">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8B10DE5">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6CD3ED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461CAE9C">
            <w:pPr>
              <w:rPr>
                <w:rFonts w:hint="default" w:ascii="Times New Roman" w:hAnsi="Times New Roman" w:cs="Times New Roman"/>
                <w:sz w:val="20"/>
                <w:szCs w:val="20"/>
              </w:rPr>
            </w:pPr>
          </w:p>
        </w:tc>
        <w:tc>
          <w:tcPr>
            <w:tcW w:w="855" w:type="dxa"/>
            <w:vMerge w:val="restart"/>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9B812E8">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（五）不予处理</w:t>
            </w: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C03C592">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1.信访举报投诉类申请</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CD92337">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22DEDF1">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517C20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16F84E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FD2B53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168A86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31147D0">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4F8BE2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0AFA46AD">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3DA9A7C">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B688DD3">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2.重复申请</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F1A8BC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4EF6ECA">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4AA2BF0">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DAF3534">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4E867C4">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CB4A681">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A4B4793">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387F56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0FCF9EC9">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47C250F">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F1809F8">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3.要求提供公开出版物</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745742C">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617E7A0">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A3F580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C703932">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0B97FB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A23C95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0CA04B8">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119E11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38ED07BE">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1B1602B">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99C413B">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4.无正当理由大量反复申请</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4CC05C2">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FBD2C28">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BA92F94">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A157EE3">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0FDDF24">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64D2BAC">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0592DD7">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612DC5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3B8C40D0">
            <w:pPr>
              <w:rPr>
                <w:rFonts w:hint="default" w:ascii="Times New Roman" w:hAnsi="Times New Roman" w:cs="Times New Roman"/>
                <w:sz w:val="20"/>
                <w:szCs w:val="20"/>
              </w:rPr>
            </w:pPr>
          </w:p>
        </w:tc>
        <w:tc>
          <w:tcPr>
            <w:tcW w:w="855"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25214BE">
            <w:pPr>
              <w:rPr>
                <w:rFonts w:hint="default" w:ascii="Times New Roman" w:hAnsi="Times New Roman" w:cs="Times New Roman"/>
                <w:sz w:val="20"/>
                <w:szCs w:val="20"/>
              </w:rPr>
            </w:pPr>
          </w:p>
        </w:tc>
        <w:tc>
          <w:tcPr>
            <w:tcW w:w="213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8E08331">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5.要求行政机关确认或重新出具已获取信息</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6A2F31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D475AB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527739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15B26E7">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ABC5DD8">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B2A41A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D230F38">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0A150F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5B5C2D10">
            <w:pPr>
              <w:rPr>
                <w:rFonts w:hint="default" w:ascii="Times New Roman" w:hAnsi="Times New Roman" w:cs="Times New Roman"/>
                <w:sz w:val="20"/>
                <w:szCs w:val="20"/>
              </w:rPr>
            </w:pPr>
          </w:p>
        </w:tc>
        <w:tc>
          <w:tcPr>
            <w:tcW w:w="2985" w:type="dxa"/>
            <w:gridSpan w:val="2"/>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43E6318">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（六）其他处理</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36823B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EED6723">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250BFBB">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DBA373A">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7C8E34A">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41C89E2">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61923F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5A2C4D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480"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0B30B494">
            <w:pPr>
              <w:rPr>
                <w:rFonts w:hint="default" w:ascii="Times New Roman" w:hAnsi="Times New Roman" w:cs="Times New Roman"/>
                <w:sz w:val="20"/>
                <w:szCs w:val="20"/>
              </w:rPr>
            </w:pPr>
          </w:p>
        </w:tc>
        <w:tc>
          <w:tcPr>
            <w:tcW w:w="2985" w:type="dxa"/>
            <w:gridSpan w:val="2"/>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716F68F">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（七）总计</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701EA0B">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7BBB6E42">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1B7AEB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88F3D4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25DB3F0">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B94B561">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D8A2F51">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r w14:paraId="55ECC0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3465" w:type="dxa"/>
            <w:gridSpan w:val="3"/>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27AAF950">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四、结转下年度继续办理</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6A274EC">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BD34D51">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6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9096CFF">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8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6A7322C">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9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BE7533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894FC78">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3D1C22B9">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bl>
    <w:p w14:paraId="49D1019A">
      <w:pPr>
        <w:pStyle w:val="2"/>
        <w:keepNext w:val="0"/>
        <w:keepLines w:val="0"/>
        <w:widowControl/>
        <w:suppressLineNumbers w:val="0"/>
        <w:spacing w:before="0" w:beforeAutospacing="0" w:after="0" w:afterAutospacing="0"/>
        <w:ind w:left="0" w:right="0"/>
        <w:jc w:val="left"/>
        <w:rPr>
          <w:rFonts w:hint="default" w:ascii="Calibri" w:hAnsi="Calibri" w:cs="Calibri"/>
          <w:sz w:val="21"/>
          <w:szCs w:val="21"/>
        </w:rPr>
      </w:pPr>
      <w:r>
        <w:rPr>
          <w:rFonts w:hint="default" w:ascii="Calibri" w:hAnsi="Calibri" w:cs="Calibri"/>
          <w:sz w:val="21"/>
          <w:szCs w:val="21"/>
        </w:rPr>
        <w:t> </w:t>
      </w:r>
    </w:p>
    <w:p w14:paraId="4C1D88EC">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eastAsia" w:ascii="黑体" w:hAnsi="宋体" w:eastAsia="黑体" w:cs="黑体"/>
          <w:sz w:val="32"/>
          <w:szCs w:val="32"/>
        </w:rPr>
        <w:t>四、因政府信息公开工作被申请行政复议、行政诉讼情况 </w:t>
      </w:r>
    </w:p>
    <w:tbl>
      <w:tblPr>
        <w:tblW w:w="903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656"/>
        <w:gridCol w:w="546"/>
        <w:gridCol w:w="552"/>
        <w:gridCol w:w="552"/>
        <w:gridCol w:w="429"/>
        <w:gridCol w:w="595"/>
        <w:gridCol w:w="690"/>
        <w:gridCol w:w="720"/>
        <w:gridCol w:w="690"/>
        <w:gridCol w:w="375"/>
        <w:gridCol w:w="705"/>
        <w:gridCol w:w="690"/>
        <w:gridCol w:w="690"/>
        <w:gridCol w:w="720"/>
        <w:gridCol w:w="425"/>
      </w:tblGrid>
      <w:tr w14:paraId="3AFC9F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2735" w:type="dxa"/>
            <w:gridSpan w:val="5"/>
            <w:tcBorders>
              <w:top w:val="outset" w:color="auto" w:sz="8" w:space="0"/>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22DE4783">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行政复议</w:t>
            </w:r>
          </w:p>
        </w:tc>
        <w:tc>
          <w:tcPr>
            <w:tcW w:w="6300" w:type="dxa"/>
            <w:gridSpan w:val="10"/>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5525ACA3">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行政诉讼</w:t>
            </w:r>
          </w:p>
        </w:tc>
      </w:tr>
      <w:tr w14:paraId="0021A9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656" w:type="dxa"/>
            <w:vMerge w:val="restart"/>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3A6781FC">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结果维持</w:t>
            </w:r>
          </w:p>
        </w:tc>
        <w:tc>
          <w:tcPr>
            <w:tcW w:w="546" w:type="dxa"/>
            <w:vMerge w:val="restart"/>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54D106F">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结果纠正</w:t>
            </w:r>
          </w:p>
        </w:tc>
        <w:tc>
          <w:tcPr>
            <w:tcW w:w="552" w:type="dxa"/>
            <w:vMerge w:val="restart"/>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4D2BC177">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其他结果</w:t>
            </w:r>
          </w:p>
        </w:tc>
        <w:tc>
          <w:tcPr>
            <w:tcW w:w="552" w:type="dxa"/>
            <w:vMerge w:val="restart"/>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1C56C0B0">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尚未审结</w:t>
            </w:r>
          </w:p>
        </w:tc>
        <w:tc>
          <w:tcPr>
            <w:tcW w:w="429" w:type="dxa"/>
            <w:vMerge w:val="restart"/>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3D512F13">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总计</w:t>
            </w:r>
          </w:p>
        </w:tc>
        <w:tc>
          <w:tcPr>
            <w:tcW w:w="3070" w:type="dxa"/>
            <w:gridSpan w:val="5"/>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1AEAA445">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未经复议直接起诉</w:t>
            </w:r>
          </w:p>
        </w:tc>
        <w:tc>
          <w:tcPr>
            <w:tcW w:w="3230" w:type="dxa"/>
            <w:gridSpan w:val="5"/>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47E2CED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复议后起诉</w:t>
            </w:r>
          </w:p>
        </w:tc>
      </w:tr>
      <w:tr w14:paraId="7BEAFE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656" w:type="dxa"/>
            <w:vMerge w:val="continue"/>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1B2823ED">
            <w:pPr>
              <w:rPr>
                <w:rFonts w:hint="default" w:ascii="Times New Roman" w:hAnsi="Times New Roman" w:cs="Times New Roman"/>
                <w:sz w:val="20"/>
                <w:szCs w:val="20"/>
              </w:rPr>
            </w:pPr>
          </w:p>
        </w:tc>
        <w:tc>
          <w:tcPr>
            <w:tcW w:w="546" w:type="dxa"/>
            <w:vMerge w:val="continue"/>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E4C12AB">
            <w:pPr>
              <w:rPr>
                <w:rFonts w:hint="default" w:ascii="Times New Roman" w:hAnsi="Times New Roman" w:cs="Times New Roman"/>
                <w:sz w:val="20"/>
                <w:szCs w:val="20"/>
              </w:rPr>
            </w:pPr>
          </w:p>
        </w:tc>
        <w:tc>
          <w:tcPr>
            <w:tcW w:w="552" w:type="dxa"/>
            <w:vMerge w:val="continue"/>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13FBCE52">
            <w:pPr>
              <w:rPr>
                <w:rFonts w:hint="default" w:ascii="Times New Roman" w:hAnsi="Times New Roman" w:cs="Times New Roman"/>
                <w:sz w:val="20"/>
                <w:szCs w:val="20"/>
              </w:rPr>
            </w:pPr>
          </w:p>
        </w:tc>
        <w:tc>
          <w:tcPr>
            <w:tcW w:w="552" w:type="dxa"/>
            <w:vMerge w:val="continue"/>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518104D3">
            <w:pPr>
              <w:rPr>
                <w:rFonts w:hint="default" w:ascii="Times New Roman" w:hAnsi="Times New Roman" w:cs="Times New Roman"/>
                <w:sz w:val="20"/>
                <w:szCs w:val="20"/>
              </w:rPr>
            </w:pPr>
          </w:p>
        </w:tc>
        <w:tc>
          <w:tcPr>
            <w:tcW w:w="429" w:type="dxa"/>
            <w:vMerge w:val="continue"/>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79D26023">
            <w:pPr>
              <w:rPr>
                <w:rFonts w:hint="default" w:ascii="Times New Roman" w:hAnsi="Times New Roman" w:cs="Times New Roman"/>
                <w:sz w:val="20"/>
                <w:szCs w:val="20"/>
              </w:rPr>
            </w:pPr>
          </w:p>
        </w:tc>
        <w:tc>
          <w:tcPr>
            <w:tcW w:w="59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62EB6A7">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结果维持</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590AEF80">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结果纠正</w:t>
            </w:r>
          </w:p>
        </w:tc>
        <w:tc>
          <w:tcPr>
            <w:tcW w:w="720"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394ABA54">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其他结果</w:t>
            </w:r>
          </w:p>
        </w:tc>
        <w:tc>
          <w:tcPr>
            <w:tcW w:w="690"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44069420">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尚未审结</w:t>
            </w:r>
          </w:p>
        </w:tc>
        <w:tc>
          <w:tcPr>
            <w:tcW w:w="375"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2E4EFF35">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总计</w:t>
            </w:r>
          </w:p>
        </w:tc>
        <w:tc>
          <w:tcPr>
            <w:tcW w:w="705"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51EFBC95">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结果维持</w:t>
            </w:r>
          </w:p>
        </w:tc>
        <w:tc>
          <w:tcPr>
            <w:tcW w:w="690"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1DCB90E0">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结果纠正</w:t>
            </w:r>
          </w:p>
        </w:tc>
        <w:tc>
          <w:tcPr>
            <w:tcW w:w="690"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19584510">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其他结果</w:t>
            </w:r>
          </w:p>
        </w:tc>
        <w:tc>
          <w:tcPr>
            <w:tcW w:w="720"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268CCC86">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尚未审结</w:t>
            </w:r>
          </w:p>
        </w:tc>
        <w:tc>
          <w:tcPr>
            <w:tcW w:w="425" w:type="dxa"/>
            <w:tcBorders>
              <w:top w:val="outset" w:color="auto" w:sz="8" w:space="0"/>
              <w:left w:val="nil"/>
              <w:bottom w:val="outset" w:color="auto" w:sz="8" w:space="0"/>
              <w:right w:val="outset" w:color="auto" w:sz="8" w:space="0"/>
            </w:tcBorders>
            <w:shd w:val="clear" w:color="auto" w:fill="FFFFFF"/>
            <w:tcMar>
              <w:top w:w="0" w:type="dxa"/>
              <w:left w:w="0" w:type="dxa"/>
              <w:bottom w:w="0" w:type="dxa"/>
              <w:right w:w="0" w:type="dxa"/>
            </w:tcMar>
            <w:vAlign w:val="center"/>
          </w:tcPr>
          <w:p w14:paraId="3E956554">
            <w:pPr>
              <w:pStyle w:val="2"/>
              <w:keepNext w:val="0"/>
              <w:keepLines w:val="0"/>
              <w:widowControl/>
              <w:suppressLineNumbers w:val="0"/>
              <w:spacing w:before="0" w:beforeAutospacing="0" w:after="0" w:afterAutospacing="0"/>
              <w:ind w:left="0" w:right="0"/>
              <w:jc w:val="left"/>
              <w:rPr>
                <w:rFonts w:hint="default" w:ascii="Calibri" w:hAnsi="Calibri" w:cs="Calibri"/>
                <w:sz w:val="24"/>
                <w:szCs w:val="24"/>
              </w:rPr>
            </w:pPr>
            <w:r>
              <w:rPr>
                <w:rFonts w:hint="eastAsia" w:ascii="仿宋" w:hAnsi="仿宋" w:eastAsia="仿宋" w:cs="仿宋"/>
                <w:i w:val="0"/>
                <w:iCs w:val="0"/>
                <w:caps w:val="0"/>
                <w:color w:val="333333"/>
                <w:spacing w:val="0"/>
                <w:sz w:val="32"/>
                <w:szCs w:val="32"/>
              </w:rPr>
              <w:t>总计</w:t>
            </w:r>
          </w:p>
        </w:tc>
      </w:tr>
      <w:tr w14:paraId="5F165F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656" w:type="dxa"/>
            <w:tcBorders>
              <w:top w:val="nil"/>
              <w:left w:val="outset" w:color="auto" w:sz="8" w:space="0"/>
              <w:bottom w:val="outset" w:color="auto" w:sz="8" w:space="0"/>
              <w:right w:val="outset" w:color="auto" w:sz="8" w:space="0"/>
            </w:tcBorders>
            <w:shd w:val="clear" w:color="auto" w:fill="FFFFFF"/>
            <w:tcMar>
              <w:top w:w="0" w:type="dxa"/>
              <w:left w:w="0" w:type="dxa"/>
              <w:bottom w:w="0" w:type="dxa"/>
              <w:right w:w="0" w:type="dxa"/>
            </w:tcMar>
            <w:vAlign w:val="center"/>
          </w:tcPr>
          <w:p w14:paraId="2C2E97F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546"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9FBFEE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552"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6E585E7">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552"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C565054">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429"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F6C9B4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59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F97DE5E">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154995B4">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CA6A4AD">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46A0D32A">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37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9623756">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0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2F3EE13">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241D272E">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69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4D9040E">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720"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06D9FE2A">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c>
          <w:tcPr>
            <w:tcW w:w="425" w:type="dxa"/>
            <w:tcBorders>
              <w:top w:val="nil"/>
              <w:left w:val="nil"/>
              <w:bottom w:val="outset" w:color="auto" w:sz="8" w:space="0"/>
              <w:right w:val="outset" w:color="auto" w:sz="8" w:space="0"/>
            </w:tcBorders>
            <w:shd w:val="clear" w:color="auto" w:fill="FFFFFF"/>
            <w:tcMar>
              <w:top w:w="0" w:type="dxa"/>
              <w:left w:w="0" w:type="dxa"/>
              <w:bottom w:w="0" w:type="dxa"/>
              <w:right w:w="0" w:type="dxa"/>
            </w:tcMar>
            <w:vAlign w:val="center"/>
          </w:tcPr>
          <w:p w14:paraId="6B623ADB">
            <w:pPr>
              <w:pStyle w:val="2"/>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eastAsia" w:ascii="仿宋" w:hAnsi="仿宋" w:eastAsia="仿宋" w:cs="仿宋"/>
                <w:i w:val="0"/>
                <w:iCs w:val="0"/>
                <w:caps w:val="0"/>
                <w:color w:val="333333"/>
                <w:spacing w:val="0"/>
                <w:sz w:val="32"/>
                <w:szCs w:val="32"/>
              </w:rPr>
              <w:t>0</w:t>
            </w:r>
          </w:p>
        </w:tc>
      </w:tr>
    </w:tbl>
    <w:p w14:paraId="47F674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Calibri" w:hAnsi="Calibri" w:cs="Calibri"/>
          <w:sz w:val="21"/>
          <w:szCs w:val="21"/>
        </w:rPr>
      </w:pPr>
    </w:p>
    <w:p w14:paraId="31BD2105">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eastAsia" w:ascii="黑体" w:hAnsi="宋体" w:eastAsia="黑体" w:cs="黑体"/>
          <w:sz w:val="32"/>
          <w:szCs w:val="32"/>
        </w:rPr>
        <w:t>五、存在的主要问题及改进情况</w:t>
      </w:r>
    </w:p>
    <w:p w14:paraId="4BD49414">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eastAsia" w:ascii="楷体" w:hAnsi="楷体" w:eastAsia="楷体" w:cs="楷体"/>
          <w:b w:val="0"/>
          <w:bCs w:val="0"/>
          <w:sz w:val="32"/>
          <w:szCs w:val="32"/>
        </w:rPr>
        <w:t>（一）政府信息公开意识不强，公开时效性、公开内容质量有待加强。</w:t>
      </w:r>
      <w:r>
        <w:rPr>
          <w:rFonts w:hint="eastAsia" w:ascii="仿宋" w:hAnsi="仿宋" w:eastAsia="仿宋" w:cs="仿宋"/>
          <w:sz w:val="32"/>
          <w:szCs w:val="32"/>
        </w:rPr>
        <w:t>由于网站上线较晚，很多信息未能及时公开，公开信息数目也较少。下一步，我局将努力学习《条例》，并提高对《条例》的认识和理解程度，进一步完善政府信息公开制度，加强办公室的沟通协调整合作用，把工作任务、工作责任落实到各科室（单位）具体责任人，确保信息公开及时。</w:t>
      </w:r>
    </w:p>
    <w:p w14:paraId="67C4B4CC">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eastAsia" w:ascii="楷体" w:hAnsi="楷体" w:eastAsia="楷体" w:cs="楷体"/>
          <w:b w:val="0"/>
          <w:bCs w:val="0"/>
          <w:sz w:val="32"/>
          <w:szCs w:val="32"/>
        </w:rPr>
        <w:t>（二）政府信息公开形式单一,有待加强宣传推广。</w:t>
      </w:r>
      <w:r>
        <w:rPr>
          <w:rFonts w:hint="eastAsia" w:ascii="仿宋" w:hAnsi="仿宋" w:eastAsia="仿宋" w:cs="仿宋"/>
          <w:sz w:val="32"/>
          <w:szCs w:val="32"/>
        </w:rPr>
        <w:t>在接下来的工作中进一步充实信息公开内容,突出重点、热点和难点问题,把群众最关心、反应最强烈的事项作为政府信息公开的主要内容，切实发挥好信息公开平台的桥梁作用。</w:t>
      </w:r>
    </w:p>
    <w:p w14:paraId="0C92A0D5">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eastAsia" w:ascii="楷体" w:hAnsi="楷体" w:eastAsia="楷体" w:cs="楷体"/>
          <w:b w:val="0"/>
          <w:bCs w:val="0"/>
          <w:sz w:val="32"/>
          <w:szCs w:val="32"/>
        </w:rPr>
        <w:t>（三）基层政府</w:t>
      </w:r>
      <w:bookmarkStart w:id="0" w:name="_GoBack"/>
      <w:bookmarkEnd w:id="0"/>
      <w:r>
        <w:rPr>
          <w:rFonts w:hint="eastAsia" w:ascii="楷体" w:hAnsi="楷体" w:eastAsia="楷体" w:cs="楷体"/>
          <w:b w:val="0"/>
          <w:bCs w:val="0"/>
          <w:sz w:val="32"/>
          <w:szCs w:val="32"/>
        </w:rPr>
        <w:t>信息公开工作人员业务水平不高。</w:t>
      </w:r>
      <w:r>
        <w:rPr>
          <w:rFonts w:hint="eastAsia" w:ascii="仿宋" w:hAnsi="仿宋" w:eastAsia="仿宋" w:cs="仿宋"/>
          <w:sz w:val="32"/>
          <w:szCs w:val="32"/>
        </w:rPr>
        <w:t>我局是2019年机构改革后新成立的单位，从事政府信息公开工作的人员都是新手上岗，业务能力亟待提升，下一步全局工作人员，尤其要加强政府信息公开具体承办人员《条例》的学习和操作系统的培训。</w:t>
      </w:r>
    </w:p>
    <w:p w14:paraId="7D360F21">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eastAsia" w:ascii="黑体" w:hAnsi="宋体" w:eastAsia="黑体" w:cs="黑体"/>
          <w:sz w:val="32"/>
          <w:szCs w:val="32"/>
        </w:rPr>
        <w:t>六、其他需要报告的事项:无</w:t>
      </w:r>
    </w:p>
    <w:p w14:paraId="638C3DDA">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default" w:ascii="Calibri" w:hAnsi="Calibri" w:cs="Calibri"/>
          <w:sz w:val="21"/>
          <w:szCs w:val="21"/>
        </w:rPr>
        <w:t> </w:t>
      </w:r>
    </w:p>
    <w:p w14:paraId="77DDBCBC">
      <w:pPr>
        <w:pStyle w:val="2"/>
        <w:keepNext w:val="0"/>
        <w:keepLines w:val="0"/>
        <w:widowControl/>
        <w:suppressLineNumbers w:val="0"/>
        <w:spacing w:before="0" w:beforeAutospacing="0" w:after="0" w:afterAutospacing="0"/>
        <w:ind w:left="0" w:right="0" w:firstLine="640"/>
        <w:jc w:val="both"/>
        <w:rPr>
          <w:rFonts w:hint="default" w:ascii="Calibri" w:hAnsi="Calibri" w:cs="Calibri"/>
          <w:sz w:val="21"/>
          <w:szCs w:val="21"/>
        </w:rPr>
      </w:pPr>
      <w:r>
        <w:rPr>
          <w:rFonts w:hint="default" w:ascii="Calibri" w:hAnsi="Calibri" w:cs="Calibri"/>
          <w:sz w:val="21"/>
          <w:szCs w:val="21"/>
        </w:rPr>
        <w:t> </w:t>
      </w:r>
    </w:p>
    <w:p w14:paraId="1CBA46B1">
      <w:pPr>
        <w:pStyle w:val="2"/>
        <w:keepNext w:val="0"/>
        <w:keepLines w:val="0"/>
        <w:widowControl/>
        <w:suppressLineNumbers w:val="0"/>
        <w:spacing w:before="0" w:beforeAutospacing="0" w:after="0" w:afterAutospacing="0"/>
        <w:ind w:left="0" w:right="0" w:firstLine="4480"/>
        <w:jc w:val="both"/>
        <w:rPr>
          <w:rFonts w:hint="default" w:ascii="Calibri" w:hAnsi="Calibri" w:cs="Calibri"/>
          <w:sz w:val="21"/>
          <w:szCs w:val="21"/>
        </w:rPr>
      </w:pPr>
      <w:r>
        <w:rPr>
          <w:rFonts w:hint="default" w:ascii="Calibri" w:hAnsi="Calibri" w:cs="Calibri"/>
          <w:sz w:val="21"/>
          <w:szCs w:val="21"/>
        </w:rPr>
        <w:t> </w:t>
      </w:r>
    </w:p>
    <w:p w14:paraId="554D2320">
      <w:pPr>
        <w:pStyle w:val="2"/>
        <w:keepNext w:val="0"/>
        <w:keepLines w:val="0"/>
        <w:widowControl/>
        <w:suppressLineNumbers w:val="0"/>
        <w:spacing w:before="0" w:beforeAutospacing="0" w:after="0" w:afterAutospacing="0"/>
        <w:ind w:left="0" w:right="0" w:firstLine="4480"/>
        <w:jc w:val="both"/>
        <w:rPr>
          <w:rFonts w:hint="default" w:ascii="Calibri" w:hAnsi="Calibri" w:cs="Calibri"/>
          <w:sz w:val="21"/>
          <w:szCs w:val="21"/>
        </w:rPr>
      </w:pPr>
      <w:r>
        <w:rPr>
          <w:rFonts w:hint="eastAsia" w:ascii="仿宋" w:hAnsi="仿宋" w:eastAsia="仿宋" w:cs="仿宋"/>
          <w:sz w:val="32"/>
          <w:szCs w:val="32"/>
        </w:rPr>
        <w:t>  霍邱县退役军人事务局</w:t>
      </w:r>
    </w:p>
    <w:p w14:paraId="05C55AC1">
      <w:pPr>
        <w:pStyle w:val="2"/>
        <w:keepNext w:val="0"/>
        <w:keepLines w:val="0"/>
        <w:widowControl/>
        <w:suppressLineNumbers w:val="0"/>
        <w:spacing w:before="0" w:beforeAutospacing="0" w:after="0" w:afterAutospacing="0"/>
        <w:ind w:left="0" w:right="0" w:firstLine="4800"/>
        <w:jc w:val="both"/>
        <w:rPr>
          <w:rFonts w:hint="default" w:ascii="Calibri" w:hAnsi="Calibri" w:cs="Calibri"/>
          <w:sz w:val="21"/>
          <w:szCs w:val="21"/>
        </w:rPr>
      </w:pPr>
      <w:r>
        <w:rPr>
          <w:rFonts w:hint="eastAsia" w:ascii="仿宋" w:hAnsi="仿宋" w:eastAsia="仿宋" w:cs="仿宋"/>
          <w:sz w:val="32"/>
          <w:szCs w:val="32"/>
        </w:rPr>
        <w:t>   2020年1月19日</w:t>
      </w:r>
    </w:p>
    <w:p w14:paraId="1201D3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C31589"/>
    <w:rsid w:val="7BC315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2026-06-10T07:16:00Z</dcterms:created>
  <dc:creator>雨过天晴蓝</dc:creator>
  <cp:lastModifiedBy>雨过天晴蓝</cp:lastModifiedBy>
  <dcterms:modified xsi:type="dcterms:W3CDTF">2026-06-10T07:18:03Z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4FA8AA97FA474F77A825C480BB515A7F_11</vt:lpwstr>
  </property>
  <property fmtid="{D5CDD505-2E9C-101B-9397-08002B2CF9AE}" pid="4" name="KSOTemplateDocerSaveRecord">
    <vt:lpwstr>eyJoZGlkIjoiZjZmYWQwMzg1ZGEwMzFmZjU5NzI4MzE3YzNmM2I1ZTMiLCJ1c2VySWQiOiI0MDUzODQ2NDAifQ==</vt:lpwstr>
  </property>
</Properties>
</file>