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霍林中心〔2024〕46号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关于印发《林业工作站目标管理绩效考核办法》（试行）的通知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各林业工作站：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《林业工作站目标管理绩效考核办法》（试行）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经2024年3月18日党总支委员会研究通过，现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霍邱县林业发展中心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抄送：县自然资源和规划局。</w:t>
      </w:r>
    </w:p>
    <w:tbl>
      <w:tblPr>
        <w:tblStyle w:val="4"/>
        <w:tblpPr w:leftFromText="180" w:rightFromText="180" w:vertAnchor="text" w:horzAnchor="page" w:tblpX="1517" w:tblpY="642"/>
        <w:tblOverlap w:val="never"/>
        <w:tblW w:w="936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15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32"/>
                <w:szCs w:val="32"/>
              </w:rPr>
              <w:t>霍邱县林业发展中心综合股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发：县林业发展中心各股室 各直属单位。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林业工作站目标管理绩效考核办法（试行）</w:t>
      </w:r>
    </w:p>
    <w:p>
      <w:pPr>
        <w:tabs>
          <w:tab w:val="left" w:pos="2046"/>
        </w:tabs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2046"/>
        </w:tabs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更好发挥目标管理绩效考核的导向和引领作用，进一步激发林业工作站的积极性和主动性，提高工作效率，压实工作职责，根据《林业工作站管理办法》（国家林业局令第39号）精神，结合林业工作站主要职责，现制定目标管理绩效考核办法如下。</w:t>
      </w:r>
    </w:p>
    <w:p>
      <w:pPr>
        <w:tabs>
          <w:tab w:val="left" w:pos="2046"/>
        </w:tabs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坚持以习近平新时代中国特色社会主义思想为指导，深入贯彻党的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二十大</w:t>
      </w:r>
      <w:r>
        <w:rPr>
          <w:rFonts w:ascii="Times New Roman" w:hAnsi="Times New Roman" w:eastAsia="仿宋_GB2312" w:cs="Times New Roman"/>
          <w:sz w:val="32"/>
          <w:szCs w:val="32"/>
        </w:rPr>
        <w:t>精神，全面贯彻习近平生态文明思想，全面落实习近平总书记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关于作风建设的</w:t>
      </w:r>
      <w:r>
        <w:rPr>
          <w:rFonts w:ascii="Times New Roman" w:hAnsi="Times New Roman" w:eastAsia="仿宋_GB2312" w:cs="Times New Roman"/>
          <w:sz w:val="32"/>
          <w:szCs w:val="32"/>
        </w:rPr>
        <w:t>重要指示批示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精神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进一步统一思想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认识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、提振精神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，切实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改进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作风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、激励担当作为，全面提振干事创业精气神，激发担当作为新活力，为推进全县林业事业高质量发展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提供坚实保障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tabs>
          <w:tab w:val="left" w:pos="1596"/>
        </w:tabs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二、考核对象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各林业工作站。属于林业工作站在职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编人员借调到其他单位的，不参与对该林业工作站的考核。其他独立核算二级机构参照制定本单位目标绩效考核办法，并严格执行。</w:t>
      </w:r>
    </w:p>
    <w:p>
      <w:pPr>
        <w:tabs>
          <w:tab w:val="left" w:pos="1596"/>
        </w:tabs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三、考评内容及分值</w:t>
      </w:r>
    </w:p>
    <w:p>
      <w:pPr>
        <w:tabs>
          <w:tab w:val="left" w:pos="1026"/>
        </w:tabs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（一）作风建设（20分）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日常工作中在岗在位、值班值守等考勤情况；人员请销假及负责人外出报备情况。根据中心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及有关股室开展日常工作，以及督查检查发现情况据实考核赋分。综合股负责牵头组织督查检查，按督查检查实际情况和开展日常工作反馈情况，根据各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股室提供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林业工作站考核情况统计表（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附件）汇总测评得分。</w:t>
      </w:r>
    </w:p>
    <w:p>
      <w:pPr>
        <w:tabs>
          <w:tab w:val="left" w:pos="1596"/>
        </w:tabs>
        <w:ind w:firstLine="643" w:firstLineChars="200"/>
        <w:jc w:val="left"/>
        <w:rPr>
          <w:rFonts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（二）交办工作(10分）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县委、县政府或上级主管部门部署的紧急工作，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每季度分别由牵头股室提供各林业工作站交办工作具体完成情况，综合股按牵头股室提供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林业工作站考核情况统计表汇总。</w:t>
      </w:r>
    </w:p>
    <w:p>
      <w:pPr>
        <w:tabs>
          <w:tab w:val="left" w:pos="1596"/>
        </w:tabs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（三）重点工作（70分）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1.林长制工作（10分）。主要考核督促乡、村级林长巡林护林，配合县级林长巡林等工作。根据中心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及有关股室开展日常工作，以及督查检查发现情况据实考核赋分。林长制服务股承担具体工作。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国土绿化（20分）。主要考核年度人工造林、森林抚育、退化林修复、封山育林等营造林任务完成情况。根据省、市、县林业部门任务分配、各林业工作站春查、秋查以及县级验收、落地上图等实际情况考核赋分。考虑到我县造林空间有限，今后对承担林业重点工程建设任务的，可单独设定加分项。造林股承担具体工作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3.资源管理（10分）。主要考核辖区内森林资源保护管理情况。及时完成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或配合完成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森林样地调查、森林督查、图班监测等工作任务；积极配合开展林地报批工作。根据上级下发资源管理、调查等任务量完成情况据实考核赋分。资源股承担具体工作。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4.林业执法（10分）。主要考核辖区内林业案件查处情况。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及时发现、制止滥伐林木、破坏林地等违法行为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配合林业案件查处、信访举报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涉及图表等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相关佐证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料。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根据林业案件查处、林业执法巡查发现等情况据实考核赋分。林业执法中队承担具体工作。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5.森林防火（10分）。主要考核森林防火期内，辖区内森林防火宣传、隐患清理排查、火情处置、配合案件查处、值班值守情况。根据中心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及有关股室防火期开展相关工作，以及督查检查发现情况据实考核赋分。防火股承担具体工作，林业执法中队配合。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6.产业发展（10分）。主要考核辖区内生态护林员培训、日常管理、科技下乡、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服务指导涉林企业等工作，及时报送林草统计等有关工作信息。根据中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负责人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及有关股室开展日常工作，以及督查检查发现情况据实考核赋分。产业股承担具体工作。</w:t>
      </w:r>
    </w:p>
    <w:p>
      <w:pPr>
        <w:tabs>
          <w:tab w:val="left" w:pos="1596"/>
        </w:tabs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四、考核方式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实行季度考核。季度考核以开展日常工作、实地检查、查看资料、不定期督查等形式开展。其中对各林业工作站作风建设督查考核每月不少于1次。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考核时间。每季度次月第一周由承办股室分别对承担的考核任务赋分，经分管同志签字审核后交综合股汇总，第二周经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林业发展中心党总支会议研究，公布各林业工作站季度所得分值。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季度排序。根据各林业工作站季度所得分值从第1名到第6名进行排序。对第1名授予季度红旗，第6名授予季度黄旗。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连续两个季度位于第6名的林业工作站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年度综合考核直接定为不合格等次。</w:t>
      </w:r>
    </w:p>
    <w:p>
      <w:pPr>
        <w:tabs>
          <w:tab w:val="left" w:pos="1596"/>
        </w:tabs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年度排序。根据各林业工作站季度所得分值按第一、四季度各30%，第二、三季度各20%的权重综合得分排序，综合得分第1名为优秀，第2、3名为良好，第4、5名为合格，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第6名为不合格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；如年度考核第6名与季度考核直接定为不合格等次林业站为不同林业工作站，均为不合格等次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tabs>
          <w:tab w:val="left" w:pos="1596"/>
        </w:tabs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结果运用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设立综合基金池。由实际在林业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站工作的在编在岗人员奖励性绩效工资、一次性奖励目标考核奖、县林业发展中心补充奖共三个部分组成，用于奖励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前3名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林业站。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季度奖励性绩效发放。林业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当季所得分值/100为该季该站职工奖励性绩效工资系数，乘以职工奖励性绩效工资基数，核发当季奖励性绩效工资。每季奖励性绩效工资剩余部分进入综合基金池，按50%、30%、20%的比例分别奖励季度考核前3名的林业站，各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站人员发放标准由林业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站自行核定，其中奖励给林业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站长的不少于该站该季奖励金的50%。</w:t>
      </w:r>
    </w:p>
    <w:p>
      <w:pPr>
        <w:tabs>
          <w:tab w:val="left" w:pos="1596"/>
        </w:tabs>
        <w:ind w:firstLine="640" w:firstLineChars="200"/>
        <w:jc w:val="left"/>
        <w:rPr>
          <w:rFonts w:hint="eastAsia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一次性奖励目标考核奖发放。将实际在林业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站工作的在编在岗人员一次性奖励目标考核奖全部纳入综合基金池，以本系统在县里考核等次年度考核奖标准基数，对年度考核为优秀、良好、合格、不合格的林业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站分别按1.2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、1.1、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1、0.8系数核发一次性奖励目标考核奖，不足部分由县林业发展中心补充。</w:t>
      </w:r>
    </w:p>
    <w:p>
      <w:pPr>
        <w:tabs>
          <w:tab w:val="left" w:pos="1596"/>
        </w:tabs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站及工作人员的奖惩。（1）对年度综合考评前3名的林业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站长及工作人员在符合条件的情况下，优先评先评优、职称评聘，并分别奖励林业站5000元、3000元、2000元，资金由县林业发展中心补充。（2）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对年度综合考核不合格的林业工作站站长进行警示、约谈；林业工作站站长及工作人员当年不得评先评优，次年不得申报高一级职称评聘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（3）对林业工作站长及工作人员未经请假批准擅自不在岗在位的，予以全系统通报批评并扣发当月奖励性绩效工资，涉及酒驾、醉驾等违纪违法行为的，依法依纪严肃处理。</w:t>
      </w:r>
    </w:p>
    <w:p>
      <w:pPr>
        <w:tabs>
          <w:tab w:val="left" w:pos="1596"/>
        </w:tabs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六、组织保障</w:t>
      </w:r>
    </w:p>
    <w:p>
      <w:pPr>
        <w:tabs>
          <w:tab w:val="left" w:pos="1596"/>
        </w:tabs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（一）加强组织领导。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成立由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林业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中心主要负责人为组长，分管负责人为副组长，相关股室负责人为成员的林业工作站考核工作领导小组，领导小组下设办公室，办公室设在综合股，负责组织考评工作。</w:t>
      </w:r>
    </w:p>
    <w:p>
      <w:pPr>
        <w:tabs>
          <w:tab w:val="left" w:pos="1596"/>
        </w:tabs>
        <w:ind w:firstLine="643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（二）压实工作责任。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考核责任单位和工作人员要增强责任意识，遵守工作纪律，对因弄虚作假、工作失职造成不良影响的，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追究责任。考核过程要公开透明、简约简便，考核结果要实事求是、客观公正，确保考核应有的激励效果。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（三）健全工作机制。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通过优化考核指标、简化系统操作，不断健全完善工作考核实施细则，形成常抓常严的考核工作机制，确保考核方向不走偏、考核过程不走样、考核体系不走形。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林业站工作考核指标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林业工作站季度考核情况统计表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1596"/>
        </w:tabs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38059"/>
    <w:multiLevelType w:val="singleLevel"/>
    <w:tmpl w:val="5A93805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NjNzJlNzQ0NWFlNjgyZGJhOTJlMTZiN2NmZTdjNzAifQ=="/>
  </w:docVars>
  <w:rsids>
    <w:rsidRoot w:val="006A2518"/>
    <w:rsid w:val="000B2C7B"/>
    <w:rsid w:val="000B3DAA"/>
    <w:rsid w:val="000C196D"/>
    <w:rsid w:val="00130808"/>
    <w:rsid w:val="00253310"/>
    <w:rsid w:val="002C27AB"/>
    <w:rsid w:val="00344B0E"/>
    <w:rsid w:val="005C4EAC"/>
    <w:rsid w:val="006A2518"/>
    <w:rsid w:val="006D697A"/>
    <w:rsid w:val="00706804"/>
    <w:rsid w:val="007A6694"/>
    <w:rsid w:val="007E13E9"/>
    <w:rsid w:val="00870E16"/>
    <w:rsid w:val="009A0F11"/>
    <w:rsid w:val="009A14D5"/>
    <w:rsid w:val="009C7DED"/>
    <w:rsid w:val="009D74C1"/>
    <w:rsid w:val="00A63842"/>
    <w:rsid w:val="00A965F4"/>
    <w:rsid w:val="00B823D5"/>
    <w:rsid w:val="00BC63CD"/>
    <w:rsid w:val="00BF5CF2"/>
    <w:rsid w:val="00C80C47"/>
    <w:rsid w:val="00C84E34"/>
    <w:rsid w:val="00C901DB"/>
    <w:rsid w:val="00CE511D"/>
    <w:rsid w:val="00D23E50"/>
    <w:rsid w:val="00DC7D51"/>
    <w:rsid w:val="00DF4698"/>
    <w:rsid w:val="00E77803"/>
    <w:rsid w:val="00EB3F5D"/>
    <w:rsid w:val="01535CAB"/>
    <w:rsid w:val="02B1471D"/>
    <w:rsid w:val="03A66F57"/>
    <w:rsid w:val="048E4D30"/>
    <w:rsid w:val="053A1E21"/>
    <w:rsid w:val="054D2663"/>
    <w:rsid w:val="058F01E6"/>
    <w:rsid w:val="059E55CB"/>
    <w:rsid w:val="05EA7814"/>
    <w:rsid w:val="060B105A"/>
    <w:rsid w:val="073F20F3"/>
    <w:rsid w:val="09320D22"/>
    <w:rsid w:val="09CE4ED8"/>
    <w:rsid w:val="0A034BDA"/>
    <w:rsid w:val="0A206227"/>
    <w:rsid w:val="0A23066B"/>
    <w:rsid w:val="0A2B5950"/>
    <w:rsid w:val="0A821835"/>
    <w:rsid w:val="0BB61347"/>
    <w:rsid w:val="0C7D22B4"/>
    <w:rsid w:val="0D0E0D62"/>
    <w:rsid w:val="0F0300ED"/>
    <w:rsid w:val="100131FC"/>
    <w:rsid w:val="107E65FB"/>
    <w:rsid w:val="10C31F87"/>
    <w:rsid w:val="113C1C97"/>
    <w:rsid w:val="117918C5"/>
    <w:rsid w:val="140426E0"/>
    <w:rsid w:val="15F75E01"/>
    <w:rsid w:val="196E2E57"/>
    <w:rsid w:val="1A707A44"/>
    <w:rsid w:val="1B6D1FC1"/>
    <w:rsid w:val="1B754A9E"/>
    <w:rsid w:val="1C07213D"/>
    <w:rsid w:val="1C1E7D9A"/>
    <w:rsid w:val="1C6E0AF0"/>
    <w:rsid w:val="20140D2A"/>
    <w:rsid w:val="214F2556"/>
    <w:rsid w:val="24105B60"/>
    <w:rsid w:val="24106F22"/>
    <w:rsid w:val="24925A58"/>
    <w:rsid w:val="24AF73C4"/>
    <w:rsid w:val="2566057E"/>
    <w:rsid w:val="25C21895"/>
    <w:rsid w:val="263E4346"/>
    <w:rsid w:val="264F5E4A"/>
    <w:rsid w:val="27383ED1"/>
    <w:rsid w:val="278B6409"/>
    <w:rsid w:val="27AA0826"/>
    <w:rsid w:val="28914F5C"/>
    <w:rsid w:val="29232704"/>
    <w:rsid w:val="292A6EC8"/>
    <w:rsid w:val="29FE64AD"/>
    <w:rsid w:val="2A676BE0"/>
    <w:rsid w:val="2B475678"/>
    <w:rsid w:val="2B5244B4"/>
    <w:rsid w:val="2BC0763F"/>
    <w:rsid w:val="2BCD1CAB"/>
    <w:rsid w:val="2C7E7560"/>
    <w:rsid w:val="2CF5626A"/>
    <w:rsid w:val="2DFC1831"/>
    <w:rsid w:val="2F3476A8"/>
    <w:rsid w:val="30206FF3"/>
    <w:rsid w:val="30651B39"/>
    <w:rsid w:val="31615451"/>
    <w:rsid w:val="32306183"/>
    <w:rsid w:val="32D34505"/>
    <w:rsid w:val="33E34843"/>
    <w:rsid w:val="35A32FC6"/>
    <w:rsid w:val="35EE09DE"/>
    <w:rsid w:val="36A22794"/>
    <w:rsid w:val="375F0685"/>
    <w:rsid w:val="37977E1F"/>
    <w:rsid w:val="379F1632"/>
    <w:rsid w:val="37F54C52"/>
    <w:rsid w:val="39103E74"/>
    <w:rsid w:val="395501B0"/>
    <w:rsid w:val="3AFA683F"/>
    <w:rsid w:val="3BE41159"/>
    <w:rsid w:val="3C1732DC"/>
    <w:rsid w:val="3C225ECA"/>
    <w:rsid w:val="3C5A441A"/>
    <w:rsid w:val="3DF85784"/>
    <w:rsid w:val="3EE04E56"/>
    <w:rsid w:val="412E31A6"/>
    <w:rsid w:val="42367E53"/>
    <w:rsid w:val="424B5C7C"/>
    <w:rsid w:val="430420E0"/>
    <w:rsid w:val="44574B66"/>
    <w:rsid w:val="45FE4A18"/>
    <w:rsid w:val="465F41FD"/>
    <w:rsid w:val="473E45E7"/>
    <w:rsid w:val="474B6530"/>
    <w:rsid w:val="47787FDB"/>
    <w:rsid w:val="491D00C3"/>
    <w:rsid w:val="496117C7"/>
    <w:rsid w:val="49F66C27"/>
    <w:rsid w:val="4A355879"/>
    <w:rsid w:val="4C7E1F1F"/>
    <w:rsid w:val="507A6C4D"/>
    <w:rsid w:val="512151E5"/>
    <w:rsid w:val="519901E5"/>
    <w:rsid w:val="51F72E64"/>
    <w:rsid w:val="524A13F1"/>
    <w:rsid w:val="53480E8B"/>
    <w:rsid w:val="54196F7E"/>
    <w:rsid w:val="551F34D1"/>
    <w:rsid w:val="55843C39"/>
    <w:rsid w:val="5742632F"/>
    <w:rsid w:val="574E19E8"/>
    <w:rsid w:val="580C202F"/>
    <w:rsid w:val="585316E8"/>
    <w:rsid w:val="5A3354FB"/>
    <w:rsid w:val="5AD16617"/>
    <w:rsid w:val="5BF652BE"/>
    <w:rsid w:val="5D5362E3"/>
    <w:rsid w:val="5E581B71"/>
    <w:rsid w:val="61F545A5"/>
    <w:rsid w:val="627B446D"/>
    <w:rsid w:val="6315416A"/>
    <w:rsid w:val="65735DBD"/>
    <w:rsid w:val="666036B0"/>
    <w:rsid w:val="66855163"/>
    <w:rsid w:val="67ED5A91"/>
    <w:rsid w:val="680D65D8"/>
    <w:rsid w:val="6A0E40C2"/>
    <w:rsid w:val="6A3031F4"/>
    <w:rsid w:val="6BB65DBE"/>
    <w:rsid w:val="6C296590"/>
    <w:rsid w:val="6F487922"/>
    <w:rsid w:val="71B63549"/>
    <w:rsid w:val="72894220"/>
    <w:rsid w:val="733C59AB"/>
    <w:rsid w:val="759233F8"/>
    <w:rsid w:val="77521091"/>
    <w:rsid w:val="792A0382"/>
    <w:rsid w:val="7B387775"/>
    <w:rsid w:val="7B615D46"/>
    <w:rsid w:val="7BDE5E45"/>
    <w:rsid w:val="7C6A071E"/>
    <w:rsid w:val="7D784022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408</Words>
  <Characters>2327</Characters>
  <Lines>19</Lines>
  <Paragraphs>5</Paragraphs>
  <TotalTime>36</TotalTime>
  <ScaleCrop>false</ScaleCrop>
  <LinksUpToDate>false</LinksUpToDate>
  <CharactersWithSpaces>2730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2024-02-22T09:55:00Z</dcterms:created>
  <dc:creator>Administrator</dc:creator>
  <cp:lastModifiedBy>时尚姐姐</cp:lastModifiedBy>
  <cp:lastPrinted>2024-03-20T01:14:53Z</cp:lastPrinted>
  <dcterms:modified xsi:type="dcterms:W3CDTF">2024-03-20T07:44:03Z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CC46F2300D8342EEA56DB06496404386_12</vt:lpwstr>
  </property>
</Properties>
</file>