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霍邱县城市管理局202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工作年度报告</w:t>
      </w:r>
    </w:p>
    <w:p>
      <w:pPr>
        <w:rPr>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eastAsia="zh-CN"/>
        </w:rPr>
        <w:t>《中华人民共和国政府信息公开条例》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霍邱县人民政府办公室《关于做好2024年度政府信息公开工作年度报告编和发发布工作的通知》有关要求，现编写</w:t>
      </w:r>
      <w:r>
        <w:rPr>
          <w:rFonts w:hint="eastAsia" w:ascii="仿宋_GB2312" w:hAnsi="仿宋_GB2312" w:eastAsia="仿宋_GB2312" w:cs="仿宋_GB2312"/>
          <w:color w:val="auto"/>
          <w:sz w:val="32"/>
          <w:szCs w:val="32"/>
          <w:lang w:val="en-US" w:eastAsia="zh-CN"/>
        </w:rPr>
        <w:t>霍邱县城市管理</w:t>
      </w:r>
      <w:r>
        <w:rPr>
          <w:rFonts w:hint="eastAsia" w:ascii="仿宋_GB2312" w:hAnsi="仿宋_GB2312" w:eastAsia="仿宋_GB2312" w:cs="仿宋_GB2312"/>
          <w:color w:val="auto"/>
          <w:sz w:val="32"/>
          <w:szCs w:val="32"/>
          <w:lang w:eastAsia="zh-CN"/>
        </w:rPr>
        <w:t>局2024年政府信息公开工作年度报告。</w:t>
      </w:r>
      <w:r>
        <w:rPr>
          <w:rFonts w:hint="eastAsia" w:ascii="仿宋_GB2312" w:hAnsi="仿宋_GB2312" w:eastAsia="仿宋_GB2312" w:cs="仿宋_GB2312"/>
          <w:color w:val="auto"/>
          <w:sz w:val="32"/>
          <w:szCs w:val="32"/>
        </w:rPr>
        <w:t>本报告涉及总体情况、主动公开政府信息情况、收到和处理政府信息公开申请情况、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政府信息公开行政复议和行政诉讼情况、存在的主要问题及改进情况、其他需要报告的事项六部分</w:t>
      </w:r>
      <w:r>
        <w:rPr>
          <w:rFonts w:hint="eastAsia" w:ascii="仿宋_GB2312" w:hAnsi="仿宋_GB2312" w:eastAsia="仿宋_GB2312" w:cs="仿宋_GB2312"/>
          <w:color w:val="auto"/>
          <w:sz w:val="32"/>
          <w:szCs w:val="32"/>
          <w:lang w:val="en-US" w:eastAsia="zh-CN"/>
        </w:rPr>
        <w:t>内容</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本报告中使用数据统计期限为202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年1月1日至12月31日。报告的电子版可在霍邱县</w:t>
      </w:r>
      <w:r>
        <w:rPr>
          <w:rFonts w:hint="eastAsia" w:ascii="仿宋_GB2312" w:hAnsi="仿宋_GB2312" w:eastAsia="仿宋_GB2312" w:cs="仿宋_GB2312"/>
          <w:color w:val="auto"/>
          <w:sz w:val="32"/>
          <w:szCs w:val="32"/>
          <w:lang w:eastAsia="zh-CN"/>
        </w:rPr>
        <w:t>城市管理局</w:t>
      </w:r>
      <w:r>
        <w:rPr>
          <w:rFonts w:hint="eastAsia" w:ascii="仿宋_GB2312" w:hAnsi="仿宋_GB2312" w:eastAsia="仿宋_GB2312" w:cs="仿宋_GB2312"/>
          <w:color w:val="auto"/>
          <w:sz w:val="32"/>
          <w:szCs w:val="32"/>
        </w:rPr>
        <w:t>网站</w:t>
      </w:r>
      <w:r>
        <w:rPr>
          <w:rFonts w:hint="eastAsia" w:ascii="仿宋_GB2312" w:hAnsi="仿宋_GB2312" w:eastAsia="仿宋_GB2312" w:cs="仿宋_GB2312"/>
          <w:color w:val="auto"/>
          <w:sz w:val="32"/>
          <w:szCs w:val="32"/>
          <w:lang w:eastAsia="zh-CN"/>
        </w:rPr>
        <w:t>下载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（https://www.huoqiu.gov.cn/public/column/6600741?type=4&amp;action=list）。如对本报告有任何疑问，请与霍邱县</w:t>
      </w:r>
      <w:r>
        <w:rPr>
          <w:rFonts w:hint="eastAsia" w:ascii="仿宋_GB2312" w:hAnsi="仿宋_GB2312" w:eastAsia="仿宋_GB2312" w:cs="仿宋_GB2312"/>
          <w:color w:val="auto"/>
          <w:sz w:val="32"/>
          <w:szCs w:val="32"/>
          <w:lang w:val="en-US" w:eastAsia="zh-CN"/>
        </w:rPr>
        <w:t>城市管理局</w:t>
      </w:r>
      <w:r>
        <w:rPr>
          <w:rFonts w:hint="eastAsia" w:ascii="仿宋_GB2312" w:hAnsi="仿宋_GB2312" w:eastAsia="仿宋_GB2312" w:cs="仿宋_GB2312"/>
          <w:color w:val="auto"/>
          <w:sz w:val="32"/>
          <w:szCs w:val="32"/>
        </w:rPr>
        <w:t>办公室联系（地址：安徽省六安市霍邱县</w:t>
      </w:r>
      <w:r>
        <w:rPr>
          <w:rFonts w:hint="eastAsia" w:ascii="仿宋_GB2312" w:hAnsi="仿宋_GB2312" w:eastAsia="仿宋_GB2312" w:cs="仿宋_GB2312"/>
          <w:color w:val="auto"/>
          <w:sz w:val="32"/>
          <w:szCs w:val="32"/>
          <w:lang w:val="en-US" w:eastAsia="zh-CN"/>
        </w:rPr>
        <w:t>教育局大楼三楼301室</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0564-6020275，邮编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237400）。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color w:val="auto"/>
          <w:sz w:val="32"/>
          <w:szCs w:val="40"/>
        </w:rPr>
      </w:pPr>
      <w:r>
        <w:rPr>
          <w:rFonts w:hint="default" w:ascii="Times New Roman" w:hAnsi="Times New Roman" w:eastAsia="方正黑体_GBK" w:cs="Times New Roman"/>
          <w:color w:val="auto"/>
          <w:sz w:val="32"/>
          <w:szCs w:val="40"/>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lang w:val="en-US" w:eastAsia="zh-CN"/>
        </w:rPr>
      </w:pPr>
      <w:r>
        <w:rPr>
          <w:rFonts w:hint="default" w:ascii="Times New Roman" w:hAnsi="Times New Roman" w:eastAsia="仿宋_GB2312" w:cs="Times New Roman"/>
          <w:i w:val="0"/>
          <w:iCs w:val="0"/>
          <w:caps w:val="0"/>
          <w:color w:val="auto"/>
          <w:spacing w:val="0"/>
          <w:sz w:val="32"/>
          <w:szCs w:val="32"/>
        </w:rPr>
        <w:t>202</w:t>
      </w:r>
      <w:r>
        <w:rPr>
          <w:rFonts w:hint="eastAsia"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lang w:val="en-US" w:eastAsia="zh-CN"/>
        </w:rPr>
        <w:t>我局在县委、县政府、县政务公开办公室的正确领导下，深入贯彻落实政务公开相关要求，坚持以公开为常态、不公开为例外原则，积极推进政务公开工作，不断提升城市管理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工作的透明度和公信力，切实保障公民、法人和其他组织的知情权、参与权和监督权。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default" w:ascii="Times New Roman" w:hAnsi="Times New Roman" w:eastAsia="楷体_GB2312" w:cs="Times New Roman"/>
          <w:b/>
          <w:bCs/>
          <w:color w:val="auto"/>
          <w:sz w:val="32"/>
          <w:szCs w:val="32"/>
          <w:lang w:bidi="ar"/>
        </w:rPr>
        <w:t>主动公开</w:t>
      </w:r>
      <w:r>
        <w:rPr>
          <w:rFonts w:hint="default" w:ascii="Times New Roman" w:hAnsi="Times New Roman" w:eastAsia="楷体_GB2312" w:cs="Times New Roman"/>
          <w:b/>
          <w:bCs/>
          <w:color w:val="auto"/>
          <w:sz w:val="32"/>
          <w:szCs w:val="32"/>
          <w:lang w:eastAsia="zh-CN" w:bidi="ar"/>
        </w:rPr>
        <w:t>。</w:t>
      </w:r>
      <w:r>
        <w:rPr>
          <w:rFonts w:hint="eastAsia" w:ascii="仿宋_GB2312" w:hAnsi="仿宋_GB2312" w:eastAsia="仿宋_GB2312" w:cs="仿宋_GB2312"/>
          <w:i w:val="0"/>
          <w:iCs w:val="0"/>
          <w:caps w:val="0"/>
          <w:color w:val="auto"/>
          <w:spacing w:val="0"/>
          <w:sz w:val="32"/>
          <w:szCs w:val="32"/>
          <w:lang w:val="en-US" w:eastAsia="zh-CN"/>
        </w:rPr>
        <w:t>2024年，我局始终坚持决策公开、执行和结果公开、管理和服务公开，全年通过政府网站主动公开涉及城市管理领域重大决策事项2项，广泛征求社会公众意见；及时公开城市管理重点项目执行情况，如背街小巷整治、老旧小区改造、便民停车行动等进度；同时公示行政执法结果，公开行政处罚案件3起，行政许可办理62件，确保权力运行透明。全年共发布信息286条，“两化”领域信息共发布60条</w:t>
      </w:r>
      <w:r>
        <w:rPr>
          <w:rFonts w:hint="eastAsia" w:ascii="仿宋_GB2312" w:hAnsi="仿宋_GB2312" w:eastAsia="仿宋_GB2312" w:cs="仿宋_GB2312"/>
          <w:i w:val="0"/>
          <w:iCs w:val="0"/>
          <w:caps w:val="0"/>
          <w:color w:val="auto"/>
          <w:spacing w:val="0"/>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default" w:ascii="Times New Roman" w:hAnsi="Times New Roman" w:eastAsia="楷体_GB2312" w:cs="Times New Roman"/>
          <w:b/>
          <w:bCs/>
          <w:color w:val="auto"/>
          <w:sz w:val="32"/>
          <w:szCs w:val="32"/>
          <w:lang w:val="en-US" w:eastAsia="zh-CN" w:bidi="ar"/>
        </w:rPr>
        <w:t>依申请公开。</w:t>
      </w:r>
      <w:r>
        <w:rPr>
          <w:rFonts w:hint="eastAsia" w:ascii="仿宋_GB2312" w:hAnsi="仿宋_GB2312" w:eastAsia="仿宋_GB2312" w:cs="仿宋_GB2312"/>
          <w:i w:val="0"/>
          <w:iCs w:val="0"/>
          <w:caps w:val="0"/>
          <w:color w:val="auto"/>
          <w:spacing w:val="0"/>
          <w:sz w:val="32"/>
          <w:szCs w:val="32"/>
          <w:lang w:val="en-US" w:eastAsia="zh-CN"/>
        </w:rPr>
        <w:t>2024年我局共收到政府信息依申请公开事项9件，主要集中在物业服务企业相关资质等方面，均在规定时间内予以登记受理，并严格按照《</w:t>
      </w:r>
      <w:r>
        <w:rPr>
          <w:rFonts w:hint="default" w:ascii="Times New Roman" w:hAnsi="Times New Roman" w:eastAsia="仿宋_GB2312" w:cs="Times New Roman"/>
          <w:i w:val="0"/>
          <w:iCs w:val="0"/>
          <w:caps w:val="0"/>
          <w:color w:val="auto"/>
          <w:spacing w:val="0"/>
          <w:sz w:val="32"/>
          <w:szCs w:val="32"/>
          <w:lang w:val="en-US" w:eastAsia="zh-CN"/>
        </w:rPr>
        <w:t>中华人民共和国政府信息公开条例</w:t>
      </w:r>
      <w:r>
        <w:rPr>
          <w:rFonts w:hint="eastAsia" w:ascii="仿宋_GB2312" w:hAnsi="仿宋_GB2312" w:eastAsia="仿宋_GB2312" w:cs="仿宋_GB2312"/>
          <w:i w:val="0"/>
          <w:iCs w:val="0"/>
          <w:caps w:val="0"/>
          <w:color w:val="auto"/>
          <w:spacing w:val="0"/>
          <w:sz w:val="32"/>
          <w:szCs w:val="32"/>
          <w:lang w:val="en-US" w:eastAsia="zh-CN"/>
        </w:rPr>
        <w:t>》规定流程办理依申请公开事项，对9件均予以公开答复。全年因依申请公开引发的行政复议2件，经与申请人沟通解释，申请人撤销行政复议决定。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b w:val="0"/>
          <w:bCs w:val="0"/>
          <w:color w:val="auto"/>
          <w:sz w:val="32"/>
          <w:szCs w:val="32"/>
          <w:lang w:val="en-US" w:eastAsia="zh-CN" w:bidi="ar"/>
        </w:rPr>
      </w:pPr>
      <w:r>
        <w:rPr>
          <w:rFonts w:hint="default" w:ascii="Times New Roman" w:hAnsi="Times New Roman" w:eastAsia="楷体_GB2312" w:cs="Times New Roman"/>
          <w:b/>
          <w:bCs/>
          <w:color w:val="auto"/>
          <w:sz w:val="32"/>
          <w:szCs w:val="32"/>
          <w:lang w:val="en-US" w:eastAsia="zh-CN" w:bidi="ar"/>
        </w:rPr>
        <w:t>政府信息管理。</w:t>
      </w:r>
      <w:r>
        <w:rPr>
          <w:rFonts w:hint="eastAsia" w:ascii="仿宋_GB2312" w:hAnsi="仿宋_GB2312" w:eastAsia="仿宋_GB2312" w:cs="仿宋_GB2312"/>
          <w:b w:val="0"/>
          <w:bCs w:val="0"/>
          <w:color w:val="auto"/>
          <w:sz w:val="32"/>
          <w:szCs w:val="32"/>
          <w:lang w:val="en-US" w:eastAsia="zh-CN" w:bidi="ar"/>
        </w:rPr>
        <w:t>2024年，我局始终把政府信息工作列入年度重要工作，强化组织领导，细化工作细则，明确专人负责。建立健全多层级信息审核制度，信息撰稿人初审、部门（机关股室）负责人二审、分管领导终审，对拟公开信息的准确性、完整性、保密性进行严格把关，全年累计审核信息36条，纠正信息瑕疵12处，确保信息质量过硬。定期对已公开信息进行清查梳理，依据法律法规修订、政策调整及工作实际进展，及时更新城市管理法规文件库，废止规范性文件1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default" w:ascii="Times New Roman" w:hAnsi="Times New Roman" w:eastAsia="楷体_GB2312" w:cs="Times New Roman"/>
          <w:b/>
          <w:bCs/>
          <w:color w:val="auto"/>
          <w:sz w:val="32"/>
          <w:szCs w:val="32"/>
          <w:lang w:eastAsia="zh-CN" w:bidi="ar"/>
        </w:rPr>
        <w:t>（</w:t>
      </w:r>
      <w:r>
        <w:rPr>
          <w:rFonts w:hint="default" w:ascii="Times New Roman" w:hAnsi="Times New Roman" w:eastAsia="楷体_GB2312" w:cs="Times New Roman"/>
          <w:b/>
          <w:bCs/>
          <w:color w:val="auto"/>
          <w:sz w:val="32"/>
          <w:szCs w:val="32"/>
          <w:lang w:val="en-US" w:eastAsia="zh-CN" w:bidi="ar"/>
        </w:rPr>
        <w:t>四</w:t>
      </w:r>
      <w:r>
        <w:rPr>
          <w:rFonts w:hint="default" w:ascii="Times New Roman" w:hAnsi="Times New Roman" w:eastAsia="楷体_GB2312" w:cs="Times New Roman"/>
          <w:b/>
          <w:bCs/>
          <w:color w:val="auto"/>
          <w:sz w:val="32"/>
          <w:szCs w:val="32"/>
          <w:lang w:eastAsia="zh-CN" w:bidi="ar"/>
        </w:rPr>
        <w:t>）</w:t>
      </w:r>
      <w:r>
        <w:rPr>
          <w:rFonts w:hint="default" w:ascii="Times New Roman" w:hAnsi="Times New Roman" w:eastAsia="楷体_GB2312" w:cs="Times New Roman"/>
          <w:b/>
          <w:bCs/>
          <w:color w:val="auto"/>
          <w:sz w:val="32"/>
          <w:szCs w:val="32"/>
          <w:lang w:bidi="ar"/>
        </w:rPr>
        <w:t>政府信息公开平台建设</w:t>
      </w:r>
      <w:r>
        <w:rPr>
          <w:rFonts w:hint="default" w:ascii="Times New Roman" w:hAnsi="Times New Roman" w:eastAsia="楷体_GB2312" w:cs="Times New Roman"/>
          <w:b/>
          <w:bCs/>
          <w:color w:val="auto"/>
          <w:sz w:val="32"/>
          <w:szCs w:val="32"/>
          <w:lang w:eastAsia="zh-CN" w:bidi="ar"/>
        </w:rPr>
        <w:t>。</w:t>
      </w:r>
      <w:r>
        <w:rPr>
          <w:rFonts w:hint="eastAsia" w:ascii="仿宋_GB2312" w:hAnsi="仿宋_GB2312" w:eastAsia="仿宋_GB2312" w:cs="仿宋_GB2312"/>
          <w:i w:val="0"/>
          <w:iCs w:val="0"/>
          <w:caps w:val="0"/>
          <w:color w:val="auto"/>
          <w:spacing w:val="0"/>
          <w:kern w:val="2"/>
          <w:sz w:val="32"/>
          <w:szCs w:val="32"/>
          <w:lang w:val="en-US" w:eastAsia="zh-CN" w:bidi="ar-SA"/>
        </w:rPr>
        <w:t>坚持将政府网站做为政务公开第一平台，积极参加上级组织的用户平台使用培训，根据上级政务公开要求，对城管局法定主动公开栏目进行部分调整升级，优化页面布局，增强信息检索功能，方便公众快速精准查找所需信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黑体_GBK" w:hAnsi="方正黑体_GBK" w:eastAsia="方正黑体_GBK" w:cs="方正黑体_GBK"/>
          <w:color w:val="auto"/>
          <w:sz w:val="32"/>
          <w:szCs w:val="40"/>
        </w:rPr>
      </w:pPr>
      <w:r>
        <w:rPr>
          <w:rFonts w:hint="default" w:ascii="Times New Roman" w:hAnsi="Times New Roman" w:eastAsia="楷体_GB2312" w:cs="Times New Roman"/>
          <w:b/>
          <w:bCs/>
          <w:color w:val="auto"/>
          <w:sz w:val="32"/>
          <w:szCs w:val="32"/>
          <w:lang w:eastAsia="zh-CN" w:bidi="ar"/>
        </w:rPr>
        <w:t>（</w:t>
      </w:r>
      <w:r>
        <w:rPr>
          <w:rFonts w:hint="default" w:ascii="Times New Roman" w:hAnsi="Times New Roman" w:eastAsia="楷体_GB2312" w:cs="Times New Roman"/>
          <w:b/>
          <w:bCs/>
          <w:color w:val="auto"/>
          <w:sz w:val="32"/>
          <w:szCs w:val="32"/>
          <w:lang w:val="en-US" w:eastAsia="zh-CN" w:bidi="ar"/>
        </w:rPr>
        <w:t>五</w:t>
      </w:r>
      <w:r>
        <w:rPr>
          <w:rFonts w:hint="default" w:ascii="Times New Roman" w:hAnsi="Times New Roman" w:eastAsia="楷体_GB2312" w:cs="Times New Roman"/>
          <w:b/>
          <w:bCs/>
          <w:color w:val="auto"/>
          <w:sz w:val="32"/>
          <w:szCs w:val="32"/>
          <w:lang w:eastAsia="zh-CN" w:bidi="ar"/>
        </w:rPr>
        <w:t>）</w:t>
      </w:r>
      <w:r>
        <w:rPr>
          <w:rFonts w:hint="default" w:ascii="Times New Roman" w:hAnsi="Times New Roman" w:eastAsia="楷体_GB2312" w:cs="Times New Roman"/>
          <w:b/>
          <w:bCs/>
          <w:color w:val="auto"/>
          <w:sz w:val="32"/>
          <w:szCs w:val="32"/>
          <w:lang w:bidi="ar"/>
        </w:rPr>
        <w:t>监督保障。</w:t>
      </w:r>
      <w:r>
        <w:rPr>
          <w:rFonts w:hint="eastAsia" w:ascii="仿宋_GB2312" w:hAnsi="仿宋_GB2312" w:eastAsia="仿宋_GB2312" w:cs="仿宋_GB2312"/>
          <w:b w:val="0"/>
          <w:bCs w:val="0"/>
          <w:color w:val="auto"/>
          <w:sz w:val="32"/>
          <w:szCs w:val="32"/>
          <w:lang w:val="en-US" w:eastAsia="zh-CN" w:bidi="ar"/>
        </w:rPr>
        <w:t>强化考核，成立政府信息公开工作监督小组，定期对各股室、部门信息公开工作开展检查，并将信息公开工作纳入绩效考核体系，强化工作责任落实。为有效发挥政府信息公开民主监督，我局建立政协委员民主监督小组实时对重点工作进行评议，全年未收到社会评议不满意反馈，也未因信息公开出现严重错误而被问责追究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二、主动公开政府信息情况</w:t>
      </w:r>
    </w:p>
    <w:tbl>
      <w:tblPr>
        <w:tblStyle w:val="5"/>
        <w:tblW w:w="9780" w:type="dxa"/>
        <w:jc w:val="center"/>
        <w:tblLayout w:type="fixed"/>
        <w:tblCellMar>
          <w:top w:w="0" w:type="dxa"/>
          <w:left w:w="0" w:type="dxa"/>
          <w:bottom w:w="0" w:type="dxa"/>
          <w:right w:w="0" w:type="dxa"/>
        </w:tblCellMar>
      </w:tblPr>
      <w:tblGrid>
        <w:gridCol w:w="2445"/>
        <w:gridCol w:w="2445"/>
        <w:gridCol w:w="2445"/>
        <w:gridCol w:w="2445"/>
      </w:tblGrid>
      <w:tr>
        <w:tblPrEx>
          <w:tblCellMar>
            <w:top w:w="0" w:type="dxa"/>
            <w:left w:w="0" w:type="dxa"/>
            <w:bottom w:w="0" w:type="dxa"/>
            <w:right w:w="0" w:type="dxa"/>
          </w:tblCellMar>
        </w:tblPrEx>
        <w:trPr>
          <w:trHeight w:val="322" w:hRule="atLeast"/>
          <w:jc w:val="center"/>
        </w:trPr>
        <w:tc>
          <w:tcPr>
            <w:tcW w:w="97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第二十条第（一）项</w:t>
            </w:r>
          </w:p>
        </w:tc>
      </w:tr>
      <w:tr>
        <w:tblPrEx>
          <w:tblCellMar>
            <w:top w:w="0" w:type="dxa"/>
            <w:left w:w="0" w:type="dxa"/>
            <w:bottom w:w="0" w:type="dxa"/>
            <w:right w:w="0" w:type="dxa"/>
          </w:tblCellMar>
        </w:tblPrEx>
        <w:trPr>
          <w:trHeight w:val="147"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信息内容</w:t>
            </w:r>
          </w:p>
        </w:tc>
        <w:tc>
          <w:tcPr>
            <w:tcW w:w="244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本年制发件数</w:t>
            </w:r>
          </w:p>
        </w:tc>
        <w:tc>
          <w:tcPr>
            <w:tcW w:w="244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本年废止件数</w:t>
            </w:r>
          </w:p>
        </w:tc>
        <w:tc>
          <w:tcPr>
            <w:tcW w:w="244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现行有效件数</w:t>
            </w:r>
          </w:p>
        </w:tc>
      </w:tr>
      <w:tr>
        <w:tblPrEx>
          <w:tblCellMar>
            <w:top w:w="0" w:type="dxa"/>
            <w:left w:w="0" w:type="dxa"/>
            <w:bottom w:w="0" w:type="dxa"/>
            <w:right w:w="0" w:type="dxa"/>
          </w:tblCellMar>
        </w:tblPrEx>
        <w:trPr>
          <w:trHeight w:val="196"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规章</w:t>
            </w:r>
          </w:p>
        </w:tc>
        <w:tc>
          <w:tcPr>
            <w:tcW w:w="244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bidi="ar"/>
              </w:rPr>
              <w:t>0</w:t>
            </w:r>
          </w:p>
        </w:tc>
        <w:tc>
          <w:tcPr>
            <w:tcW w:w="244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bidi="ar"/>
              </w:rPr>
              <w:t>0</w:t>
            </w:r>
          </w:p>
        </w:tc>
        <w:tc>
          <w:tcPr>
            <w:tcW w:w="244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147"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行政规范性文件</w:t>
            </w:r>
          </w:p>
        </w:tc>
        <w:tc>
          <w:tcPr>
            <w:tcW w:w="244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bidi="ar"/>
              </w:rPr>
              <w:t>0</w:t>
            </w:r>
          </w:p>
        </w:tc>
        <w:tc>
          <w:tcPr>
            <w:tcW w:w="244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w:t>
            </w:r>
          </w:p>
        </w:tc>
        <w:tc>
          <w:tcPr>
            <w:tcW w:w="244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147" w:hRule="atLeast"/>
          <w:jc w:val="center"/>
        </w:trPr>
        <w:tc>
          <w:tcPr>
            <w:tcW w:w="97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第二十条第（五）项</w:t>
            </w:r>
          </w:p>
        </w:tc>
      </w:tr>
      <w:tr>
        <w:tblPrEx>
          <w:tblCellMar>
            <w:top w:w="0" w:type="dxa"/>
            <w:left w:w="0" w:type="dxa"/>
            <w:bottom w:w="0" w:type="dxa"/>
            <w:right w:w="0" w:type="dxa"/>
          </w:tblCellMar>
        </w:tblPrEx>
        <w:trPr>
          <w:trHeight w:val="147"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信息内容</w:t>
            </w:r>
          </w:p>
        </w:tc>
        <w:tc>
          <w:tcPr>
            <w:tcW w:w="733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本年处理决定数量</w:t>
            </w:r>
          </w:p>
        </w:tc>
      </w:tr>
      <w:tr>
        <w:tblPrEx>
          <w:tblCellMar>
            <w:top w:w="0" w:type="dxa"/>
            <w:left w:w="0" w:type="dxa"/>
            <w:bottom w:w="0" w:type="dxa"/>
            <w:right w:w="0" w:type="dxa"/>
          </w:tblCellMar>
        </w:tblPrEx>
        <w:trPr>
          <w:trHeight w:val="342"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行政许可</w:t>
            </w:r>
          </w:p>
        </w:tc>
        <w:tc>
          <w:tcPr>
            <w:tcW w:w="733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20"/>
                <w:szCs w:val="20"/>
                <w:lang w:val="en-US" w:eastAsia="zh-CN"/>
              </w:rPr>
              <w:t>62</w:t>
            </w:r>
          </w:p>
        </w:tc>
      </w:tr>
      <w:tr>
        <w:tblPrEx>
          <w:tblCellMar>
            <w:top w:w="0" w:type="dxa"/>
            <w:left w:w="0" w:type="dxa"/>
            <w:bottom w:w="0" w:type="dxa"/>
            <w:right w:w="0" w:type="dxa"/>
          </w:tblCellMar>
        </w:tblPrEx>
        <w:trPr>
          <w:trHeight w:val="147" w:hRule="atLeast"/>
          <w:jc w:val="center"/>
        </w:trPr>
        <w:tc>
          <w:tcPr>
            <w:tcW w:w="97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第二十条第（六）项</w:t>
            </w:r>
          </w:p>
        </w:tc>
      </w:tr>
      <w:tr>
        <w:tblPrEx>
          <w:tblCellMar>
            <w:top w:w="0" w:type="dxa"/>
            <w:left w:w="0" w:type="dxa"/>
            <w:bottom w:w="0" w:type="dxa"/>
            <w:right w:w="0" w:type="dxa"/>
          </w:tblCellMar>
        </w:tblPrEx>
        <w:trPr>
          <w:trHeight w:val="147" w:hRule="atLeast"/>
          <w:jc w:val="center"/>
        </w:trPr>
        <w:tc>
          <w:tcPr>
            <w:tcW w:w="244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信息内容</w:t>
            </w:r>
          </w:p>
        </w:tc>
        <w:tc>
          <w:tcPr>
            <w:tcW w:w="733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本年处理决定数量</w:t>
            </w:r>
          </w:p>
        </w:tc>
      </w:tr>
      <w:tr>
        <w:tblPrEx>
          <w:tblCellMar>
            <w:top w:w="0" w:type="dxa"/>
            <w:left w:w="0" w:type="dxa"/>
            <w:bottom w:w="0" w:type="dxa"/>
            <w:right w:w="0" w:type="dxa"/>
          </w:tblCellMar>
        </w:tblPrEx>
        <w:trPr>
          <w:trHeight w:val="178" w:hRule="atLeast"/>
          <w:jc w:val="center"/>
        </w:trPr>
        <w:tc>
          <w:tcPr>
            <w:tcW w:w="244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行政处罚</w:t>
            </w:r>
          </w:p>
        </w:tc>
        <w:tc>
          <w:tcPr>
            <w:tcW w:w="733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w:t>
            </w:r>
          </w:p>
        </w:tc>
      </w:tr>
      <w:tr>
        <w:tblPrEx>
          <w:tblCellMar>
            <w:top w:w="0" w:type="dxa"/>
            <w:left w:w="0" w:type="dxa"/>
            <w:bottom w:w="0" w:type="dxa"/>
            <w:right w:w="0" w:type="dxa"/>
          </w:tblCellMar>
        </w:tblPrEx>
        <w:trPr>
          <w:trHeight w:val="147"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行政强制</w:t>
            </w:r>
          </w:p>
        </w:tc>
        <w:tc>
          <w:tcPr>
            <w:tcW w:w="733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147" w:hRule="atLeast"/>
          <w:jc w:val="center"/>
        </w:trPr>
        <w:tc>
          <w:tcPr>
            <w:tcW w:w="97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第二十条第（八）项</w:t>
            </w:r>
          </w:p>
        </w:tc>
      </w:tr>
      <w:tr>
        <w:tblPrEx>
          <w:tblCellMar>
            <w:top w:w="0" w:type="dxa"/>
            <w:left w:w="0" w:type="dxa"/>
            <w:bottom w:w="0" w:type="dxa"/>
            <w:right w:w="0" w:type="dxa"/>
          </w:tblCellMar>
        </w:tblPrEx>
        <w:trPr>
          <w:trHeight w:val="147"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信息内容</w:t>
            </w:r>
          </w:p>
        </w:tc>
        <w:tc>
          <w:tcPr>
            <w:tcW w:w="733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本年收费金额（单位：万元）</w:t>
            </w:r>
          </w:p>
        </w:tc>
      </w:tr>
      <w:tr>
        <w:tblPrEx>
          <w:tblCellMar>
            <w:top w:w="0" w:type="dxa"/>
            <w:left w:w="0" w:type="dxa"/>
            <w:bottom w:w="0" w:type="dxa"/>
            <w:right w:w="0" w:type="dxa"/>
          </w:tblCellMar>
        </w:tblPrEx>
        <w:trPr>
          <w:trHeight w:val="155" w:hRule="atLeast"/>
          <w:jc w:val="center"/>
        </w:trPr>
        <w:tc>
          <w:tcPr>
            <w:tcW w:w="244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行政事业性收费</w:t>
            </w:r>
          </w:p>
        </w:tc>
        <w:tc>
          <w:tcPr>
            <w:tcW w:w="733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120</w:t>
            </w:r>
          </w:p>
        </w:tc>
      </w:tr>
    </w:tbl>
    <w:p>
      <w:pPr>
        <w:bidi w:val="0"/>
        <w:ind w:firstLine="640" w:firstLineChars="200"/>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三、收到和处理政府信息公开申请情况</w:t>
      </w: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法人或其他组织</w:t>
            </w:r>
          </w:p>
        </w:tc>
        <w:tc>
          <w:tcPr>
            <w:tcW w:w="688" w:type="dxa"/>
            <w:vMerge w:val="restart"/>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688"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商业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科研</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其他</w:t>
            </w:r>
          </w:p>
        </w:tc>
        <w:tc>
          <w:tcPr>
            <w:tcW w:w="688" w:type="dxa"/>
            <w:vMerge w:val="continue"/>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20"/>
                <w:szCs w:val="20"/>
                <w:lang w:val="en-US" w:eastAsia="zh-CN" w:bidi="ar"/>
              </w:rPr>
              <w:t>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三、本年度办理结果</w:t>
            </w:r>
          </w:p>
        </w:tc>
        <w:tc>
          <w:tcPr>
            <w:tcW w:w="4162"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（一）予以公开</w:t>
            </w:r>
          </w:p>
        </w:tc>
        <w:tc>
          <w:tcPr>
            <w:tcW w:w="688" w:type="dxa"/>
            <w:tcBorders>
              <w:top w:val="single" w:color="auto" w:sz="0" w:space="0"/>
              <w:left w:val="doub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8</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thinThickLargeGap"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4162"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（二）部分公开（区分处理的，只计这一情形，不计其他情形）</w:t>
            </w:r>
          </w:p>
        </w:tc>
        <w:tc>
          <w:tcPr>
            <w:tcW w:w="688" w:type="dxa"/>
            <w:tcBorders>
              <w:top w:val="single" w:color="auto" w:sz="0" w:space="0"/>
              <w:left w:val="doub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thinThickLargeGap"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（三）不予公开</w:t>
            </w: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1.属于国家秘密</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2.其他法律行政法规禁止公开</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3.危及“三安全一稳定”</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4.保护第三方合法权益</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5.属于三类内部事务信息</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6.属于四类过程性信息</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7.属于行政执法案卷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8.属于行政查询事项</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（四）无法提供</w:t>
            </w: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1.本机关不掌握相关政府信息</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2.没有现成信息需要另行制作</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3.补正后申请内容仍不明确</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（五）不予处理</w:t>
            </w: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1.信访举报投诉类申请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2.重复申请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3.要求提供公开出版物</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4.无正当理由大量反复申请</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（六）其他处理</w:t>
            </w: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1.申请人无正当理由逾期不补正、行政机关不再处理其政府信息公开申请</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2.申请人逾期未按收费通知要求缴纳费用、行政机关不再处理其政府信息公开申请</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3219"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3.其他</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0"/>
                <w:szCs w:val="20"/>
              </w:rPr>
            </w:pPr>
          </w:p>
        </w:tc>
        <w:tc>
          <w:tcPr>
            <w:tcW w:w="4162" w:type="dxa"/>
            <w:gridSpan w:val="2"/>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（七）总计</w:t>
            </w:r>
          </w:p>
        </w:tc>
        <w:tc>
          <w:tcPr>
            <w:tcW w:w="688" w:type="dxa"/>
            <w:tcBorders>
              <w:top w:val="nil"/>
              <w:left w:val="doub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9</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thinThickLargeGap"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double" w:color="auto" w:sz="0"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0"/>
                <w:szCs w:val="20"/>
                <w:lang w:val="en-US" w:eastAsia="zh-CN" w:bidi="ar"/>
              </w:rPr>
              <w:t>0</w:t>
            </w:r>
          </w:p>
        </w:tc>
      </w:tr>
    </w:tbl>
    <w:p>
      <w:pPr>
        <w:bidi w:val="0"/>
        <w:ind w:firstLine="640" w:firstLineChars="200"/>
        <w:rPr>
          <w:rFonts w:hint="eastAsia" w:ascii="方正黑体_GBK" w:hAnsi="方正黑体_GBK" w:eastAsia="方正黑体_GBK" w:cs="方正黑体_GBK"/>
          <w:color w:val="auto"/>
          <w:sz w:val="32"/>
          <w:szCs w:val="40"/>
        </w:rPr>
      </w:pPr>
    </w:p>
    <w:p>
      <w:pPr>
        <w:bidi w:val="0"/>
        <w:ind w:firstLine="640" w:firstLineChars="200"/>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四、政府信息公开行政复议、行政诉讼情况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行政复议</w:t>
            </w:r>
          </w:p>
        </w:tc>
        <w:tc>
          <w:tcPr>
            <w:tcW w:w="649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结果维持</w:t>
            </w:r>
          </w:p>
        </w:tc>
        <w:tc>
          <w:tcPr>
            <w:tcW w:w="649"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结果</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纠正</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其他</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结果</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尚未</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审结</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总计</w:t>
            </w:r>
          </w:p>
        </w:tc>
        <w:tc>
          <w:tcPr>
            <w:tcW w:w="324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未经复议直接起诉</w:t>
            </w:r>
          </w:p>
        </w:tc>
        <w:tc>
          <w:tcPr>
            <w:tcW w:w="325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color w:val="auto"/>
                <w:sz w:val="20"/>
                <w:szCs w:val="20"/>
              </w:rPr>
            </w:pPr>
          </w:p>
        </w:tc>
        <w:tc>
          <w:tcPr>
            <w:tcW w:w="649"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Times New Roman" w:hAnsi="Times New Roman"/>
                <w:color w:val="auto"/>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Times New Roman" w:hAnsi="Times New Roman"/>
                <w:color w:val="auto"/>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Times New Roman" w:hAnsi="Times New Roman"/>
                <w:color w:val="auto"/>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Times New Roman" w:hAnsi="Times New Roman"/>
                <w:color w:val="auto"/>
                <w:sz w:val="20"/>
                <w:szCs w:val="20"/>
              </w:rPr>
            </w:pP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结果</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维持</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结果</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其他</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尚未</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总计</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结果</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维持</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结果</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其他</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尚未</w:t>
            </w:r>
          </w:p>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宋体" w:hAnsi="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黑体" w:cs="仿宋_GB2312"/>
                <w:color w:val="auto"/>
                <w:sz w:val="32"/>
                <w:szCs w:val="32"/>
                <w:lang w:val="en-US" w:eastAsia="zh-CN"/>
              </w:rPr>
            </w:pPr>
            <w:r>
              <w:rPr>
                <w:rFonts w:hint="eastAsia" w:ascii="黑体" w:hAnsi="宋体" w:eastAsia="黑体" w:cs="黑体"/>
                <w:color w:val="auto"/>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宋体" w:cs="仿宋_GB2312"/>
                <w:color w:val="auto"/>
                <w:sz w:val="32"/>
                <w:szCs w:val="32"/>
                <w:lang w:val="en-US" w:eastAsia="zh-CN"/>
              </w:rPr>
            </w:pPr>
            <w:r>
              <w:rPr>
                <w:rFonts w:hint="eastAsia" w:ascii="宋体" w:hAnsi="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2</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2</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仿宋_GB2312"/>
                <w:color w:val="auto"/>
                <w:sz w:val="32"/>
                <w:szCs w:val="32"/>
              </w:rPr>
            </w:pPr>
            <w:r>
              <w:rPr>
                <w:rFonts w:hint="eastAsia" w:ascii="黑体" w:hAnsi="宋体" w:eastAsia="黑体" w:cs="黑体"/>
                <w:color w:val="auto"/>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rPr>
                <w:rFonts w:ascii="宋体" w:hAnsi="Times New Roman" w:eastAsia="仿宋_GB2312" w:cs="仿宋_GB2312"/>
                <w:color w:val="auto"/>
                <w:sz w:val="24"/>
              </w:rPr>
            </w:pPr>
            <w:r>
              <w:rPr>
                <w:rFonts w:hint="eastAsia" w:ascii="黑体" w:hAnsi="宋体" w:eastAsia="黑体" w:cs="黑体"/>
                <w:color w:val="auto"/>
                <w:kern w:val="0"/>
                <w:sz w:val="20"/>
                <w:szCs w:val="20"/>
                <w:lang w:val="en-US" w:eastAsia="zh-CN" w:bidi="ar"/>
              </w:rPr>
              <w:t>0</w:t>
            </w:r>
          </w:p>
        </w:tc>
      </w:tr>
    </w:tbl>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方正黑体_GBK" w:hAnsi="方正黑体_GBK" w:eastAsia="方正黑体_GBK" w:cs="方正黑体_GBK"/>
          <w:color w:val="auto"/>
          <w:sz w:val="32"/>
          <w:szCs w:val="40"/>
          <w:lang w:eastAsia="zh-CN"/>
        </w:rPr>
        <w:t>五、</w:t>
      </w:r>
      <w:r>
        <w:rPr>
          <w:rFonts w:hint="eastAsia" w:ascii="方正黑体_GBK" w:hAnsi="方正黑体_GBK" w:eastAsia="方正黑体_GBK" w:cs="方正黑体_GBK"/>
          <w:color w:val="auto"/>
          <w:sz w:val="32"/>
          <w:szCs w:val="40"/>
        </w:rPr>
        <w:t>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（一）上年度存在问题及改进情况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上年度我局政务公开工作主要存在政策文件解读数量和质量还有待改进，公开形式较为单一，多为文字解读；民生领域信息的公开不够全面，公开内容的广度和渠道都有待进一步完善和提高等问题。通过采取多元化形式进行信息公开和政策解读，丰富政策解读功能，对涉及城市管理的政策文件及时跟进解读并做到解读与文件相关联，提升社会公众普遍关心事项的公开时效性和规范性。涉及市政工程、民生领域的工作进展及时发布，高效推动政务公开工作开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本年度存在问题及改进措施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我局在政务公开工作上虽取得了一定的成绩，但是还存在一些问题，如政务公开的内容还不够全面深入，部分信息公开的质量有待进一步提高；政务公开工作与公众的互动交流还需加强，在主动征求公众意见、开展公众参与活动方面还做得不够，公众参与城市管理决策的程度不高。下一步，我局将从</w:t>
      </w:r>
      <w:r>
        <w:rPr>
          <w:rFonts w:hint="eastAsia" w:ascii="仿宋_GB2312" w:hAnsi="仿宋_GB2312" w:cs="仿宋_GB2312"/>
          <w:lang w:val="en-US" w:eastAsia="zh-CN"/>
        </w:rPr>
        <w:t>以下</w:t>
      </w:r>
      <w:r>
        <w:rPr>
          <w:rFonts w:hint="eastAsia" w:ascii="仿宋_GB2312" w:hAnsi="仿宋_GB2312" w:eastAsia="仿宋_GB2312" w:cs="仿宋_GB2312"/>
          <w:lang w:val="en-US" w:eastAsia="zh-CN"/>
        </w:rPr>
        <w:t>几个方面改进工作：一是进一步加大政务公开力度，拓展公开内容的广度和深度。加强对重点领域和关键环节信息的公开，如城市管理重大项目建设、资金使用情况等。二是强化与公众的互动交流，积极探索公众参与城市管理的有效途径和方式。通过开展问卷调查、召开听证会等活动，广泛征求公众对城市管理工作的意见和建议，提高公众参与度，使城市管理决策更加科学合理、符合民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六、其他需要报告的事项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2024年我局强化信息数据共享，健全各股室、部门间信息互通资源共享工作联动机制，保障各数据信息及时有效发布，并依托各类信息平台，切实提高政务信息公开效率。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40"/>
        </w:rPr>
        <w:t>按照《国务院办公厅关于印发〈政府信息公开信息处理费管理办法〉的通知》（国办函〔2020〕109号）规定的按件、按量收费标准，本年度没有产生信息公开处理费</w:t>
      </w:r>
      <w:r>
        <w:rPr>
          <w:rFonts w:hint="eastAsia" w:ascii="仿宋_GB2312" w:hAnsi="仿宋_GB2312" w:eastAsia="仿宋_GB2312" w:cs="仿宋_GB2312"/>
          <w:b/>
          <w:bCs/>
          <w:color w:val="auto"/>
          <w:sz w:val="32"/>
          <w:szCs w:val="40"/>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160" w:firstLineChars="13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5760" w:firstLineChars="18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霍邱县城市管理局</w:t>
      </w:r>
    </w:p>
    <w:p>
      <w:pPr>
        <w:keepNext w:val="0"/>
        <w:keepLines w:val="0"/>
        <w:pageBreakBefore w:val="0"/>
        <w:widowControl w:val="0"/>
        <w:kinsoku/>
        <w:wordWrap w:val="0"/>
        <w:overflowPunct/>
        <w:topLinePunct w:val="0"/>
        <w:autoSpaceDE/>
        <w:autoSpaceDN/>
        <w:bidi w:val="0"/>
        <w:adjustRightInd/>
        <w:snapToGrid/>
        <w:spacing w:line="240" w:lineRule="auto"/>
        <w:ind w:firstLine="5760" w:firstLineChars="18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2025年1月13日</w:t>
      </w:r>
    </w:p>
    <w:p>
      <w:pPr>
        <w:keepNext w:val="0"/>
        <w:keepLines w:val="0"/>
        <w:pageBreakBefore w:val="0"/>
        <w:kinsoku/>
        <w:wordWrap w:val="0"/>
        <w:overflowPunct/>
        <w:topLinePunct w:val="0"/>
        <w:autoSpaceDE/>
        <w:autoSpaceDN/>
        <w:bidi w:val="0"/>
        <w:adjustRightInd/>
        <w:snapToGrid/>
        <w:spacing w:line="560" w:lineRule="exact"/>
        <w:jc w:val="both"/>
        <w:textAlignment w:val="auto"/>
        <w:rPr>
          <w:color w:val="auto"/>
        </w:rPr>
      </w:pPr>
      <w:r>
        <w:rPr>
          <w:rFonts w:hint="eastAsia" w:ascii="仿宋_GB2312" w:hAnsi="仿宋_GB2312" w:eastAsia="仿宋_GB2312" w:cs="仿宋_GB2312"/>
          <w:b w:val="0"/>
          <w:bCs w:val="0"/>
          <w:color w:val="auto"/>
          <w:sz w:val="32"/>
          <w:szCs w:val="32"/>
          <w:lang w:val="en-US" w:eastAsia="zh-CN"/>
        </w:rPr>
        <w:t xml:space="preserve">         </w:t>
      </w:r>
    </w:p>
    <w:sectPr>
      <w:footerReference r:id="rId3" w:type="default"/>
      <w:pgSz w:w="11906" w:h="16838"/>
      <w:pgMar w:top="2211" w:right="1531" w:bottom="1984"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293E9"/>
    <w:multiLevelType w:val="singleLevel"/>
    <w:tmpl w:val="C1A293E9"/>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
    <w:nsid w:val="CCF8E2B5"/>
    <w:multiLevelType w:val="singleLevel"/>
    <w:tmpl w:val="CCF8E2B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MTliNjJjYjliNjYxNDYzY2ZiMTYwNDgzOTg3ZjUifQ=="/>
  </w:docVars>
  <w:rsids>
    <w:rsidRoot w:val="00000000"/>
    <w:rsid w:val="001B66A8"/>
    <w:rsid w:val="00A62045"/>
    <w:rsid w:val="01040121"/>
    <w:rsid w:val="015B4C8A"/>
    <w:rsid w:val="019F1A63"/>
    <w:rsid w:val="021653B1"/>
    <w:rsid w:val="025955C4"/>
    <w:rsid w:val="0271175E"/>
    <w:rsid w:val="042518DB"/>
    <w:rsid w:val="043563A4"/>
    <w:rsid w:val="04497378"/>
    <w:rsid w:val="04985C26"/>
    <w:rsid w:val="04D044B8"/>
    <w:rsid w:val="0590067E"/>
    <w:rsid w:val="06B15FDD"/>
    <w:rsid w:val="07282313"/>
    <w:rsid w:val="07535BB0"/>
    <w:rsid w:val="078B2CCF"/>
    <w:rsid w:val="079A5854"/>
    <w:rsid w:val="07DC166C"/>
    <w:rsid w:val="087F0C7D"/>
    <w:rsid w:val="092C5C7B"/>
    <w:rsid w:val="09371E95"/>
    <w:rsid w:val="09540C99"/>
    <w:rsid w:val="0A15657F"/>
    <w:rsid w:val="0A5C4873"/>
    <w:rsid w:val="0AD61D9C"/>
    <w:rsid w:val="0B935A5E"/>
    <w:rsid w:val="0BD276AA"/>
    <w:rsid w:val="0C8A01D3"/>
    <w:rsid w:val="0CE67A1D"/>
    <w:rsid w:val="0D1D5845"/>
    <w:rsid w:val="0DB67D09"/>
    <w:rsid w:val="0DE320DC"/>
    <w:rsid w:val="0E763F49"/>
    <w:rsid w:val="0EB218F5"/>
    <w:rsid w:val="0F207274"/>
    <w:rsid w:val="0FFB7D2B"/>
    <w:rsid w:val="1001237F"/>
    <w:rsid w:val="11385F93"/>
    <w:rsid w:val="124761CD"/>
    <w:rsid w:val="132F0FA4"/>
    <w:rsid w:val="13CF0A36"/>
    <w:rsid w:val="145D355A"/>
    <w:rsid w:val="1528122B"/>
    <w:rsid w:val="15931C1B"/>
    <w:rsid w:val="16785028"/>
    <w:rsid w:val="16922E00"/>
    <w:rsid w:val="173709CA"/>
    <w:rsid w:val="1804539F"/>
    <w:rsid w:val="199563E6"/>
    <w:rsid w:val="199820FA"/>
    <w:rsid w:val="1A1656E6"/>
    <w:rsid w:val="1A491A28"/>
    <w:rsid w:val="1AAC5448"/>
    <w:rsid w:val="1AE87493"/>
    <w:rsid w:val="1B472DC6"/>
    <w:rsid w:val="1B711582"/>
    <w:rsid w:val="1B935038"/>
    <w:rsid w:val="1B9E3A08"/>
    <w:rsid w:val="1CFB6CB7"/>
    <w:rsid w:val="1D0B242F"/>
    <w:rsid w:val="1D0C3588"/>
    <w:rsid w:val="1D2763DA"/>
    <w:rsid w:val="1D385971"/>
    <w:rsid w:val="1F4546A8"/>
    <w:rsid w:val="1F95570F"/>
    <w:rsid w:val="210B1FBE"/>
    <w:rsid w:val="210D6ACC"/>
    <w:rsid w:val="212A1E87"/>
    <w:rsid w:val="216B4917"/>
    <w:rsid w:val="21705EF7"/>
    <w:rsid w:val="21845A3B"/>
    <w:rsid w:val="22001114"/>
    <w:rsid w:val="227B135C"/>
    <w:rsid w:val="227D0BF4"/>
    <w:rsid w:val="235F1B3B"/>
    <w:rsid w:val="248072CC"/>
    <w:rsid w:val="24D740D4"/>
    <w:rsid w:val="25C81532"/>
    <w:rsid w:val="260911DC"/>
    <w:rsid w:val="26871271"/>
    <w:rsid w:val="2743365A"/>
    <w:rsid w:val="27994876"/>
    <w:rsid w:val="28663D33"/>
    <w:rsid w:val="28F53381"/>
    <w:rsid w:val="2A565089"/>
    <w:rsid w:val="2A5D2582"/>
    <w:rsid w:val="2A8860B9"/>
    <w:rsid w:val="2B0E79D1"/>
    <w:rsid w:val="2B2726C1"/>
    <w:rsid w:val="2BDA7FE2"/>
    <w:rsid w:val="2C13467E"/>
    <w:rsid w:val="2C3B31F1"/>
    <w:rsid w:val="2C5B70A9"/>
    <w:rsid w:val="2CB3080A"/>
    <w:rsid w:val="2D3104A7"/>
    <w:rsid w:val="2D371730"/>
    <w:rsid w:val="2D46629B"/>
    <w:rsid w:val="2D563E76"/>
    <w:rsid w:val="2D917C82"/>
    <w:rsid w:val="2DEC7BD7"/>
    <w:rsid w:val="2DF84C16"/>
    <w:rsid w:val="2DFC4FDF"/>
    <w:rsid w:val="2F2A7C22"/>
    <w:rsid w:val="309557A1"/>
    <w:rsid w:val="30B338D6"/>
    <w:rsid w:val="313102FD"/>
    <w:rsid w:val="31DE2258"/>
    <w:rsid w:val="31DF44FE"/>
    <w:rsid w:val="336B25B7"/>
    <w:rsid w:val="33995376"/>
    <w:rsid w:val="33C85C5B"/>
    <w:rsid w:val="342D18FF"/>
    <w:rsid w:val="354C1588"/>
    <w:rsid w:val="35587A34"/>
    <w:rsid w:val="35587C69"/>
    <w:rsid w:val="36714707"/>
    <w:rsid w:val="373A753E"/>
    <w:rsid w:val="375D5BD7"/>
    <w:rsid w:val="38842AF9"/>
    <w:rsid w:val="390E52D2"/>
    <w:rsid w:val="39C92FA5"/>
    <w:rsid w:val="39D215E2"/>
    <w:rsid w:val="3A2C32B0"/>
    <w:rsid w:val="3A4654DB"/>
    <w:rsid w:val="3A7A534C"/>
    <w:rsid w:val="3ADC40E6"/>
    <w:rsid w:val="3BFB1616"/>
    <w:rsid w:val="3C204EF4"/>
    <w:rsid w:val="3C6B187A"/>
    <w:rsid w:val="3C98297F"/>
    <w:rsid w:val="3CF54CF4"/>
    <w:rsid w:val="3D26034D"/>
    <w:rsid w:val="3D744272"/>
    <w:rsid w:val="3DFD6CAC"/>
    <w:rsid w:val="3E5E3B05"/>
    <w:rsid w:val="3E641153"/>
    <w:rsid w:val="3E8F4868"/>
    <w:rsid w:val="3EA80B63"/>
    <w:rsid w:val="3F1311AC"/>
    <w:rsid w:val="3F1F5F8C"/>
    <w:rsid w:val="403A35CB"/>
    <w:rsid w:val="408C10B4"/>
    <w:rsid w:val="41A57869"/>
    <w:rsid w:val="42254279"/>
    <w:rsid w:val="423B1E45"/>
    <w:rsid w:val="427C4683"/>
    <w:rsid w:val="42884F34"/>
    <w:rsid w:val="42A72EE0"/>
    <w:rsid w:val="42BE3279"/>
    <w:rsid w:val="431A1842"/>
    <w:rsid w:val="44D45E90"/>
    <w:rsid w:val="44FD15D1"/>
    <w:rsid w:val="45642AEA"/>
    <w:rsid w:val="456D65D5"/>
    <w:rsid w:val="464C618B"/>
    <w:rsid w:val="473A3BBC"/>
    <w:rsid w:val="475D7361"/>
    <w:rsid w:val="477F5BA9"/>
    <w:rsid w:val="483671E0"/>
    <w:rsid w:val="49985CBB"/>
    <w:rsid w:val="4A4E0297"/>
    <w:rsid w:val="4A77243B"/>
    <w:rsid w:val="4BBB478F"/>
    <w:rsid w:val="4C0D76BC"/>
    <w:rsid w:val="4C55331F"/>
    <w:rsid w:val="4C934C01"/>
    <w:rsid w:val="4CCC5A3B"/>
    <w:rsid w:val="4CD911E6"/>
    <w:rsid w:val="4D01600E"/>
    <w:rsid w:val="4D086F91"/>
    <w:rsid w:val="4E03568F"/>
    <w:rsid w:val="4ED702EC"/>
    <w:rsid w:val="4EDA1471"/>
    <w:rsid w:val="4F361402"/>
    <w:rsid w:val="4FA233AD"/>
    <w:rsid w:val="50160911"/>
    <w:rsid w:val="503C11AE"/>
    <w:rsid w:val="50516362"/>
    <w:rsid w:val="50531E6F"/>
    <w:rsid w:val="50D21A70"/>
    <w:rsid w:val="514630C3"/>
    <w:rsid w:val="51F32388"/>
    <w:rsid w:val="51F44A95"/>
    <w:rsid w:val="521C7446"/>
    <w:rsid w:val="5250292A"/>
    <w:rsid w:val="52885730"/>
    <w:rsid w:val="53392A85"/>
    <w:rsid w:val="5402043A"/>
    <w:rsid w:val="54175668"/>
    <w:rsid w:val="5429280F"/>
    <w:rsid w:val="54994D7E"/>
    <w:rsid w:val="54CB7F0E"/>
    <w:rsid w:val="55E17937"/>
    <w:rsid w:val="56244B1C"/>
    <w:rsid w:val="56333580"/>
    <w:rsid w:val="57560E33"/>
    <w:rsid w:val="57C3369D"/>
    <w:rsid w:val="599900C8"/>
    <w:rsid w:val="59AA5338"/>
    <w:rsid w:val="59EB0A76"/>
    <w:rsid w:val="5A783C64"/>
    <w:rsid w:val="5B4041A6"/>
    <w:rsid w:val="5B762DCD"/>
    <w:rsid w:val="5C84405B"/>
    <w:rsid w:val="5CAA6D61"/>
    <w:rsid w:val="5CD165EF"/>
    <w:rsid w:val="5CFF142E"/>
    <w:rsid w:val="5D423B39"/>
    <w:rsid w:val="5E1B095E"/>
    <w:rsid w:val="5E6509D0"/>
    <w:rsid w:val="5E7F1ECD"/>
    <w:rsid w:val="5ECD4415"/>
    <w:rsid w:val="5ED67A2A"/>
    <w:rsid w:val="5EDD1153"/>
    <w:rsid w:val="5F0E2C46"/>
    <w:rsid w:val="5F447300"/>
    <w:rsid w:val="5FC24731"/>
    <w:rsid w:val="60F11D95"/>
    <w:rsid w:val="61C40F61"/>
    <w:rsid w:val="62016150"/>
    <w:rsid w:val="62847783"/>
    <w:rsid w:val="6289661D"/>
    <w:rsid w:val="632919C3"/>
    <w:rsid w:val="64032B9B"/>
    <w:rsid w:val="64CA0C0A"/>
    <w:rsid w:val="650373EF"/>
    <w:rsid w:val="65FA3EC9"/>
    <w:rsid w:val="67900BFB"/>
    <w:rsid w:val="67CF15B7"/>
    <w:rsid w:val="67F71C93"/>
    <w:rsid w:val="690B3AF9"/>
    <w:rsid w:val="693709C5"/>
    <w:rsid w:val="695F613F"/>
    <w:rsid w:val="697E2AD2"/>
    <w:rsid w:val="69B30239"/>
    <w:rsid w:val="69DB3F44"/>
    <w:rsid w:val="6A40154B"/>
    <w:rsid w:val="6A8C0EE8"/>
    <w:rsid w:val="6ABE0EE6"/>
    <w:rsid w:val="6AD83BB8"/>
    <w:rsid w:val="6ADE0D71"/>
    <w:rsid w:val="6AE20645"/>
    <w:rsid w:val="6B415B5D"/>
    <w:rsid w:val="6B7439F8"/>
    <w:rsid w:val="6BA450F2"/>
    <w:rsid w:val="6C377FF2"/>
    <w:rsid w:val="6CB75D18"/>
    <w:rsid w:val="6CD974F9"/>
    <w:rsid w:val="6E635E5A"/>
    <w:rsid w:val="6F5E2F76"/>
    <w:rsid w:val="70293003"/>
    <w:rsid w:val="70834DC0"/>
    <w:rsid w:val="71214B28"/>
    <w:rsid w:val="71407FD8"/>
    <w:rsid w:val="716F0EE9"/>
    <w:rsid w:val="71AD1A11"/>
    <w:rsid w:val="723E1577"/>
    <w:rsid w:val="73300FF0"/>
    <w:rsid w:val="73830C7C"/>
    <w:rsid w:val="73877E7E"/>
    <w:rsid w:val="73A817E5"/>
    <w:rsid w:val="74626B12"/>
    <w:rsid w:val="74980757"/>
    <w:rsid w:val="74E4386D"/>
    <w:rsid w:val="751B75E7"/>
    <w:rsid w:val="752E3201"/>
    <w:rsid w:val="75500A39"/>
    <w:rsid w:val="763B75B6"/>
    <w:rsid w:val="771B391C"/>
    <w:rsid w:val="77EC5A3D"/>
    <w:rsid w:val="782C0E08"/>
    <w:rsid w:val="79474FB6"/>
    <w:rsid w:val="79EE21D7"/>
    <w:rsid w:val="7B1576DE"/>
    <w:rsid w:val="7D007610"/>
    <w:rsid w:val="7DC00ED4"/>
    <w:rsid w:val="7E7359C4"/>
    <w:rsid w:val="7F1A3DBA"/>
    <w:rsid w:val="7F2640F9"/>
    <w:rsid w:val="7FCF51EA"/>
    <w:rsid w:val="7FFA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rPr>
      <w:rFonts w:eastAsia="仿宋_GB2312" w:asciiTheme="minorAscii" w:hAnsiTheme="minorAscii"/>
      <w:sz w:val="32"/>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2847</Words>
  <Characters>2999</Characters>
  <Lines>0</Lines>
  <Paragraphs>0</Paragraphs>
  <TotalTime>11</TotalTime>
  <ScaleCrop>false</ScaleCrop>
  <LinksUpToDate>false</LinksUpToDate>
  <CharactersWithSpaces>3012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2023-11-14T09:12:00Z</dcterms:created>
  <dc:creator>Administrator</dc:creator>
  <cp:lastModifiedBy>时英明</cp:lastModifiedBy>
  <cp:lastPrinted>2025-01-13T07:58:00Z</cp:lastPrinted>
  <dcterms:modified xsi:type="dcterms:W3CDTF">2025-03-31T08:05:19Z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6A67D908CC21424CB7019B4588B54C46_13</vt:lpwstr>
  </property>
</Properties>
</file>