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245D9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310E5659">
      <w:pPr>
        <w:spacing w:line="560" w:lineRule="exact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 w14:paraId="16F867E1">
      <w:pPr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霍邱县户胡镇人民政府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年一般公共预算安排“三公”经费情况</w:t>
      </w:r>
    </w:p>
    <w:p w14:paraId="52B5E56C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霍邱县户胡镇人民政府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年“三公”经费预算表</w:t>
      </w:r>
    </w:p>
    <w:p w14:paraId="272F5367">
      <w:pPr>
        <w:spacing w:line="560" w:lineRule="exact"/>
        <w:jc w:val="righ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单位：万元</w:t>
      </w:r>
    </w:p>
    <w:tbl>
      <w:tblPr>
        <w:tblStyle w:val="3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887"/>
        <w:gridCol w:w="1664"/>
        <w:gridCol w:w="1724"/>
        <w:gridCol w:w="1395"/>
      </w:tblGrid>
      <w:tr w14:paraId="396A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3961"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“三公”经费合计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106F"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5620"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公务用车购置及运行费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3DEE"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</w:t>
            </w:r>
          </w:p>
          <w:p w14:paraId="34B907BB"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接待费</w:t>
            </w:r>
          </w:p>
        </w:tc>
      </w:tr>
      <w:tr w14:paraId="5C95C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A1342"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1B0F5"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62A5"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37CF"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公务用车</w:t>
            </w:r>
          </w:p>
          <w:p w14:paraId="2D6B4443"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购置费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8331"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公务用车</w:t>
            </w:r>
          </w:p>
          <w:p w14:paraId="07267C9C">
            <w:pPr>
              <w:widowControl/>
              <w:spacing w:after="0" w:line="24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运行费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71DF9">
            <w:pPr>
              <w:widowControl/>
              <w:spacing w:after="0" w:line="240" w:lineRule="auto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B76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D9E1">
            <w:pPr>
              <w:widowControl/>
              <w:spacing w:after="0" w:line="240" w:lineRule="auto"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42.5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7676">
            <w:pPr>
              <w:widowControl/>
              <w:spacing w:after="0" w:line="240" w:lineRule="auto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7218">
            <w:pPr>
              <w:widowControl/>
              <w:spacing w:after="0" w:line="240" w:lineRule="auto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EBC6">
            <w:pPr>
              <w:widowControl/>
              <w:spacing w:after="0" w:line="240" w:lineRule="auto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B15E">
            <w:pPr>
              <w:widowControl/>
              <w:spacing w:after="0" w:line="240" w:lineRule="auto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43F4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42.5</w:t>
            </w:r>
          </w:p>
        </w:tc>
      </w:tr>
    </w:tbl>
    <w:p w14:paraId="4AB41239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霍邱县户胡镇人民政府</w:t>
      </w:r>
      <w:r>
        <w:rPr>
          <w:rFonts w:hint="eastAsia" w:ascii="黑体" w:hAnsi="黑体" w:eastAsia="黑体" w:cs="黑体"/>
          <w:sz w:val="32"/>
          <w:szCs w:val="32"/>
        </w:rPr>
        <w:t>“三公”经费支出预算情况说明</w:t>
      </w:r>
    </w:p>
    <w:p w14:paraId="1FF6C5D0"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霍邱县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val="en-US" w:eastAsia="zh-CN"/>
        </w:rPr>
        <w:t>户胡镇人民政府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一般公共预算财政拨款</w:t>
      </w:r>
      <w:r>
        <w:rPr>
          <w:rFonts w:ascii="Times New Roman" w:hAnsi="Times New Roman" w:eastAsia="仿宋_GB2312"/>
          <w:color w:val="000000"/>
          <w:sz w:val="32"/>
          <w:szCs w:val="32"/>
        </w:rPr>
        <w:t>“三公”经费支出预算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42.5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较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增加1.5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上升3.66</w:t>
      </w:r>
      <w:r>
        <w:rPr>
          <w:rFonts w:ascii="Times New Roman" w:hAnsi="Times New Roman" w:eastAsia="仿宋_GB2312"/>
          <w:color w:val="000000"/>
          <w:sz w:val="32"/>
          <w:szCs w:val="32"/>
        </w:rPr>
        <w:t>%。其中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</w:rPr>
        <w:t>因公出国（境）费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万元，公务用车购置及运行费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公务接待费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42.5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万元。具体情况如下：</w:t>
      </w:r>
    </w:p>
    <w:p w14:paraId="590F749C">
      <w:pPr>
        <w:spacing w:line="60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（一）因公出国（境）费。</w:t>
      </w:r>
      <w:r>
        <w:rPr>
          <w:rFonts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较上年预算持平。该项经费预算根据批准的因公临时出国（境）计划，按照规定标准安排；主要是用于因公临时出国（境）业务培训、调研考察等外事活动。经费使用贯彻落实中央八项规定精神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和县委县政府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过紧日子要求，严控“三公”经费支出。</w:t>
      </w:r>
    </w:p>
    <w:p w14:paraId="4FC72DA9">
      <w:pPr>
        <w:spacing w:line="56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（二）公务用车购置及运行费。</w:t>
      </w:r>
      <w:r>
        <w:rPr>
          <w:rFonts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相比持平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，主要原因是贯彻落实中央八项规定精神和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县委县政府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过紧日子要求，严控“三公”经费支出。</w:t>
      </w:r>
      <w:r>
        <w:rPr>
          <w:rFonts w:ascii="Times New Roman" w:hAnsi="Times New Roman" w:eastAsia="仿宋_GB2312"/>
          <w:color w:val="000000"/>
          <w:sz w:val="32"/>
          <w:szCs w:val="32"/>
        </w:rPr>
        <w:t>其中：公务用车运行费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相比持平，主要原因是无新增公务用车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</w:rPr>
        <w:t>公务用车购置费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万元，与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相比持平，主要原因是无新增公务用车，用于购置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机要通信用车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辆、应急保障用车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辆、其他按照规定配备的公务用车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辆、执法执勤用车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辆、特种专业技术用车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辆。</w:t>
      </w:r>
    </w:p>
    <w:p w14:paraId="491A51A1">
      <w:pPr>
        <w:ind w:firstLine="643" w:firstLineChars="200"/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（三）公务接待费。</w:t>
      </w:r>
      <w:r>
        <w:rPr>
          <w:rFonts w:ascii="Times New Roman" w:hAnsi="Times New Roman" w:eastAsia="仿宋_GB2312"/>
          <w:color w:val="000000"/>
          <w:sz w:val="32"/>
          <w:szCs w:val="32"/>
        </w:rPr>
        <w:t>支出预算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42.5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较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预算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增加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上升3.66</w:t>
      </w:r>
      <w:r>
        <w:rPr>
          <w:rFonts w:ascii="Times New Roman" w:hAnsi="Times New Roman" w:eastAsia="仿宋_GB2312"/>
          <w:color w:val="000000"/>
          <w:sz w:val="32"/>
          <w:szCs w:val="32"/>
        </w:rPr>
        <w:t>%，主要原因是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机构改革，霍邱县户胡镇财政所三权下放至霍邱县户胡镇人民政府，财政所原有的三公经费平行移至政府，因此政府的公务接待费较上年有所增加</w:t>
      </w:r>
      <w:r>
        <w:rPr>
          <w:rFonts w:hint="eastAsia" w:ascii="FangSong_GB2312" w:hAnsi="FangSong_GB2312" w:eastAsia="FangSong_GB2312" w:cs="FangSong_GB2312"/>
          <w:spacing w:val="17"/>
          <w:sz w:val="31"/>
          <w:szCs w:val="31"/>
          <w:lang w:val="en-US"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该项经费主要用于保障公务人员出席会议、考察调研、执行任务、检查指导等国内公务活动开支。经费使用贯彻落实中央八项规定精神和严格执行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县直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机关公务接待费管理办法规定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64559"/>
    <w:rsid w:val="455C188E"/>
    <w:rsid w:val="584E7471"/>
    <w:rsid w:val="6E295B09"/>
    <w:rsid w:val="721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798</Characters>
  <Lines>0</Lines>
  <Paragraphs>0</Paragraphs>
  <TotalTime>0</TotalTime>
  <ScaleCrop>false</ScaleCrop>
  <LinksUpToDate>false</LinksUpToDate>
  <CharactersWithSpaces>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2025-03-03T09:26:00Z</dcterms:created>
  <dc:creator>Lenovo</dc:creator>
  <cp:lastModifiedBy>Lenovo</cp:lastModifiedBy>
  <dcterms:modified xsi:type="dcterms:W3CDTF">2025-03-03T10:52:33Z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902A6B66475C4F89BFEC695EEEFF8C87_13</vt:lpwstr>
  </property>
  <property fmtid="{D5CDD505-2E9C-101B-9397-08002B2CF9AE}" pid="4" name="KSOTemplateDocerSaveRecord">
    <vt:lpwstr>eyJoZGlkIjoiYjk5ODM0YmMxOWJiYWQyNDU4MGIzYWRmYTA0ZmI5NDcifQ==</vt:lpwstr>
  </property>
</Properties>
</file>