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3CBE" w14:textId="77777777" w:rsidR="006D466F" w:rsidRDefault="00BF6E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霍邱县公安局2024年政府信息公开工作年度报告</w:t>
      </w:r>
    </w:p>
    <w:p w14:paraId="6295FC2B" w14:textId="77777777" w:rsidR="006D466F" w:rsidRDefault="006D466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EF7F1D6" w14:textId="77777777" w:rsidR="006D466F" w:rsidRDefault="00BF6EF5">
      <w:pPr>
        <w:spacing w:line="52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</w:rPr>
      </w:pP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根据《中华人民共和国政府信息公开条例》和</w:t>
      </w:r>
      <w:r>
        <w:rPr>
          <w:rFonts w:ascii="Times New Roman" w:eastAsia="仿宋_GB2312" w:hAnsi="Times New Roman" w:cs="Times New Roman"/>
          <w:sz w:val="32"/>
          <w:szCs w:val="32"/>
        </w:rPr>
        <w:t>《国务院办公厅政府信息与政务公开办公室关于印发〈中华人民共和国政府信息公开工作年度报告格式〉的通知》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国办公开办函〔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要求，霍邱县公安局编制2024年政府信息公开年度报告。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本年度报告中所列数据统计期限为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日。如对本报告有疑问，请与霍邱县公安局办公室联系（地址：城关</w:t>
      </w:r>
      <w:proofErr w:type="gramStart"/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镇卧阳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北路；邮编：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237400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；联系电话：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0564-6022822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）。</w:t>
      </w:r>
    </w:p>
    <w:p w14:paraId="79056E03" w14:textId="77777777" w:rsidR="006D466F" w:rsidRDefault="00BF6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605A7009" w14:textId="7777777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（一）主动公开政府信息情况。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，县公安局根据县政府信息公开办工作统一部署和要求，依法、及时、准确公开政府信息，保障公众知情权、参与权、表达权和监督权。坚持“公开为常态、不公开为例外”“谁公开、谁审查、谁负责”和“先审查、后公开”的原则，全面加强主动公开工作。我局按照《中华人民共和国政府信息公开条例》，对涉及公众利益调整、需求公众广泛知晓、参与决策的政府信息进行了主动公开，让老百姓了解政府、了解政务、监督政务。全年，我局通过政府门户网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微信公众号、微博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等渠道主动公开各类警务信息2000余条。扎实做好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反电诈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、交通安全等涉民生领域警示宣传，发布信息预警提示信息16条，通报电信网络诈骗案例58起，主动回应社会关切40次。认真做好户籍管理领域栏目的维护，及时公开户政管理相关政策及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各类户籍业务的办事指南。根据上级公安机关要求，及时调整、更新重点领域公开事项目录和内容。</w:t>
      </w:r>
    </w:p>
    <w:p w14:paraId="0888E85B" w14:textId="7777777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（二）依申请公开政府信息情况。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全年共收到政府信息公开申请5件，均为线上申请，均依法及时规范办理。</w:t>
      </w:r>
    </w:p>
    <w:p w14:paraId="0746B1CB" w14:textId="7777777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（三）政府信息管理情况。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霍邱县公安局政府信息公开工作由指挥中心（办公室)牵头负责日常工作，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严格全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流程登记、多部门会商、动态跟进、公开平台安全预警等全周期规范管理措施，对局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属部门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需要公开的信息，按要求填写《政府信息公开审查表》，经审核通过后，方可网上发布信息，确保信息发布无误。由法制部门牵头，组织开展行政规范性文件清理工作，对现行有效的规范性文件规范格式。</w:t>
      </w:r>
    </w:p>
    <w:p w14:paraId="3E1F7E34" w14:textId="7777777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（四）政府信息公开平台建设情况。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坚持以“讲好警察故事、发好公安声音”为发力点，做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新媒体平台。全年，县公安局共被中央级媒体采用30件、省级媒体采用478件、市级媒体采用143件。依托警营开放日等特殊时间节点开展线下宣传活动，构建和谐警民关系，营造了共建共治共享社会治理格局。组建线下宣传小分队，依托48处“平安电影院”流动放映点，结合快板宣教、“送戏下乡”等创新形式，开展各类线下安全宣传活动1200余场次。</w:t>
      </w:r>
    </w:p>
    <w:p w14:paraId="59397957" w14:textId="6708609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（五）监督保障情况。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积极参加县政府信息公开办组织的各类培训，总结学习先进典型经验做法，有效提升政府信息公开水平。</w:t>
      </w:r>
      <w:r w:rsidR="00931197" w:rsidRPr="00931197">
        <w:rPr>
          <w:rFonts w:ascii="仿宋_GB2312" w:eastAsia="仿宋_GB2312" w:hAnsi="仿宋_GB2312" w:cs="仿宋_GB2312" w:hint="eastAsia"/>
          <w:sz w:val="32"/>
          <w:szCs w:val="32"/>
        </w:rPr>
        <w:t>将政府信息公开工作纳入年度重点工作和绩效考核体系，</w:t>
      </w:r>
      <w:r w:rsidR="006936A1" w:rsidRPr="006936A1">
        <w:rPr>
          <w:rFonts w:ascii="仿宋_GB2312" w:eastAsia="仿宋_GB2312" w:hAnsi="仿宋_GB2312" w:cs="仿宋_GB2312" w:hint="eastAsia"/>
          <w:sz w:val="32"/>
          <w:szCs w:val="32"/>
        </w:rPr>
        <w:t>加强日常监督检查，定期通报工作情况</w:t>
      </w:r>
      <w:r w:rsidR="006936A1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31197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31197">
        <w:rPr>
          <w:rFonts w:ascii="仿宋_GB2312" w:eastAsia="仿宋_GB2312" w:hAnsi="仿宋_GB2312" w:cs="仿宋_GB2312"/>
          <w:sz w:val="32"/>
          <w:szCs w:val="32"/>
        </w:rPr>
        <w:t>接县政府</w:t>
      </w:r>
      <w:r w:rsidR="00931197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931197">
        <w:rPr>
          <w:rFonts w:ascii="仿宋_GB2312" w:eastAsia="仿宋_GB2312" w:hAnsi="仿宋_GB2312" w:cs="仿宋_GB2312"/>
          <w:sz w:val="32"/>
          <w:szCs w:val="32"/>
        </w:rPr>
        <w:t>公</w:t>
      </w:r>
      <w:r w:rsidR="00931197">
        <w:rPr>
          <w:rFonts w:ascii="仿宋_GB2312" w:eastAsia="仿宋_GB2312" w:hAnsi="仿宋_GB2312" w:cs="仿宋_GB2312" w:hint="eastAsia"/>
          <w:sz w:val="32"/>
          <w:szCs w:val="32"/>
        </w:rPr>
        <w:t>开</w:t>
      </w:r>
      <w:r w:rsidR="00931197">
        <w:rPr>
          <w:rFonts w:ascii="仿宋_GB2312" w:eastAsia="仿宋_GB2312" w:hAnsi="仿宋_GB2312" w:cs="仿宋_GB2312"/>
          <w:sz w:val="32"/>
          <w:szCs w:val="32"/>
        </w:rPr>
        <w:t>办</w:t>
      </w:r>
      <w:r w:rsidR="00931197">
        <w:rPr>
          <w:rFonts w:ascii="仿宋_GB2312" w:eastAsia="仿宋_GB2312" w:hAnsi="仿宋_GB2312" w:cs="仿宋_GB2312" w:hint="eastAsia"/>
          <w:sz w:val="32"/>
          <w:szCs w:val="32"/>
        </w:rPr>
        <w:t>，指导</w:t>
      </w:r>
      <w:r w:rsidR="00931197">
        <w:rPr>
          <w:rFonts w:ascii="仿宋_GB2312" w:eastAsia="仿宋_GB2312" w:hAnsi="仿宋_GB2312" w:cs="仿宋_GB2312"/>
          <w:sz w:val="32"/>
          <w:szCs w:val="32"/>
        </w:rPr>
        <w:t>警种部门</w:t>
      </w:r>
      <w:r w:rsidR="00931197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 w:rsidR="00931197">
        <w:rPr>
          <w:rFonts w:ascii="仿宋_GB2312" w:eastAsia="仿宋_GB2312" w:hAnsi="仿宋_GB2312" w:cs="仿宋_GB2312"/>
          <w:sz w:val="32"/>
          <w:szCs w:val="32"/>
        </w:rPr>
        <w:t>整改</w:t>
      </w:r>
      <w:r w:rsidR="00BE0BD8">
        <w:rPr>
          <w:rFonts w:ascii="仿宋_GB2312" w:eastAsia="仿宋_GB2312" w:hAnsi="仿宋_GB2312" w:cs="仿宋_GB2312"/>
          <w:sz w:val="32"/>
          <w:szCs w:val="32"/>
        </w:rPr>
        <w:t>4</w:t>
      </w:r>
      <w:r w:rsidR="00BE0BD8" w:rsidRPr="00BE0BD8">
        <w:rPr>
          <w:rFonts w:ascii="仿宋_GB2312" w:eastAsia="仿宋_GB2312" w:hAnsi="仿宋_GB2312" w:cs="仿宋_GB2312" w:hint="eastAsia"/>
          <w:sz w:val="32"/>
          <w:szCs w:val="32"/>
        </w:rPr>
        <w:t>次季度测评</w:t>
      </w:r>
      <w:r w:rsidR="00BE0BD8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BE0BD8">
        <w:rPr>
          <w:rFonts w:ascii="仿宋_GB2312" w:eastAsia="仿宋_GB2312" w:hAnsi="仿宋_GB2312" w:cs="仿宋_GB2312"/>
          <w:sz w:val="32"/>
          <w:szCs w:val="32"/>
        </w:rPr>
        <w:t>日</w:t>
      </w:r>
      <w:r w:rsidR="00BE0BD8">
        <w:rPr>
          <w:rFonts w:ascii="仿宋_GB2312" w:eastAsia="仿宋_GB2312" w:hAnsi="仿宋_GB2312" w:cs="仿宋_GB2312"/>
          <w:sz w:val="32"/>
          <w:szCs w:val="32"/>
        </w:rPr>
        <w:lastRenderedPageBreak/>
        <w:t>常监测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问题清单，确保网页信息更新及时有效。</w:t>
      </w:r>
      <w:r w:rsidR="00433973" w:rsidRPr="00433973">
        <w:rPr>
          <w:rFonts w:ascii="仿宋_GB2312" w:eastAsia="仿宋_GB2312" w:hAnsi="仿宋_GB2312" w:cs="仿宋_GB2312" w:hint="eastAsia"/>
          <w:sz w:val="32"/>
          <w:szCs w:val="32"/>
        </w:rPr>
        <w:t>全年社会评议未出现不满意或差评等情形</w:t>
      </w:r>
      <w:r w:rsidR="00433973">
        <w:rPr>
          <w:rFonts w:ascii="仿宋_GB2312" w:eastAsia="仿宋_GB2312" w:hAnsi="仿宋_GB2312" w:cs="仿宋_GB2312" w:hint="eastAsia"/>
          <w:sz w:val="32"/>
          <w:szCs w:val="32"/>
        </w:rPr>
        <w:t>，无</w:t>
      </w:r>
      <w:r w:rsidR="00433973">
        <w:rPr>
          <w:rFonts w:ascii="仿宋_GB2312" w:eastAsia="仿宋_GB2312" w:hAnsi="仿宋_GB2312" w:cs="仿宋_GB2312"/>
          <w:sz w:val="32"/>
          <w:szCs w:val="32"/>
        </w:rPr>
        <w:t>问责</w:t>
      </w:r>
      <w:r w:rsidR="00433973">
        <w:rPr>
          <w:rFonts w:ascii="仿宋_GB2312" w:eastAsia="仿宋_GB2312" w:hAnsi="仿宋_GB2312" w:cs="仿宋_GB2312" w:hint="eastAsia"/>
          <w:sz w:val="32"/>
          <w:szCs w:val="32"/>
        </w:rPr>
        <w:t>追</w:t>
      </w:r>
      <w:r w:rsidR="00433973">
        <w:rPr>
          <w:rFonts w:ascii="仿宋_GB2312" w:eastAsia="仿宋_GB2312" w:hAnsi="仿宋_GB2312" w:cs="仿宋_GB2312"/>
          <w:sz w:val="32"/>
          <w:szCs w:val="32"/>
        </w:rPr>
        <w:t>责</w:t>
      </w:r>
      <w:r w:rsidR="00433973"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14:paraId="2EF080CB" w14:textId="77777777" w:rsidR="006D466F" w:rsidRDefault="00BF6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D466F" w14:paraId="4DE40EE2" w14:textId="77777777">
        <w:trPr>
          <w:trHeight w:hRule="exact" w:val="567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89BB5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 w:rsidR="006D466F" w14:paraId="5DA45EBB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BC2A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65BC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AB69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C3AB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现行有效件数</w:t>
            </w:r>
          </w:p>
        </w:tc>
      </w:tr>
      <w:tr w:rsidR="006D466F" w14:paraId="4B6E5F90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32240" w14:textId="77777777" w:rsidR="006D466F" w:rsidRDefault="00BF6EF5">
            <w:pPr>
              <w:spacing w:line="5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59D76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671CA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81585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D466F" w14:paraId="35DB3B16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505C1" w14:textId="77777777" w:rsidR="006D466F" w:rsidRDefault="00BF6EF5">
            <w:pPr>
              <w:spacing w:line="5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AB347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C6F6D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B911F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D466F" w14:paraId="7EE2196B" w14:textId="77777777">
        <w:trPr>
          <w:trHeight w:hRule="exact"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76994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 w:rsidR="006D466F" w14:paraId="5137265D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610A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A07B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 w:rsidR="006D466F" w14:paraId="1A41CC20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795D3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BA9E7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124227</w:t>
            </w:r>
          </w:p>
        </w:tc>
      </w:tr>
      <w:tr w:rsidR="006D466F" w14:paraId="71344777" w14:textId="77777777">
        <w:trPr>
          <w:trHeight w:hRule="exact"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40ACD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 w:rsidR="006D466F" w14:paraId="0FA78732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68E5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0D34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 w:rsidR="006D466F" w14:paraId="1F716C26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A48A1" w14:textId="77777777" w:rsidR="006D466F" w:rsidRDefault="00BF6EF5">
            <w:pPr>
              <w:spacing w:line="5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11C8F" w14:textId="6A491B78" w:rsidR="006D466F" w:rsidRDefault="006D70B5" w:rsidP="00F175C9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  <w:r w:rsidR="00F175C9">
              <w:rPr>
                <w:rFonts w:ascii="Times New Roman" w:hAnsi="Times New Roman" w:cs="Times New Roman"/>
                <w:kern w:val="0"/>
                <w:sz w:val="20"/>
                <w:szCs w:val="20"/>
              </w:rPr>
              <w:t>5896</w:t>
            </w:r>
            <w:bookmarkStart w:id="1" w:name="_GoBack"/>
            <w:bookmarkEnd w:id="1"/>
            <w:r w:rsidR="00BF6EF5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D466F" w14:paraId="2CF059DD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EAB3F" w14:textId="77777777" w:rsidR="006D466F" w:rsidRDefault="00BF6EF5">
            <w:pPr>
              <w:spacing w:line="5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67A1" w14:textId="77777777" w:rsidR="006D466F" w:rsidRDefault="00BF6EF5">
            <w:pPr>
              <w:spacing w:line="5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3343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D466F" w14:paraId="6EF9D68E" w14:textId="77777777">
        <w:trPr>
          <w:trHeight w:hRule="exact" w:val="567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B44CF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 w:rsidR="006D466F" w14:paraId="705056F4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8E73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B1CE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D466F" w14:paraId="4C23E791" w14:textId="77777777">
        <w:trPr>
          <w:trHeight w:hRule="exact" w:val="567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4CB2C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932CA0" w14:textId="77777777" w:rsidR="006D466F" w:rsidRDefault="00BF6EF5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684.66</w:t>
            </w:r>
          </w:p>
        </w:tc>
      </w:tr>
    </w:tbl>
    <w:p w14:paraId="18777FD1" w14:textId="77777777" w:rsidR="006D466F" w:rsidRDefault="00BF6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74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:rsidR="006D466F" w14:paraId="031F19FE" w14:textId="77777777">
        <w:trPr>
          <w:trHeight w:val="455"/>
          <w:jc w:val="center"/>
        </w:trPr>
        <w:tc>
          <w:tcPr>
            <w:tcW w:w="4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F3C1C" w14:textId="77777777" w:rsidR="006D466F" w:rsidRDefault="00BF6EF5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1C714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 w:rsidR="006D466F" w14:paraId="1591EA12" w14:textId="77777777">
        <w:trPr>
          <w:trHeight w:val="410"/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4E2F0" w14:textId="77777777" w:rsidR="006D466F" w:rsidRDefault="006D466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2FDD7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0D3C3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88B39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 w:rsidR="006D466F" w14:paraId="79A5C39F" w14:textId="77777777">
        <w:trPr>
          <w:trHeight w:val="1090"/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D6F49" w14:textId="77777777" w:rsidR="006D466F" w:rsidRDefault="006D466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30694" w14:textId="77777777" w:rsidR="006D466F" w:rsidRDefault="006D466F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04B69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商业</w:t>
            </w:r>
          </w:p>
          <w:p w14:paraId="7BA9C77E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7307F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科研</w:t>
            </w:r>
          </w:p>
          <w:p w14:paraId="1AEC5E91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49FC3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1F9CB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8C79F" w14:textId="77777777" w:rsidR="006D466F" w:rsidRDefault="00BF6EF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F07AA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D466F" w14:paraId="4DA1AC15" w14:textId="77777777">
        <w:trPr>
          <w:trHeight w:val="620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E93CF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95F8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2135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C8F8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BEEB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728C5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E007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E433B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6D466F" w14:paraId="6C98300C" w14:textId="77777777">
        <w:trPr>
          <w:trHeight w:val="710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5373FA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514A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6853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25A1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6F18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CCBB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F24B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6F302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0AB31065" w14:textId="77777777">
        <w:trPr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8264F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2788C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7502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AB1F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A741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3D5D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F8A4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7775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2B1AE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</w:tr>
      <w:tr w:rsidR="006D466F" w14:paraId="5F11EFA4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8A053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B5B62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D802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AA29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DA62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CBBE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25A0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56E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62884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D466F" w14:paraId="0DC712D8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3521A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18A69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F7A541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8B708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69A51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EE60D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05955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3EC26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B5ED2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588A8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D466F" w14:paraId="0BC05E6A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AABFB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488E9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FD52C7B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01862B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90063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4BFA0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C383E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A933C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35205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27179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0BF0699E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2AD38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C3DB3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07B559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C4EF7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22D9A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03E0E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D91CF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384DF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133B9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E2FC2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D466F" w14:paraId="0E1EEE73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109922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F72D0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7457A5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535D1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26F07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E4703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B16CB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A4323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277FB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5B3C2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6ECDCCC2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E5C43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164FCD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006707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7D658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AD2B7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B6A116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2AA90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2A47BF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34929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E7845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4C84C590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51AAC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D1D69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16E38B0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816ED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86CD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7C2C1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B38E0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5B593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7A43D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892CB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38E0F01D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C0CF1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9350C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64C960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8E54A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531A6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29E6E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8BBF7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3D6E7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C34EC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B10A3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264250E6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85B1C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BFB17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5C8ADB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47C3D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2FA44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BE2DF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F5EBA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5DD20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4F8CD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DB11B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21EC4279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657BA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0620C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BE3A48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CEA06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ECEE8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88949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B8C73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BE329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A8710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04D1A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516D4132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EDC04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B9145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ED0DBCF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8D629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0B7B1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7E0B7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8A42C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30737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CB0F7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1C797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7D921A43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AE903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A0DBB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6D7927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CDAC2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53207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11B1E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E2ACA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0581C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51126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3BC21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18B9F48E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66CBB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862D75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8AAE14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45278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0A665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104306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C2C1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7BC30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F5F88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4B24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5699714B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E7BA09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8CBED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142913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789FE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9B779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480D2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2CC89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1715C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AB487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08AB1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2D0B8762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C2A74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586AC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DC48DA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E3C14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7A210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51BC6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B63B8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1657A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2E531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35E7D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2B442DAD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58C80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BD26F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C4AE30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5B345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F2C8D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0FA98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E7C6E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C6B6D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60C94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21719C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1561E8AE" w14:textId="77777777">
        <w:trPr>
          <w:trHeight w:val="1300"/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90589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641BF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5024B" w14:textId="77777777" w:rsidR="006D466F" w:rsidRDefault="00BF6EF5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F5E32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17CB7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4E6A4C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4D01E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4E9B9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B3AAD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AD389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7E53B45C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82889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thickThinLargeGap" w:sz="8" w:space="0" w:color="auto"/>
              <w:left w:val="single" w:sz="0" w:space="0" w:color="auto"/>
              <w:bottom w:val="thickThinLargeGap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7FAFD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4B957" w14:textId="77777777" w:rsidR="006D466F" w:rsidRDefault="00BF6EF5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571AF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35AB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AF8A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26CB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E1BC76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7F11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B9648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66CE6FDC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B3BA2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thickThinLargeGap" w:sz="8" w:space="0" w:color="auto"/>
              <w:left w:val="single" w:sz="0" w:space="0" w:color="auto"/>
              <w:bottom w:val="thickThinLargeGap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BACC3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F98DF" w14:textId="77777777" w:rsidR="006D466F" w:rsidRDefault="00BF6EF5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申请人逾期未按收费通知要求缴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纳费用、行政机关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28694C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5C4AA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A7909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6236F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E25F5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716C3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552713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4696B4B5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62C72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3C138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856D6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C8333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62DA1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568FC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D5DDA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A5BAF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0196E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05FBB8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D466F" w14:paraId="17F22F25" w14:textId="77777777">
        <w:trPr>
          <w:jc w:val="center"/>
        </w:trPr>
        <w:tc>
          <w:tcPr>
            <w:tcW w:w="76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F6F21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703A0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1D30BA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721F0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1CBC2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6A62D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5E50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B38D2E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FEEDB5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6D466F" w14:paraId="0F02FA07" w14:textId="77777777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7519E" w14:textId="77777777" w:rsidR="006D466F" w:rsidRDefault="00BF6EF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D2F68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49B5D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ED12C6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A05F1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6C53F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DCF79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12B6F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003EAA86" w14:textId="77777777" w:rsidR="006D466F" w:rsidRDefault="006D466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209132" w14:textId="77777777" w:rsidR="006D466F" w:rsidRDefault="00BF6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政府信息公开行政复议、行政诉讼情况</w:t>
      </w:r>
    </w:p>
    <w:p w14:paraId="1F6F260D" w14:textId="77777777" w:rsidR="006D466F" w:rsidRDefault="006D466F">
      <w:pPr>
        <w:shd w:val="clear" w:color="auto" w:fill="FFFFFF"/>
        <w:spacing w:line="540" w:lineRule="exact"/>
        <w:jc w:val="center"/>
        <w:rPr>
          <w:rFonts w:ascii="Times New Roman" w:hAnsi="Times New Roman" w:cs="Times New Roman"/>
          <w:sz w:val="24"/>
        </w:rPr>
      </w:pPr>
    </w:p>
    <w:tbl>
      <w:tblPr>
        <w:tblW w:w="974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D466F" w14:paraId="3E59B10C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37E6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E4889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 w:rsidR="006D466F" w14:paraId="187C8577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E9F42D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491B8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1877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7E63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8502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6F50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D1FA4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 w:rsidR="006D466F" w14:paraId="50B3717D" w14:textId="7777777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8D4C2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70EF6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5D035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136C1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DE581D" w14:textId="77777777" w:rsidR="006D466F" w:rsidRDefault="006D466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72DB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2D0B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E4F54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6289A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062AE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672AB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59F292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BACD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1CFB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9F6F1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 w:rsidR="006D466F" w14:paraId="30AE1CEE" w14:textId="77777777">
        <w:trPr>
          <w:trHeight w:val="51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59E82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6E8963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9829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3BCB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DB7480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118EF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F658C5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B8767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6ECF0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DC5DF9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DE86E" w14:textId="77777777" w:rsidR="006D466F" w:rsidRDefault="00BF6EF5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AAF09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9B567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0EEAF" w14:textId="77777777" w:rsidR="006D466F" w:rsidRDefault="00BF6EF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1873E" w14:textId="77777777" w:rsidR="006D466F" w:rsidRDefault="00BF6EF5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</w:tr>
    </w:tbl>
    <w:p w14:paraId="2298B446" w14:textId="77777777" w:rsidR="006D466F" w:rsidRDefault="00BF6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5748A4CA" w14:textId="77777777" w:rsidR="006D466F" w:rsidRDefault="00BF6EF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（一）上年度存在问题及整改情况。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上年度存在的贯彻落实《条例》不足问题，我局组织政府信息公开经办人员认真学习《条例》，结合公安工作实际，补足短板。针对主动公开存在短板问题，我局加大主动公开力度，深刻了解各栏目基本要求，严格规范各栏目信息公开。针对工作人员业务能力不高问题，今年，我局先后4次参加县政府信息公开办组织的集中培训，法制部门召集相关警种部门召开规范性文件专题清理会，切实提升工作人员业务水平。</w:t>
      </w:r>
    </w:p>
    <w:p w14:paraId="18E6BE8A" w14:textId="77777777" w:rsidR="006D466F" w:rsidRDefault="00BF6EF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（二）本年度存在问题及改进情况</w:t>
      </w:r>
    </w:p>
    <w:p w14:paraId="67286FD9" w14:textId="49A0D137" w:rsidR="006D466F" w:rsidRDefault="00BF6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1、存在问题。一是个别栏目信息更新不及时。二是政</w:t>
      </w:r>
      <w:r w:rsidR="00C64D33">
        <w:rPr>
          <w:rFonts w:ascii="仿宋_GB2312" w:eastAsia="仿宋_GB2312" w:hAnsi="仿宋_GB2312" w:cs="仿宋_GB2312" w:hint="eastAsia"/>
          <w:sz w:val="32"/>
          <w:szCs w:val="32"/>
        </w:rPr>
        <w:t>府</w:t>
      </w:r>
      <w:r w:rsidR="00C64D33">
        <w:rPr>
          <w:rFonts w:ascii="仿宋_GB2312" w:eastAsia="仿宋_GB2312" w:hAnsi="仿宋_GB2312" w:cs="仿宋_GB2312"/>
          <w:sz w:val="32"/>
          <w:szCs w:val="32"/>
        </w:rPr>
        <w:lastRenderedPageBreak/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公开意识和宣传有待进一步加强。</w:t>
      </w:r>
    </w:p>
    <w:p w14:paraId="1557CF1F" w14:textId="43EDF136" w:rsidR="006D466F" w:rsidRDefault="00BF6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2、改进措施。一是加强政府信息公开工作的组织领导和监督检查，依法及时公布需公开信息；二是强化责任落实，进一步提高政府</w:t>
      </w:r>
      <w:r>
        <w:rPr>
          <w:rFonts w:ascii="仿宋_GB2312" w:eastAsia="仿宋_GB2312" w:hAnsi="仿宋_GB2312" w:cs="仿宋_GB2312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公开质量、提升政务服务效能。</w:t>
      </w:r>
    </w:p>
    <w:p w14:paraId="64B19254" w14:textId="77777777" w:rsidR="006D466F" w:rsidRDefault="00BF6EF5">
      <w:pPr>
        <w:pStyle w:val="a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六、其他需要报告的事项</w:t>
      </w:r>
    </w:p>
    <w:p w14:paraId="18797F53" w14:textId="514ADFB0" w:rsidR="00D219EA" w:rsidRPr="00D219EA" w:rsidRDefault="00D219EA">
      <w:pPr>
        <w:spacing w:line="560" w:lineRule="exact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</w:rPr>
      </w:pPr>
      <w:r w:rsidRPr="00D219EA"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2024年，县政务服务中心公安综合服务窗口结合“互联网+政务服务”模式，全面推行长三角地区跨省户口网上迁移、新生儿出生登记等便民措施，切实实现了跨省户口网上迁移“一地受理免两地奔波”。同时，还积极开展异地居民身份证全国通办、民爆物品购买运输许可网上审批、就近办，车驾管业务一体办等各项便民措施，真</w:t>
      </w:r>
      <w:proofErr w:type="gramStart"/>
      <w:r w:rsidRPr="00D219EA"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真正</w:t>
      </w:r>
      <w:proofErr w:type="gramEnd"/>
      <w:r w:rsidRPr="00D219EA"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正的用实际行动打通便民服务“最后一公里”。一年来，通过“皖事通”受理户籍业务178笔，跨省办理户口迁移业务4292笔，长三角异地办理新生儿户口登记业务1321笔。</w:t>
      </w:r>
    </w:p>
    <w:p w14:paraId="0B4797F4" w14:textId="75F022F1" w:rsidR="006D466F" w:rsidRDefault="00BF6E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按照《国务院办公厅关于印发〈政府信息公开信息处理费管理办法〉的通知》（国办函〔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109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号）规定的按件、按量收费标准，本年度没有产生信息公开处理费。</w:t>
      </w:r>
      <w:bookmarkEnd w:id="0"/>
    </w:p>
    <w:sectPr w:rsidR="006D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MGQ5MmZlZjYwNTM5MTU5ZmFhYTBkMGE4YjA5OWMifQ=="/>
    <w:docVar w:name="KSO_WPS_MARK_KEY" w:val="c2ef5238-767d-46c6-b571-295b496efafa"/>
  </w:docVars>
  <w:rsids>
    <w:rsidRoot w:val="1A847EA9"/>
    <w:rsid w:val="00433973"/>
    <w:rsid w:val="004C158D"/>
    <w:rsid w:val="006936A1"/>
    <w:rsid w:val="006A07FF"/>
    <w:rsid w:val="006D466F"/>
    <w:rsid w:val="006D70B5"/>
    <w:rsid w:val="00931197"/>
    <w:rsid w:val="00BD57AA"/>
    <w:rsid w:val="00BE0BD8"/>
    <w:rsid w:val="00BF6EF5"/>
    <w:rsid w:val="00C64D33"/>
    <w:rsid w:val="00D219EA"/>
    <w:rsid w:val="00E02D36"/>
    <w:rsid w:val="00F14DE4"/>
    <w:rsid w:val="00F175C9"/>
    <w:rsid w:val="00FF0D2D"/>
    <w:rsid w:val="04635A3C"/>
    <w:rsid w:val="06E453C0"/>
    <w:rsid w:val="077F04D9"/>
    <w:rsid w:val="07FA7E23"/>
    <w:rsid w:val="0B1344F2"/>
    <w:rsid w:val="16E201F9"/>
    <w:rsid w:val="17241D69"/>
    <w:rsid w:val="199A08C7"/>
    <w:rsid w:val="1A847EA9"/>
    <w:rsid w:val="1E085DDD"/>
    <w:rsid w:val="1F876CBF"/>
    <w:rsid w:val="21BC2D1B"/>
    <w:rsid w:val="24724E86"/>
    <w:rsid w:val="2A79713E"/>
    <w:rsid w:val="304A6CBB"/>
    <w:rsid w:val="3A167683"/>
    <w:rsid w:val="3EF60D22"/>
    <w:rsid w:val="43683D8B"/>
    <w:rsid w:val="4E984FAC"/>
    <w:rsid w:val="4F242BA3"/>
    <w:rsid w:val="546C1F76"/>
    <w:rsid w:val="56A85310"/>
    <w:rsid w:val="5BF803A6"/>
    <w:rsid w:val="5F1A3546"/>
    <w:rsid w:val="5FDF17EB"/>
    <w:rsid w:val="61D967BF"/>
    <w:rsid w:val="6A007C48"/>
    <w:rsid w:val="742D4673"/>
    <w:rsid w:val="7B5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0DA48"/>
  <w15:docId w15:val="{AAAA5313-878E-4D21-80DE-0D9FF3A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D219EA"/>
    <w:rPr>
      <w:sz w:val="18"/>
      <w:szCs w:val="18"/>
    </w:rPr>
  </w:style>
  <w:style w:type="character" w:customStyle="1" w:styleId="a8">
    <w:name w:val="批注框文本 字符"/>
    <w:basedOn w:val="a0"/>
    <w:link w:val="a7"/>
    <w:rsid w:val="00D219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annotation subject"/>
    <w:basedOn w:val="a3"/>
    <w:next w:val="a3"/>
    <w:link w:val="aa"/>
    <w:rsid w:val="00931197"/>
    <w:rPr>
      <w:b/>
      <w:bCs/>
    </w:rPr>
  </w:style>
  <w:style w:type="character" w:customStyle="1" w:styleId="a4">
    <w:name w:val="批注文字 字符"/>
    <w:basedOn w:val="a0"/>
    <w:link w:val="a3"/>
    <w:rsid w:val="0093119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rsid w:val="0093119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511</Words>
  <Characters>2916</Characters>
  <Application>Microsoft Office Word</Application>
  <DocSecurity>0</DocSecurity>
  <Lines>24</Lines>
  <Paragraphs>6</Paragraphs>
  <ScaleCrop>false</ScaleCrop>
  <Company>China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公安局收发员</cp:lastModifiedBy>
  <cp:revision>5</cp:revision>
  <cp:lastPrinted>2025-01-15T02:51:00Z</cp:lastPrinted>
  <dcterms:created xsi:type="dcterms:W3CDTF">2025-01-15T02:47:00Z</dcterms:created>
  <dcterms:modified xsi:type="dcterms:W3CDTF">2025-02-13T09:11:00Z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D368552580184A209DEAFDBF85BA420A_11</vt:lpwstr>
  </property>
</Properties>
</file>