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69B4">
      <w:pPr>
        <w:pStyle w:val="6"/>
        <w:snapToGrid w:val="0"/>
        <w:spacing w:before="0" w:after="0" w:line="560" w:lineRule="exact"/>
        <w:outlineLvl w:val="9"/>
        <w:rPr>
          <w:rFonts w:ascii="方正小标宋简体" w:hAnsi="方正小标宋简体" w:eastAsia="方正小标宋简体" w:cs="方正小标宋简体"/>
          <w:b w:val="0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高塘镇人民政府绩效自评报告</w:t>
      </w:r>
    </w:p>
    <w:p w14:paraId="3239F2C3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422EA8B">
      <w:pPr>
        <w:numPr>
          <w:ilvl w:val="0"/>
          <w:numId w:val="1"/>
        </w:numPr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自评工作开展情况</w:t>
      </w:r>
    </w:p>
    <w:p w14:paraId="7A8CD02D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（一）项目支出自评情况。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本镇共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个自评项目，包括2022年第3批农村道路建设项目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村干部报酬及村级基本运转经费；乡村振兴经费；其他(人大、纪检、社区经费和服务企业专项经费)；城乡医保、养老保险专项经费；常态化新冠疫情防控经费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事业发展经费；</w:t>
      </w:r>
      <w:r>
        <w:rPr>
          <w:rFonts w:ascii="仿宋_GB2312" w:hAnsi="仿宋_GB2312" w:eastAsia="仿宋_GB2312" w:cs="仿宋_GB2312"/>
          <w:sz w:val="32"/>
          <w:szCs w:val="32"/>
        </w:rPr>
        <w:t>综治维稳、信访、人民调解经费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；环境治理(生态保护)、美丽乡村建设、殡改、统计、招商引资等经费，预算总金额共</w:t>
      </w:r>
      <w:r>
        <w:rPr>
          <w:rFonts w:hint="eastAsia" w:ascii="仿宋_GB2312" w:hAnsi="楷体" w:cs="Times New Roman"/>
          <w:sz w:val="32"/>
          <w:szCs w:val="32"/>
          <w:lang w:val="en-US" w:eastAsia="zh-CN"/>
        </w:rPr>
        <w:t>1052.18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71B4DF4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（二）部门整体支出自评情况。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本镇预算总任务共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1725.32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万元，在今年收支预算内，完成了县委、县政府安排的各项工作，切合实际情况，坚定不移的保障了民生工作的进展，总体完成较好。</w:t>
      </w:r>
    </w:p>
    <w:p w14:paraId="3D8A4A01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二、自评结果概述</w:t>
      </w:r>
    </w:p>
    <w:p w14:paraId="7D45E353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自评结果总体情况为优，能够按时按质完成拨款，能够很好的保障了各项工作的开展。</w:t>
      </w:r>
    </w:p>
    <w:p w14:paraId="7D2ED49F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三、下一步工作措施</w:t>
      </w:r>
    </w:p>
    <w:p w14:paraId="089FC024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在接下来的工作中，继续保持上年度的各项举措，结合本年度的实际情况，更合理的安排资金的流动，保持收支平衡，规范资金使用。</w:t>
      </w:r>
    </w:p>
    <w:p w14:paraId="739AD99A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四、附件</w:t>
      </w:r>
    </w:p>
    <w:p w14:paraId="169ACF73">
      <w:r>
        <w:rPr>
          <w:rFonts w:hint="eastAsia"/>
        </w:rPr>
        <w:t xml:space="preserve">      无。</w:t>
      </w:r>
    </w:p>
    <w:p w14:paraId="376B60B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3C5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A7C38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A7C38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77E1F"/>
    <w:multiLevelType w:val="singleLevel"/>
    <w:tmpl w:val="60077E1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jJjNjdmN2UwM2JlZjc2ZDIwZWFiOTExNjFiMGIifQ=="/>
  </w:docVars>
  <w:rsids>
    <w:rsidRoot w:val="00000000"/>
    <w:rsid w:val="185A7A03"/>
    <w:rsid w:val="573F3957"/>
    <w:rsid w:val="7687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6">
    <w:name w:val="办公自动化专用标题"/>
    <w:basedOn w:val="3"/>
    <w:qFormat/>
    <w:uiPriority w:val="0"/>
    <w:pPr>
      <w:widowControl/>
      <w:spacing w:line="560" w:lineRule="atLeast"/>
    </w:pPr>
    <w:rPr>
      <w:rFonts w:ascii="宋体" w:hAnsi="Arial"/>
      <w:bCs w:val="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2024-09-26T03:36:53Z</dcterms:created>
  <dc:creator>lenovo</dc:creator>
  <cp:lastModifiedBy>莞笑</cp:lastModifiedBy>
  <dcterms:modified xsi:type="dcterms:W3CDTF">2024-09-26T04:06:20Z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B6033653DB6646C8B6C35606E117B56D_12</vt:lpwstr>
  </property>
</Properties>
</file>