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霍邱县畜牧业发展中心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2020年政府信息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公开工作年度报告</w:t>
      </w:r>
    </w:p>
    <w:p>
      <w:pPr>
        <w:pStyle w:val="2"/>
        <w:keepNext w:val="0"/>
        <w:keepLines w:val="0"/>
        <w:widowControl/>
        <w:suppressLineNumbers w:val="0"/>
        <w:ind w:firstLine="560" w:firstLineChars="20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本年度报告是根据新修订的《中华人民共和国政府信息公开条例》（以下简称新《条例》）要求编制的。全文包括总体情况、主动公开政府信息情况（表格形式）、收到和处理政府信息公开申请情况（表格形式）、政府信息公开行政复议、行政诉讼情况（表格形式）、存在的主要问题及改进情况、其他需要报告的事项。本年度报告中使用数据统计期限为20</w:t>
      </w:r>
      <w:r>
        <w:rPr>
          <w:rFonts w:hint="default" w:ascii="微软雅黑" w:hAnsi="微软雅黑" w:eastAsia="微软雅黑" w:cs="微软雅黑"/>
          <w:color w:val="333333"/>
          <w:sz w:val="28"/>
          <w:szCs w:val="28"/>
          <w:shd w:val="clear" w:fill="FFFFFF"/>
          <w:lang w:val="en-US"/>
        </w:rPr>
        <w:t>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年1月1日至12月31日。本年度报告电子版可在霍邱县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畜牧业发展中心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政府信息公开平台下载。如对本年度报告有任何疑问，请与霍邱县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畜牧业发展中心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联系，联系电话：0564—60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81956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，图文传真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0564-60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81956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 xml:space="preserve">5，电子信箱：hqxm0564@163.com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年，我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围绕新修订的《政府信息公开条例》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对照县政务公开、为民（政务）服务工作领导组印发的《霍邱县政务公开、为民（政务）服务工作领导组关于印发20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年度政务公开工作计划的通知》。现将20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年度政务公开工作主要情况报告如下：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（一）主动公开。我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积极落实政府信息公开工作要求，围绕我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在政府门户网站设置的公开栏目及承担的政府栏目，积极将对应信息公开到相应的栏目中去。按照公开为常态、不公开为例外的原则，本年度共主动公开政府信息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172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（二）依申请公开。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年，我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未收到政府信息公开申请。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（三）政府信息管理。我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根据领导班子成员任务分工，及时调整政务公开领导小组成员，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副主任吕家厚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任组长，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综合股股长王扬龙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任领导小组办公室主任，分管负责政务公开工作。同时明确一名专职人员负责政务公开工作，做到了领导、机构、人员“三到位”。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（四）平台建设。县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畜牧业发展中心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聚焦年度重点任务，依托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县畜牧业发展中心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政务公开网站，根据上级文件精神要求，扎实开展政务公开工作。一是贯彻落实政府信息公开条例等专题栏目，进一步优化完善政府信息公开平台栏目设置,做好政务公开平台建设；二是重点民生领域信息应公开尽公开。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中心围绕畜牧业发展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工作进展，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生猪生产、畜牧养殖场污染治理等开展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重点领域信息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公开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。三是我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通过网站宣传、参与县政务公开办组织的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整改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活动、培训学习等，积极学习政务公开新要求。并根据新条例要求，及时修改政府信息公开指南，依申请公开制度等，确保新条例贯彻落实到位。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（五）监督保障。一是完善制度。20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及时调整更新政务公开依申请公开、保密审查、政策解读、工作年度报告等制度，及时调整更新依申请公开流程与指南等，建立健全政务公开基本制度。二是部署落实。制定实施20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度政务公开、政府信息公开专题活动的实施方案，以中国特色社会主义理论体系为指导，以国家法律法规为依据，以公正、廉洁、高效为基本要求，全面贯彻党的十九届三中、四中、五中全会精神，确实推行政务公开制度，进一步增强依法行政意识，提高办事效率，提升政务服务水平。将政务公开列入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重点工作，责任细化到各股室、直属单位，按月总结并统计工作进展情况。三是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加强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监督。坚持内部监督和社会监督相结合，在网站上公布投诉举报电话，在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设立投诉举报信箱，有效推进群众监督和舆论监督，通过认真落实政务信息公开工作，加强了对行政权力的监督，规范了权力的运行，增强了群众的知情权、监督权。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560" w:firstLineChars="200"/>
        <w:jc w:val="both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二、主动公开政府信息情况</w:t>
      </w:r>
    </w:p>
    <w:tbl>
      <w:tblPr>
        <w:tblStyle w:val="3"/>
        <w:tblpPr w:leftFromText="180" w:rightFromText="180" w:vertAnchor="text" w:horzAnchor="page" w:tblpX="2020" w:tblpY="633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5"/>
        <w:gridCol w:w="1875"/>
        <w:gridCol w:w="1260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280" w:firstLineChars="10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本年新 制作数量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本年新 公开数量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规章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  0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 0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规范性文件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  </w:t>
            </w:r>
            <w:r>
              <w:rPr>
                <w:rFonts w:hint="default"/>
                <w:b w:val="0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</w:t>
            </w:r>
            <w:r>
              <w:rPr>
                <w:rFonts w:hint="default"/>
                <w:b w:val="0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上一年项目数量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本年增/减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行政许可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上一年项目数量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本年增/减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行政处罚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</w:t>
            </w:r>
            <w:r>
              <w:rPr>
                <w:rFonts w:hint="default"/>
                <w:b w:val="0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</w:t>
            </w:r>
            <w:r>
              <w:rPr>
                <w:rFonts w:hint="default"/>
                <w:b w:val="0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行政强制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上一年项目数量</w:t>
            </w:r>
          </w:p>
        </w:tc>
        <w:tc>
          <w:tcPr>
            <w:tcW w:w="313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行政事业性收费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0</w:t>
            </w:r>
          </w:p>
        </w:tc>
        <w:tc>
          <w:tcPr>
            <w:tcW w:w="313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3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采购项目数量</w:t>
            </w:r>
          </w:p>
        </w:tc>
        <w:tc>
          <w:tcPr>
            <w:tcW w:w="313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政府集中采购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　</w:t>
            </w:r>
            <w:r>
              <w:rPr>
                <w:rFonts w:hint="default"/>
                <w:b w:val="0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255000.00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     三、收到和处理政府信息公开申请情况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990"/>
        <w:gridCol w:w="1981"/>
        <w:gridCol w:w="788"/>
        <w:gridCol w:w="733"/>
        <w:gridCol w:w="733"/>
        <w:gridCol w:w="788"/>
        <w:gridCol w:w="937"/>
        <w:gridCol w:w="693"/>
        <w:gridCol w:w="6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商业企业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科研机构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社会公益组织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法律服务机构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（一）予以公开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（三）不予公开</w:t>
            </w: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1.属于国家秘密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（四）无法提供</w:t>
            </w: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（五）不予处理</w:t>
            </w: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2.重复申请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（六）其他处理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（七）总计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6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Style w:val="5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   四、政府信息公开行政复议、行政诉讼情况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539"/>
        <w:gridCol w:w="539"/>
        <w:gridCol w:w="539"/>
        <w:gridCol w:w="850"/>
        <w:gridCol w:w="506"/>
        <w:gridCol w:w="539"/>
        <w:gridCol w:w="539"/>
        <w:gridCol w:w="539"/>
        <w:gridCol w:w="825"/>
        <w:gridCol w:w="539"/>
        <w:gridCol w:w="539"/>
        <w:gridCol w:w="539"/>
        <w:gridCol w:w="531"/>
        <w:gridCol w:w="9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2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行政复议</w:t>
            </w:r>
          </w:p>
        </w:tc>
        <w:tc>
          <w:tcPr>
            <w:tcW w:w="7440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结果纠正</w:t>
            </w:r>
          </w:p>
        </w:tc>
        <w:tc>
          <w:tcPr>
            <w:tcW w:w="6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361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未经复议直接起诉</w:t>
            </w:r>
          </w:p>
        </w:tc>
        <w:tc>
          <w:tcPr>
            <w:tcW w:w="367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结果纠正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其他结果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尚未审结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结果维持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结果纠正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其他结果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尚未审结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rFonts w:hint="default" w:ascii="微软雅黑" w:hAnsi="微软雅黑" w:eastAsia="微软雅黑" w:cs="微软雅黑"/>
          <w:color w:val="333333"/>
          <w:sz w:val="28"/>
          <w:szCs w:val="28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（一）存在问题。信息公开意识不强，报送信息质量不高，不够全面；时效性不强，未能按规定时间报送</w:t>
      </w:r>
      <w:r>
        <w:rPr>
          <w:rFonts w:hint="default" w:ascii="微软雅黑" w:hAnsi="微软雅黑" w:eastAsia="微软雅黑" w:cs="微软雅黑"/>
          <w:color w:val="333333"/>
          <w:sz w:val="28"/>
          <w:szCs w:val="28"/>
          <w:shd w:val="clear" w:fill="FFFFFF"/>
          <w:lang w:val="en-US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（二）下一步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打算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1、进一步加强学习培训，提升专业人员素质。适时安排学习培训，强化干部职工认识，提升专业人员综合素质和水平。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2、组织相关股室人员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到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经验丰富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单位开展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学习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考察。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3、加大公开力度，进一步加强对公众关注度高的政府信息的梳理，逐步扩大公开信息的覆盖面，确保公开信息的完整性和准确性。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2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020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年，我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eastAsia="zh-CN"/>
        </w:rPr>
        <w:t>中心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共办理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件人大代表意见，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  <w:t>件政协提案。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IxNWY1ZjFjM2EwZDA2NjU2YzA3MmE1Yzk4MDQifQ=="/>
  </w:docVars>
  <w:rsids>
    <w:rsidRoot w:val="51923938"/>
    <w:rsid w:val="210D12C1"/>
    <w:rsid w:val="2EC04747"/>
    <w:rsid w:val="50A95755"/>
    <w:rsid w:val="51923938"/>
    <w:rsid w:val="61256741"/>
    <w:rsid w:val="65EA271E"/>
    <w:rsid w:val="66B0099B"/>
    <w:rsid w:val="743565C0"/>
    <w:rsid w:val="761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TML Acronym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button"/>
    <w:basedOn w:val="4"/>
    <w:qFormat/>
    <w:uiPriority w:val="0"/>
  </w:style>
  <w:style w:type="character" w:customStyle="1" w:styleId="15">
    <w:name w:val="tmpztreemove_arro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2021-01-06T02:07:00Z</dcterms:created>
  <dc:creator>Administrator</dc:creator>
  <cp:lastModifiedBy>C  </cp:lastModifiedBy>
  <dcterms:modified xsi:type="dcterms:W3CDTF">2024-04-13T00:45:40Z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A90665D9FE2C40EEABEFA1D1BFAFE1DB_12</vt:lpwstr>
  </property>
</Properties>
</file>