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0" w:line="280" w:lineRule="auto"/>
        <w:ind w:right="145"/>
        <w:jc w:val="center"/>
        <w:rPr>
          <w:rFonts w:ascii="仿宋" w:hAnsi="仿宋" w:eastAsia="仿宋" w:cs="仿宋"/>
          <w:sz w:val="43"/>
          <w:szCs w:val="43"/>
        </w:rPr>
      </w:pPr>
      <w:r>
        <w:rPr>
          <w:rFonts w:ascii="仿宋" w:hAnsi="仿宋" w:eastAsia="仿宋" w:cs="仿宋"/>
          <w:color w:val="333333"/>
          <w:spacing w:val="-3"/>
          <w:sz w:val="43"/>
          <w:szCs w:val="43"/>
          <w14:textOutline w14:w="7972" w14:cap="sq" w14:cmpd="sng">
            <w14:solidFill>
              <w14:srgbClr w14:val="333333"/>
            </w14:solidFill>
            <w14:prstDash w14:val="solid"/>
            <w14:bevel/>
          </w14:textOutline>
        </w:rPr>
        <w:t>霍邱县城西湖乡人民政府202</w:t>
      </w:r>
      <w:r>
        <w:rPr>
          <w:rFonts w:hint="eastAsia" w:ascii="仿宋" w:hAnsi="仿宋" w:eastAsia="仿宋" w:cs="仿宋"/>
          <w:color w:val="333333"/>
          <w:spacing w:val="-3"/>
          <w:sz w:val="43"/>
          <w:szCs w:val="43"/>
          <w:lang w:val="en-US" w:eastAsia="zh-CN"/>
          <w14:textOutline w14:w="7972" w14:cap="sq" w14:cmpd="sng">
            <w14:solidFill>
              <w14:srgbClr w14:val="333333"/>
            </w14:solidFill>
            <w14:prstDash w14:val="solid"/>
            <w14:bevel/>
          </w14:textOutline>
        </w:rPr>
        <w:t>2</w:t>
      </w:r>
      <w:r>
        <w:rPr>
          <w:rFonts w:ascii="仿宋" w:hAnsi="仿宋" w:eastAsia="仿宋" w:cs="仿宋"/>
          <w:color w:val="333333"/>
          <w:spacing w:val="-3"/>
          <w:sz w:val="43"/>
          <w:szCs w:val="43"/>
          <w14:textOutline w14:w="7972" w14:cap="sq" w14:cmpd="sng">
            <w14:solidFill>
              <w14:srgbClr w14:val="333333"/>
            </w14:solidFill>
            <w14:prstDash w14:val="solid"/>
            <w14:bevel/>
          </w14:textOutline>
        </w:rPr>
        <w:t>年政</w:t>
      </w:r>
      <w:r>
        <w:rPr>
          <w:rFonts w:ascii="仿宋" w:hAnsi="仿宋" w:eastAsia="仿宋" w:cs="仿宋"/>
          <w:color w:val="333333"/>
          <w:sz w:val="43"/>
          <w:szCs w:val="43"/>
          <w14:textOutline w14:w="7972" w14:cap="sq" w14:cmpd="sng">
            <w14:solidFill>
              <w14:srgbClr w14:val="333333"/>
            </w14:solidFill>
            <w14:prstDash w14:val="solid"/>
            <w14:bevel/>
          </w14:textOutline>
        </w:rPr>
        <w:t>府</w:t>
      </w:r>
      <w:r>
        <w:rPr>
          <w:rFonts w:ascii="仿宋" w:hAnsi="仿宋" w:eastAsia="仿宋" w:cs="仿宋"/>
          <w:color w:val="333333"/>
          <w:spacing w:val="12"/>
          <w:sz w:val="43"/>
          <w:szCs w:val="43"/>
          <w14:textOutline w14:w="7972" w14:cap="sq" w14:cmpd="sng">
            <w14:solidFill>
              <w14:srgbClr w14:val="333333"/>
            </w14:solidFill>
            <w14:prstDash w14:val="solid"/>
            <w14:bevel/>
          </w14:textOutline>
        </w:rPr>
        <w:t>信</w:t>
      </w:r>
      <w:r>
        <w:rPr>
          <w:rFonts w:ascii="仿宋" w:hAnsi="仿宋" w:eastAsia="仿宋" w:cs="仿宋"/>
          <w:color w:val="333333"/>
          <w:spacing w:val="8"/>
          <w:sz w:val="43"/>
          <w:szCs w:val="43"/>
          <w14:textOutline w14:w="7972" w14:cap="sq" w14:cmpd="sng">
            <w14:solidFill>
              <w14:srgbClr w14:val="333333"/>
            </w14:solidFill>
            <w14:prstDash w14:val="solid"/>
            <w14:bevel/>
          </w14:textOutline>
        </w:rPr>
        <w:t>息公开工作年度报告</w:t>
      </w:r>
    </w:p>
    <w:p>
      <w:pPr>
        <w:spacing w:before="81" w:line="415" w:lineRule="auto"/>
        <w:ind w:left="26" w:right="80" w:firstLine="654"/>
        <w:rPr>
          <w:rFonts w:hint="eastAsia" w:ascii="仿宋" w:hAnsi="仿宋" w:eastAsia="仿宋" w:cs="仿宋"/>
          <w:color w:val="333333"/>
          <w:spacing w:val="-2"/>
          <w:sz w:val="28"/>
          <w:szCs w:val="28"/>
        </w:rPr>
      </w:pPr>
      <w:r>
        <w:rPr>
          <w:rFonts w:hint="eastAsia" w:ascii="仿宋" w:hAnsi="仿宋" w:eastAsia="仿宋" w:cs="仿宋"/>
          <w:color w:val="333333"/>
          <w:spacing w:val="-2"/>
          <w:sz w:val="28"/>
          <w:szCs w:val="28"/>
        </w:rPr>
        <w:t>根据《国务院办公厅政府信息与政务公开办公室关于印发&lt;中华人民共和国政府信息公开工作年度报告格式&gt;的通知》(国办公开办函〔2021〕30号)、《安徽省政务公开办公室关于做好2022年度政府信息公开工作年度报告编制和发布工作的通知》和《六安市政务公开办公室关于做好政府信息公开年度报告编制和发布工作的通知》(六政务公开办〔2022)53号〕文件要求，编制202</w:t>
      </w:r>
      <w:r>
        <w:rPr>
          <w:rFonts w:hint="eastAsia" w:ascii="仿宋" w:hAnsi="仿宋" w:eastAsia="仿宋" w:cs="仿宋"/>
          <w:color w:val="333333"/>
          <w:spacing w:val="-2"/>
          <w:sz w:val="28"/>
          <w:szCs w:val="28"/>
          <w:lang w:val="en-US" w:eastAsia="zh-CN"/>
        </w:rPr>
        <w:t>2</w:t>
      </w:r>
      <w:r>
        <w:rPr>
          <w:rFonts w:hint="eastAsia" w:ascii="仿宋" w:hAnsi="仿宋" w:eastAsia="仿宋" w:cs="仿宋"/>
          <w:color w:val="333333"/>
          <w:spacing w:val="-2"/>
          <w:sz w:val="28"/>
          <w:szCs w:val="28"/>
        </w:rPr>
        <w:t>年度霍邱县城西湖乡人民政府信息公开年度报告。</w:t>
      </w:r>
    </w:p>
    <w:p>
      <w:pPr>
        <w:spacing w:before="81" w:line="415" w:lineRule="auto"/>
        <w:ind w:left="26" w:right="80" w:firstLine="654"/>
        <w:rPr>
          <w:rFonts w:ascii="仿宋" w:hAnsi="仿宋" w:eastAsia="仿宋" w:cs="仿宋"/>
          <w:sz w:val="28"/>
          <w:szCs w:val="28"/>
        </w:rPr>
      </w:pPr>
      <w:r>
        <w:rPr>
          <w:rFonts w:ascii="仿宋" w:hAnsi="仿宋" w:eastAsia="仿宋" w:cs="仿宋"/>
          <w:color w:val="333333"/>
          <w:spacing w:val="-1"/>
          <w:sz w:val="28"/>
          <w:szCs w:val="28"/>
        </w:rPr>
        <w:t>全文包括总体情况、主动公开政府信息情况、收到和处理政</w:t>
      </w:r>
      <w:r>
        <w:rPr>
          <w:rFonts w:ascii="仿宋" w:hAnsi="仿宋" w:eastAsia="仿宋" w:cs="仿宋"/>
          <w:color w:val="333333"/>
          <w:sz w:val="28"/>
          <w:szCs w:val="28"/>
        </w:rPr>
        <w:t>府</w:t>
      </w:r>
      <w:r>
        <w:rPr>
          <w:rFonts w:ascii="仿宋" w:hAnsi="仿宋" w:eastAsia="仿宋" w:cs="仿宋"/>
          <w:color w:val="333333"/>
          <w:spacing w:val="-6"/>
          <w:sz w:val="28"/>
          <w:szCs w:val="28"/>
        </w:rPr>
        <w:t>信息公开申</w:t>
      </w:r>
      <w:r>
        <w:rPr>
          <w:rFonts w:ascii="仿宋" w:hAnsi="仿宋" w:eastAsia="仿宋" w:cs="仿宋"/>
          <w:color w:val="333333"/>
          <w:spacing w:val="-4"/>
          <w:sz w:val="28"/>
          <w:szCs w:val="28"/>
        </w:rPr>
        <w:t>请</w:t>
      </w:r>
      <w:r>
        <w:rPr>
          <w:rFonts w:ascii="仿宋" w:hAnsi="仿宋" w:eastAsia="仿宋" w:cs="仿宋"/>
          <w:color w:val="333333"/>
          <w:spacing w:val="-3"/>
          <w:sz w:val="28"/>
          <w:szCs w:val="28"/>
        </w:rPr>
        <w:t>情况、政府信息公开行政复议及行政诉讼情况、存在的</w:t>
      </w:r>
      <w:r>
        <w:rPr>
          <w:rFonts w:ascii="仿宋" w:hAnsi="仿宋" w:eastAsia="仿宋" w:cs="仿宋"/>
          <w:color w:val="333333"/>
          <w:spacing w:val="-6"/>
          <w:sz w:val="28"/>
          <w:szCs w:val="28"/>
        </w:rPr>
        <w:t>主要问题及</w:t>
      </w:r>
      <w:r>
        <w:rPr>
          <w:rFonts w:ascii="仿宋" w:hAnsi="仿宋" w:eastAsia="仿宋" w:cs="仿宋"/>
          <w:color w:val="333333"/>
          <w:spacing w:val="-4"/>
          <w:sz w:val="28"/>
          <w:szCs w:val="28"/>
        </w:rPr>
        <w:t>改</w:t>
      </w:r>
      <w:r>
        <w:rPr>
          <w:rFonts w:ascii="仿宋" w:hAnsi="仿宋" w:eastAsia="仿宋" w:cs="仿宋"/>
          <w:color w:val="333333"/>
          <w:spacing w:val="-3"/>
          <w:sz w:val="28"/>
          <w:szCs w:val="28"/>
        </w:rPr>
        <w:t>进情况、其他需要报告的事项。本年度报告中使用数据</w:t>
      </w:r>
      <w:r>
        <w:rPr>
          <w:rFonts w:ascii="仿宋" w:hAnsi="仿宋" w:eastAsia="仿宋" w:cs="仿宋"/>
          <w:color w:val="333333"/>
          <w:spacing w:val="-40"/>
          <w:sz w:val="28"/>
          <w:szCs w:val="28"/>
        </w:rPr>
        <w:t>统</w:t>
      </w:r>
      <w:r>
        <w:rPr>
          <w:rFonts w:ascii="仿宋" w:hAnsi="仿宋" w:eastAsia="仿宋" w:cs="仿宋"/>
          <w:color w:val="333333"/>
          <w:spacing w:val="-26"/>
          <w:sz w:val="28"/>
          <w:szCs w:val="28"/>
        </w:rPr>
        <w:t>计</w:t>
      </w:r>
      <w:r>
        <w:rPr>
          <w:rFonts w:ascii="仿宋" w:hAnsi="仿宋" w:eastAsia="仿宋" w:cs="仿宋"/>
          <w:color w:val="333333"/>
          <w:spacing w:val="-20"/>
          <w:sz w:val="28"/>
          <w:szCs w:val="28"/>
        </w:rPr>
        <w:t>期限为202</w:t>
      </w:r>
      <w:r>
        <w:rPr>
          <w:rFonts w:hint="eastAsia" w:ascii="仿宋" w:hAnsi="仿宋" w:eastAsia="仿宋" w:cs="仿宋"/>
          <w:color w:val="333333"/>
          <w:spacing w:val="-20"/>
          <w:sz w:val="28"/>
          <w:szCs w:val="28"/>
          <w:lang w:val="en-US" w:eastAsia="zh-CN"/>
        </w:rPr>
        <w:t>2</w:t>
      </w:r>
      <w:r>
        <w:rPr>
          <w:rFonts w:ascii="仿宋" w:hAnsi="仿宋" w:eastAsia="仿宋" w:cs="仿宋"/>
          <w:color w:val="333333"/>
          <w:spacing w:val="-20"/>
          <w:sz w:val="28"/>
          <w:szCs w:val="28"/>
        </w:rPr>
        <w:t>年1月1日至202</w:t>
      </w:r>
      <w:r>
        <w:rPr>
          <w:rFonts w:hint="eastAsia" w:ascii="仿宋" w:hAnsi="仿宋" w:eastAsia="仿宋" w:cs="仿宋"/>
          <w:color w:val="333333"/>
          <w:spacing w:val="-20"/>
          <w:sz w:val="28"/>
          <w:szCs w:val="28"/>
          <w:lang w:val="en-US" w:eastAsia="zh-CN"/>
        </w:rPr>
        <w:t>2</w:t>
      </w:r>
      <w:r>
        <w:rPr>
          <w:rFonts w:ascii="仿宋" w:hAnsi="仿宋" w:eastAsia="仿宋" w:cs="仿宋"/>
          <w:color w:val="333333"/>
          <w:spacing w:val="-20"/>
          <w:sz w:val="28"/>
          <w:szCs w:val="28"/>
        </w:rPr>
        <w:t>年12月31日，本年度报告电子</w:t>
      </w:r>
      <w:r>
        <w:rPr>
          <w:rFonts w:ascii="仿宋" w:hAnsi="仿宋" w:eastAsia="仿宋" w:cs="仿宋"/>
          <w:color w:val="333333"/>
          <w:spacing w:val="-1"/>
          <w:sz w:val="28"/>
          <w:szCs w:val="28"/>
        </w:rPr>
        <w:t>版可在城西湖乡人民政府</w:t>
      </w:r>
      <w:r>
        <w:rPr>
          <w:rFonts w:ascii="仿宋" w:hAnsi="仿宋" w:eastAsia="仿宋" w:cs="仿宋"/>
          <w:color w:val="333333"/>
          <w:sz w:val="28"/>
          <w:szCs w:val="28"/>
        </w:rPr>
        <w:t>信息公开平台下载。如对本报告有任何疑</w:t>
      </w:r>
      <w:r>
        <w:rPr>
          <w:rFonts w:ascii="仿宋" w:hAnsi="仿宋" w:eastAsia="仿宋" w:cs="仿宋"/>
          <w:color w:val="333333"/>
          <w:spacing w:val="-14"/>
          <w:sz w:val="28"/>
          <w:szCs w:val="28"/>
        </w:rPr>
        <w:t>问</w:t>
      </w:r>
      <w:r>
        <w:rPr>
          <w:rFonts w:ascii="仿宋" w:hAnsi="仿宋" w:eastAsia="仿宋" w:cs="仿宋"/>
          <w:color w:val="333333"/>
          <w:spacing w:val="-8"/>
          <w:sz w:val="28"/>
          <w:szCs w:val="28"/>
        </w:rPr>
        <w:t>，</w:t>
      </w:r>
      <w:r>
        <w:rPr>
          <w:rFonts w:ascii="仿宋" w:hAnsi="仿宋" w:eastAsia="仿宋" w:cs="仿宋"/>
          <w:color w:val="333333"/>
          <w:spacing w:val="-7"/>
          <w:sz w:val="28"/>
          <w:szCs w:val="28"/>
        </w:rPr>
        <w:t>请与霍邱县城西湖乡人民政府联系(地址：霍邱县城关镇038县</w:t>
      </w:r>
      <w:r>
        <w:rPr>
          <w:rFonts w:ascii="仿宋" w:hAnsi="仿宋" w:eastAsia="仿宋" w:cs="仿宋"/>
          <w:color w:val="333333"/>
          <w:spacing w:val="-16"/>
          <w:sz w:val="28"/>
          <w:szCs w:val="28"/>
        </w:rPr>
        <w:t>道</w:t>
      </w:r>
      <w:r>
        <w:rPr>
          <w:rFonts w:ascii="仿宋" w:hAnsi="仿宋" w:eastAsia="仿宋" w:cs="仿宋"/>
          <w:color w:val="333333"/>
          <w:spacing w:val="-12"/>
          <w:sz w:val="28"/>
          <w:szCs w:val="28"/>
        </w:rPr>
        <w:t>与</w:t>
      </w:r>
      <w:r>
        <w:rPr>
          <w:rFonts w:ascii="仿宋" w:hAnsi="仿宋" w:eastAsia="仿宋" w:cs="仿宋"/>
          <w:color w:val="333333"/>
          <w:spacing w:val="-8"/>
          <w:sz w:val="28"/>
          <w:szCs w:val="28"/>
        </w:rPr>
        <w:t>156乡道交叉口西100米；邮编：237400；联系电话：</w:t>
      </w:r>
      <w:r>
        <w:rPr>
          <w:rFonts w:ascii="仿宋" w:hAnsi="仿宋" w:eastAsia="仿宋" w:cs="仿宋"/>
          <w:color w:val="333333"/>
          <w:spacing w:val="-1"/>
          <w:sz w:val="28"/>
          <w:szCs w:val="28"/>
        </w:rPr>
        <w:t>0564-6085030</w:t>
      </w:r>
      <w:r>
        <w:rPr>
          <w:rFonts w:ascii="仿宋" w:hAnsi="仿宋" w:eastAsia="仿宋" w:cs="仿宋"/>
          <w:color w:val="333333"/>
          <w:sz w:val="28"/>
          <w:szCs w:val="28"/>
        </w:rPr>
        <w:t>)。</w:t>
      </w:r>
    </w:p>
    <w:p>
      <w:pPr>
        <w:spacing w:before="44" w:line="513" w:lineRule="exact"/>
        <w:ind w:left="674"/>
        <w:outlineLvl w:val="0"/>
        <w:rPr>
          <w:rFonts w:ascii="黑体" w:hAnsi="黑体" w:eastAsia="黑体" w:cs="黑体"/>
          <w:sz w:val="31"/>
          <w:szCs w:val="31"/>
        </w:rPr>
      </w:pPr>
      <w:r>
        <w:rPr>
          <w:rFonts w:ascii="黑体" w:hAnsi="黑体" w:eastAsia="黑体" w:cs="黑体"/>
          <w:spacing w:val="8"/>
          <w:position w:val="4"/>
          <w:sz w:val="31"/>
          <w:szCs w:val="31"/>
          <w14:textOutline w14:w="5793" w14:cap="sq" w14:cmpd="sng">
            <w14:solidFill>
              <w14:srgbClr w14:val="000000"/>
            </w14:solidFill>
            <w14:prstDash w14:val="solid"/>
            <w14:bevel/>
          </w14:textOutline>
        </w:rPr>
        <w:t>一、总体情</w:t>
      </w:r>
      <w:r>
        <w:rPr>
          <w:rFonts w:ascii="黑体" w:hAnsi="黑体" w:eastAsia="黑体" w:cs="黑体"/>
          <w:spacing w:val="7"/>
          <w:position w:val="4"/>
          <w:sz w:val="31"/>
          <w:szCs w:val="31"/>
          <w14:textOutline w14:w="5793" w14:cap="sq" w14:cmpd="sng">
            <w14:solidFill>
              <w14:srgbClr w14:val="000000"/>
            </w14:solidFill>
            <w14:prstDash w14:val="solid"/>
            <w14:bevel/>
          </w14:textOutline>
        </w:rPr>
        <w:t>况</w:t>
      </w:r>
    </w:p>
    <w:p>
      <w:pPr>
        <w:spacing w:before="182" w:line="417" w:lineRule="auto"/>
        <w:ind w:left="32" w:right="219" w:firstLine="544" w:firstLineChars="200"/>
        <w:rPr>
          <w:rFonts w:ascii="仿宋" w:hAnsi="仿宋" w:eastAsia="仿宋" w:cs="仿宋"/>
          <w:sz w:val="28"/>
          <w:szCs w:val="28"/>
        </w:rPr>
      </w:pPr>
      <w:r>
        <w:rPr>
          <w:rFonts w:hint="eastAsia" w:ascii="仿宋" w:hAnsi="仿宋" w:eastAsia="仿宋" w:cs="仿宋"/>
          <w:spacing w:val="-4"/>
          <w:sz w:val="28"/>
          <w:szCs w:val="28"/>
        </w:rPr>
        <w:t>今年以来，城西湖乡政务公开工作在县委、县政府的正确领导下，在县政务公开领导小组的指导下，紧扣县经济社会发展大局和人民群众关切，不断提升政务公开能力，以公开促落实，以公开促规范，以公开促服务，以公开促廉洁。现将2022年工作开展情况汇报如下</w:t>
      </w:r>
      <w:r>
        <w:rPr>
          <w:rFonts w:ascii="仿宋" w:hAnsi="仿宋" w:eastAsia="仿宋" w:cs="仿宋"/>
          <w:spacing w:val="-1"/>
          <w:sz w:val="28"/>
          <w:szCs w:val="28"/>
        </w:rPr>
        <w:t>。</w:t>
      </w:r>
    </w:p>
    <w:p>
      <w:pPr>
        <w:spacing w:before="182" w:line="417" w:lineRule="auto"/>
        <w:ind w:left="32" w:right="219" w:firstLine="546" w:firstLineChars="200"/>
        <w:rPr>
          <w:rFonts w:hint="eastAsia" w:ascii="仿宋" w:hAnsi="仿宋" w:eastAsia="仿宋" w:cs="仿宋"/>
          <w:spacing w:val="-4"/>
          <w:sz w:val="28"/>
          <w:szCs w:val="28"/>
          <w:lang w:eastAsia="zh-CN"/>
        </w:rPr>
      </w:pPr>
      <w:r>
        <w:rPr>
          <w:rFonts w:hint="eastAsia" w:ascii="仿宋" w:hAnsi="仿宋" w:eastAsia="仿宋" w:cs="仿宋"/>
          <w:b/>
          <w:bCs/>
          <w:spacing w:val="-4"/>
          <w:sz w:val="28"/>
          <w:szCs w:val="28"/>
        </w:rPr>
        <w:t>(一)主动公开。</w:t>
      </w:r>
      <w:r>
        <w:rPr>
          <w:rFonts w:hint="eastAsia" w:ascii="仿宋" w:hAnsi="仿宋" w:eastAsia="仿宋" w:cs="仿宋"/>
          <w:spacing w:val="-4"/>
          <w:sz w:val="28"/>
          <w:szCs w:val="28"/>
          <w:lang w:eastAsia="zh-CN"/>
        </w:rPr>
        <w:t>2022年，全乡主动公开政府信息</w:t>
      </w:r>
      <w:r>
        <w:rPr>
          <w:rFonts w:hint="eastAsia" w:ascii="仿宋" w:hAnsi="仿宋" w:eastAsia="仿宋" w:cs="仿宋"/>
          <w:spacing w:val="-4"/>
          <w:sz w:val="28"/>
          <w:szCs w:val="28"/>
          <w:lang w:val="en-US" w:eastAsia="zh-CN"/>
        </w:rPr>
        <w:t>35</w:t>
      </w:r>
      <w:r>
        <w:rPr>
          <w:rFonts w:hint="eastAsia" w:ascii="仿宋" w:hAnsi="仿宋" w:eastAsia="仿宋" w:cs="仿宋"/>
          <w:spacing w:val="-4"/>
          <w:sz w:val="28"/>
          <w:szCs w:val="28"/>
          <w:lang w:eastAsia="zh-CN"/>
        </w:rPr>
        <w:t>条，其中,政府信息公开指南1条，政府信息公开年报1条，法定主动公开内容</w:t>
      </w:r>
      <w:r>
        <w:rPr>
          <w:rFonts w:hint="eastAsia" w:ascii="仿宋" w:hAnsi="仿宋" w:eastAsia="仿宋" w:cs="仿宋"/>
          <w:spacing w:val="-4"/>
          <w:sz w:val="28"/>
          <w:szCs w:val="28"/>
          <w:lang w:val="en-US" w:eastAsia="zh-CN"/>
        </w:rPr>
        <w:t>3</w:t>
      </w:r>
      <w:r>
        <w:rPr>
          <w:rFonts w:hint="eastAsia" w:ascii="仿宋" w:hAnsi="仿宋" w:eastAsia="仿宋" w:cs="仿宋"/>
          <w:spacing w:val="-4"/>
          <w:sz w:val="28"/>
          <w:szCs w:val="28"/>
          <w:lang w:eastAsia="zh-CN"/>
        </w:rPr>
        <w:t>5条，包括机关简介2条，预算/决算2条，工作信息25条，重要会议2条，人事信息1条，公告公示2条，建议提案1条。所有政府信息公开全部为主动公开，未收到社会各界依申请政府信息公开来信、来电、来访和投诉。</w:t>
      </w:r>
    </w:p>
    <w:p>
      <w:pPr>
        <w:spacing w:before="182" w:line="417" w:lineRule="auto"/>
        <w:ind w:left="32" w:right="219" w:firstLine="592" w:firstLineChars="200"/>
        <w:rPr>
          <w:rFonts w:ascii="仿宋" w:hAnsi="仿宋" w:eastAsia="仿宋" w:cs="仿宋"/>
          <w:sz w:val="28"/>
          <w:szCs w:val="28"/>
        </w:rPr>
      </w:pPr>
      <w:r>
        <w:rPr>
          <w:rFonts w:ascii="仿宋" w:hAnsi="仿宋" w:eastAsia="仿宋" w:cs="仿宋"/>
          <w:spacing w:val="8"/>
          <w:sz w:val="28"/>
          <w:szCs w:val="28"/>
        </w:rPr>
        <w:t>(二)</w:t>
      </w:r>
      <w:r>
        <w:rPr>
          <w:rFonts w:hint="eastAsia" w:ascii="仿宋" w:hAnsi="仿宋" w:eastAsia="仿宋" w:cs="仿宋"/>
          <w:color w:val="333333"/>
          <w:spacing w:val="4"/>
          <w:sz w:val="28"/>
          <w:szCs w:val="28"/>
          <w14:textOutline w14:w="5103" w14:cap="sq" w14:cmpd="sng">
            <w14:solidFill>
              <w14:srgbClr w14:val="333333"/>
            </w14:solidFill>
            <w14:prstDash w14:val="solid"/>
            <w14:bevel/>
          </w14:textOutline>
        </w:rPr>
        <w:t>依申请公开。</w:t>
      </w:r>
      <w:r>
        <w:rPr>
          <w:rFonts w:hint="eastAsia" w:ascii="仿宋" w:hAnsi="仿宋" w:eastAsia="仿宋" w:cs="仿宋"/>
          <w:spacing w:val="-4"/>
          <w:sz w:val="28"/>
          <w:szCs w:val="28"/>
          <w:lang w:val="en-US" w:eastAsia="zh-CN"/>
        </w:rPr>
        <w:t>自2022年1月1日起至2022年12月31日止，我乡共收到自然人、法人或其他组织申请公开政府信息数0件。</w:t>
      </w:r>
    </w:p>
    <w:p>
      <w:pPr>
        <w:spacing w:before="80" w:line="414" w:lineRule="auto"/>
        <w:ind w:left="33" w:right="34" w:firstLine="642"/>
        <w:rPr>
          <w:rFonts w:ascii="仿宋" w:hAnsi="仿宋" w:eastAsia="仿宋" w:cs="仿宋"/>
          <w:sz w:val="28"/>
          <w:szCs w:val="28"/>
        </w:rPr>
      </w:pPr>
      <w:r>
        <w:rPr>
          <w:rFonts w:ascii="仿宋" w:hAnsi="仿宋" w:eastAsia="仿宋" w:cs="仿宋"/>
          <w:spacing w:val="8"/>
          <w:sz w:val="28"/>
          <w:szCs w:val="28"/>
        </w:rPr>
        <w:t>(三)</w:t>
      </w:r>
      <w:r>
        <w:rPr>
          <w:rFonts w:hint="eastAsia" w:ascii="仿宋" w:hAnsi="仿宋" w:eastAsia="仿宋" w:cs="仿宋"/>
          <w:color w:val="333333"/>
          <w:spacing w:val="4"/>
          <w:sz w:val="28"/>
          <w:szCs w:val="28"/>
          <w14:textOutline w14:w="5103" w14:cap="sq" w14:cmpd="sng">
            <w14:solidFill>
              <w14:srgbClr w14:val="333333"/>
            </w14:solidFill>
            <w14:prstDash w14:val="solid"/>
            <w14:bevel/>
          </w14:textOutline>
        </w:rPr>
        <w:t>政府信息管理。</w:t>
      </w:r>
      <w:r>
        <w:rPr>
          <w:rFonts w:hint="eastAsia" w:ascii="仿宋" w:hAnsi="仿宋" w:eastAsia="仿宋" w:cs="仿宋"/>
          <w:spacing w:val="8"/>
          <w:sz w:val="28"/>
          <w:szCs w:val="28"/>
          <w:lang w:val="en-US" w:eastAsia="zh-CN"/>
        </w:rPr>
        <w:t>在政务公开工作的具体操作中，主要从以下三个方面全面落实公开内容。1、线下公开方面：开辟政务信息公开专栏。在乡政府大院外设置城西湖乡政务信息公开公示栏，向社会公开乡政府财政收支情况和重点工作目标完成情况。2、线上公开方面：及时上传和完善政务公开网公开信息。按网上政务信息公开目录要求，我们及时调整完善信息公开内容，按时上传政府工作动态。3、政务服务方面：按规范化服务型政府要求，配套完善了便民服务中心的软硬件设施，加强对服务人员的培训和管理，公开办理事项和办事流程，印发办事指南，让群众和服务对象对提供的服务和办理事项有充分了解。</w:t>
      </w:r>
    </w:p>
    <w:p>
      <w:pPr>
        <w:spacing w:before="82" w:line="417" w:lineRule="auto"/>
        <w:ind w:left="46" w:right="80" w:firstLine="629"/>
        <w:rPr>
          <w:rFonts w:hint="eastAsia" w:ascii="仿宋" w:hAnsi="仿宋" w:eastAsia="仿宋" w:cs="仿宋"/>
          <w:color w:val="333333"/>
          <w:spacing w:val="-1"/>
          <w:sz w:val="28"/>
          <w:szCs w:val="28"/>
          <w:lang w:eastAsia="zh-CN"/>
        </w:rPr>
      </w:pPr>
      <w:r>
        <w:rPr>
          <w:rFonts w:ascii="仿宋" w:hAnsi="仿宋" w:eastAsia="仿宋" w:cs="仿宋"/>
          <w:color w:val="333333"/>
          <w:spacing w:val="-1"/>
          <w:sz w:val="28"/>
          <w:szCs w:val="28"/>
          <w14:textOutline w14:w="5103" w14:cap="sq" w14:cmpd="sng">
            <w14:solidFill>
              <w14:srgbClr w14:val="333333"/>
            </w14:solidFill>
            <w14:prstDash w14:val="solid"/>
            <w14:bevel/>
          </w14:textOutline>
        </w:rPr>
        <w:t>(四)</w:t>
      </w:r>
      <w:r>
        <w:rPr>
          <w:rFonts w:hint="eastAsia" w:ascii="仿宋" w:hAnsi="仿宋" w:eastAsia="仿宋" w:cs="仿宋"/>
          <w:color w:val="333333"/>
          <w:spacing w:val="-1"/>
          <w:sz w:val="28"/>
          <w:szCs w:val="28"/>
          <w14:textOutline w14:w="5103" w14:cap="sq" w14:cmpd="sng">
            <w14:solidFill>
              <w14:srgbClr w14:val="333333"/>
            </w14:solidFill>
            <w14:prstDash w14:val="solid"/>
            <w14:bevel/>
          </w14:textOutline>
        </w:rPr>
        <w:t>政府信息公开平台建设情况。</w:t>
      </w:r>
      <w:r>
        <w:rPr>
          <w:rFonts w:hint="eastAsia" w:ascii="仿宋" w:hAnsi="仿宋" w:eastAsia="仿宋" w:cs="仿宋"/>
          <w:color w:val="333333"/>
          <w:spacing w:val="-1"/>
          <w:sz w:val="28"/>
          <w:szCs w:val="28"/>
          <w:lang w:eastAsia="zh-CN"/>
        </w:rPr>
        <w:t>以</w:t>
      </w:r>
      <w:r>
        <w:rPr>
          <w:rFonts w:hint="eastAsia" w:ascii="仿宋" w:hAnsi="仿宋" w:eastAsia="仿宋" w:cs="仿宋"/>
          <w:color w:val="333333"/>
          <w:spacing w:val="-1"/>
          <w:sz w:val="28"/>
          <w:szCs w:val="28"/>
          <w:lang w:val="en-US" w:eastAsia="zh-CN"/>
        </w:rPr>
        <w:t>城西湖乡</w:t>
      </w:r>
      <w:r>
        <w:rPr>
          <w:rFonts w:hint="eastAsia" w:ascii="仿宋" w:hAnsi="仿宋" w:eastAsia="仿宋" w:cs="仿宋"/>
          <w:color w:val="333333"/>
          <w:spacing w:val="-1"/>
          <w:sz w:val="28"/>
          <w:szCs w:val="28"/>
          <w:lang w:eastAsia="zh-CN"/>
        </w:rPr>
        <w:t>人民政府门户网站进行政府信息公开，及时完善信息公开常态化管理机制，建立健全政务信息审核、发布和公开制度，优化政府信息公开撰写、修改、报送、审核、发布等流程，确保信息公开内容严谨全面，用词用句清晰准确、公开流程及时规范。</w:t>
      </w:r>
    </w:p>
    <w:p>
      <w:pPr>
        <w:spacing w:before="82" w:line="417" w:lineRule="auto"/>
        <w:ind w:left="46" w:right="80" w:firstLine="629"/>
        <w:rPr>
          <w:rFonts w:hint="eastAsia" w:ascii="仿宋" w:hAnsi="仿宋" w:eastAsia="仿宋" w:cs="仿宋"/>
          <w:color w:val="333333"/>
          <w:spacing w:val="-1"/>
          <w:sz w:val="28"/>
          <w:szCs w:val="28"/>
          <w:lang w:eastAsia="zh-CN"/>
        </w:rPr>
      </w:pPr>
      <w:r>
        <w:rPr>
          <w:rFonts w:hint="eastAsia" w:ascii="仿宋" w:hAnsi="仿宋" w:eastAsia="仿宋" w:cs="仿宋"/>
          <w:color w:val="333333"/>
          <w:spacing w:val="-1"/>
          <w:sz w:val="28"/>
          <w:szCs w:val="28"/>
          <w:lang w:eastAsia="zh-CN"/>
          <w14:textOutline w14:w="5103" w14:cap="sq" w14:cmpd="sng">
            <w14:solidFill>
              <w14:srgbClr w14:val="333333"/>
            </w14:solidFill>
            <w14:prstDash w14:val="solid"/>
            <w14:bevel/>
          </w14:textOutline>
        </w:rPr>
        <w:t>（五）监督保障情况。</w:t>
      </w:r>
      <w:r>
        <w:rPr>
          <w:rFonts w:hint="eastAsia" w:ascii="仿宋" w:hAnsi="仿宋" w:eastAsia="仿宋" w:cs="仿宋"/>
          <w:color w:val="333333"/>
          <w:spacing w:val="-1"/>
          <w:sz w:val="28"/>
          <w:szCs w:val="28"/>
          <w:lang w:eastAsia="zh-CN"/>
        </w:rPr>
        <w:t>城西湖乡常态化加强日常政务公开工作监督检查，结合我乡政务公开工作实际，我乡每个季度切实开展政务公开工作自查、检查行动，梳理网站各栏目更新情况，督促政务公开工作落到实处。加大政务公开培训力度，提升政务公开工作人员业务能力和水平，并根据工作实际不断完善政务公开人员的配备。</w:t>
      </w:r>
    </w:p>
    <w:p>
      <w:pPr>
        <w:spacing w:before="68" w:line="417" w:lineRule="exact"/>
        <w:ind w:firstLine="680" w:firstLineChars="200"/>
        <w:outlineLvl w:val="0"/>
        <w:rPr>
          <w:rFonts w:ascii="黑体" w:hAnsi="黑体" w:eastAsia="黑体" w:cs="黑体"/>
          <w:sz w:val="31"/>
          <w:szCs w:val="31"/>
        </w:rPr>
      </w:pPr>
      <w:r>
        <w:rPr>
          <w:rFonts w:ascii="黑体" w:hAnsi="黑体" w:eastAsia="黑体" w:cs="黑体"/>
          <w:spacing w:val="15"/>
          <w:position w:val="2"/>
          <w:sz w:val="31"/>
          <w:szCs w:val="31"/>
          <w14:textOutline w14:w="5793" w14:cap="sq" w14:cmpd="sng">
            <w14:solidFill>
              <w14:srgbClr w14:val="000000"/>
            </w14:solidFill>
            <w14:prstDash w14:val="solid"/>
            <w14:bevel/>
          </w14:textOutline>
        </w:rPr>
        <w:t>二</w:t>
      </w:r>
      <w:r>
        <w:rPr>
          <w:rFonts w:ascii="黑体" w:hAnsi="黑体" w:eastAsia="黑体" w:cs="黑体"/>
          <w:spacing w:val="9"/>
          <w:position w:val="2"/>
          <w:sz w:val="31"/>
          <w:szCs w:val="31"/>
          <w14:textOutline w14:w="5793" w14:cap="sq" w14:cmpd="sng">
            <w14:solidFill>
              <w14:srgbClr w14:val="000000"/>
            </w14:solidFill>
            <w14:prstDash w14:val="solid"/>
            <w14:bevel/>
          </w14:textOutline>
        </w:rPr>
        <w:t>、主动公开政府信息情况</w:t>
      </w:r>
    </w:p>
    <w:p>
      <w:pPr>
        <w:spacing w:line="154" w:lineRule="exac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88" w:right="0" w:firstLine="0"/>
        <w:jc w:val="both"/>
        <w:rPr>
          <w:rFonts w:hint="default" w:ascii="Calibri" w:hAnsi="Calibri" w:eastAsia="宋体" w:cs="Calibri"/>
          <w:kern w:val="0"/>
          <w:sz w:val="24"/>
          <w:szCs w:val="24"/>
          <w:lang w:val="en-US" w:eastAsia="zh-CN" w:bidi="ar"/>
        </w:rPr>
      </w:pPr>
    </w:p>
    <w:tbl>
      <w:tblPr>
        <w:tblStyle w:val="2"/>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single" w:color="auto" w:sz="6" w:space="0"/>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6" w:space="0"/>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6" w:space="0"/>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6" w:space="0"/>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9" w:hRule="atLeast"/>
          <w:jc w:val="center"/>
        </w:trPr>
        <w:tc>
          <w:tcPr>
            <w:tcW w:w="2435" w:type="dxa"/>
            <w:tcBorders>
              <w:top w:val="nil"/>
              <w:left w:val="single" w:color="auto" w:sz="6" w:space="0"/>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0　　</w:t>
            </w:r>
          </w:p>
        </w:tc>
        <w:tc>
          <w:tcPr>
            <w:tcW w:w="2435"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 0　</w:t>
            </w:r>
          </w:p>
        </w:tc>
        <w:tc>
          <w:tcPr>
            <w:tcW w:w="2435"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0　　</w:t>
            </w:r>
          </w:p>
        </w:tc>
        <w:tc>
          <w:tcPr>
            <w:tcW w:w="2435"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 0　</w:t>
            </w:r>
          </w:p>
        </w:tc>
        <w:tc>
          <w:tcPr>
            <w:tcW w:w="2435"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firstLine="3360"/>
              <w:jc w:val="left"/>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6" w:space="0"/>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4" w:hRule="atLeast"/>
          <w:jc w:val="center"/>
        </w:trPr>
        <w:tc>
          <w:tcPr>
            <w:tcW w:w="2435" w:type="dxa"/>
            <w:tcBorders>
              <w:top w:val="nil"/>
              <w:left w:val="single" w:color="auto" w:sz="6" w:space="0"/>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6" w:space="0"/>
              <w:right w:val="single" w:color="000000"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6" w:space="0"/>
              <w:right w:val="single" w:color="000000"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firstLine="3360"/>
              <w:jc w:val="both"/>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4"/>
                <w:szCs w:val="24"/>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eastAsia="宋体" w:cs="Calibri"/>
          <w:kern w:val="0"/>
          <w:sz w:val="24"/>
          <w:szCs w:val="24"/>
          <w:lang w:val="en-US" w:eastAsia="zh-CN" w:bidi="ar"/>
        </w:rPr>
      </w:pPr>
      <w:r>
        <w:rPr>
          <w:rFonts w:hint="default" w:ascii="Calibri" w:hAnsi="Calibri" w:eastAsia="宋体" w:cs="Calibri"/>
          <w:i w:val="0"/>
          <w:iCs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Calibri" w:eastAsia="仿宋_GB2312" w:cs="仿宋_GB2312"/>
          <w:b/>
          <w:bCs/>
          <w:i w:val="0"/>
          <w:iCs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Calibri" w:eastAsia="仿宋_GB2312" w:cs="仿宋_GB2312"/>
          <w:b/>
          <w:bCs/>
          <w:i w:val="0"/>
          <w:iCs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default" w:ascii="Calibri" w:hAnsi="Calibri" w:eastAsia="宋体" w:cs="Calibri"/>
          <w:kern w:val="0"/>
          <w:sz w:val="24"/>
          <w:szCs w:val="24"/>
          <w:lang w:val="en-US" w:eastAsia="zh-CN" w:bidi="ar"/>
        </w:rPr>
      </w:pPr>
      <w:r>
        <w:rPr>
          <w:rFonts w:hint="eastAsia" w:ascii="仿宋_GB2312" w:hAnsi="Calibri" w:eastAsia="仿宋_GB2312" w:cs="仿宋_GB2312"/>
          <w:b/>
          <w:bCs/>
          <w:i w:val="0"/>
          <w:iCs w:val="0"/>
          <w:caps w:val="0"/>
          <w:color w:val="000000"/>
          <w:spacing w:val="0"/>
          <w:kern w:val="0"/>
          <w:sz w:val="32"/>
          <w:szCs w:val="32"/>
          <w:shd w:val="clear" w:fill="FFFFFF"/>
          <w:lang w:val="en-US" w:eastAsia="zh-CN" w:bidi="ar"/>
        </w:rPr>
        <w:t>三、收到和处理政府信息公开申请情况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Calibri" w:hAnsi="Calibri" w:eastAsia="宋体" w:cs="Calibri"/>
          <w:kern w:val="0"/>
          <w:sz w:val="24"/>
          <w:szCs w:val="24"/>
          <w:lang w:val="en-US" w:eastAsia="zh-CN" w:bidi="ar"/>
        </w:rPr>
      </w:pPr>
      <w:r>
        <w:rPr>
          <w:rFonts w:hint="default" w:ascii="Calibri" w:hAnsi="Calibri" w:eastAsia="宋体" w:cs="Calibri"/>
          <w:i w:val="0"/>
          <w:iCs w:val="0"/>
          <w:caps w:val="0"/>
          <w:color w:val="333333"/>
          <w:spacing w:val="0"/>
          <w:kern w:val="0"/>
          <w:sz w:val="21"/>
          <w:szCs w:val="21"/>
          <w:shd w:val="clear" w:fill="FFFFFF"/>
          <w:lang w:val="en-US" w:eastAsia="zh-CN" w:bidi="ar"/>
        </w:rPr>
        <w:t> </w:t>
      </w:r>
    </w:p>
    <w:tbl>
      <w:tblPr>
        <w:tblStyle w:val="2"/>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29" w:type="dxa"/>
            <w:gridSpan w:val="3"/>
            <w:vMerge w:val="restart"/>
            <w:tcBorders>
              <w:top w:val="single" w:color="auto" w:sz="6" w:space="0"/>
              <w:left w:val="single" w:color="auto" w:sz="6" w:space="0"/>
              <w:bottom w:val="outset"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（本列数据的勾稽关系为：第一项加第二项之和，等于第三项加第四项之和）</w:t>
            </w:r>
          </w:p>
        </w:tc>
        <w:tc>
          <w:tcPr>
            <w:tcW w:w="4816" w:type="dxa"/>
            <w:gridSpan w:val="7"/>
            <w:tcBorders>
              <w:top w:val="single" w:color="auto" w:sz="6" w:space="0"/>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29" w:type="dxa"/>
            <w:gridSpan w:val="3"/>
            <w:vMerge w:val="continue"/>
            <w:tcBorders>
              <w:top w:val="single" w:color="auto" w:sz="6" w:space="0"/>
              <w:left w:val="single" w:color="auto" w:sz="6" w:space="0"/>
              <w:bottom w:val="outset" w:color="auto" w:sz="6" w:space="0"/>
              <w:right w:val="single" w:color="auto" w:sz="6" w:space="0"/>
            </w:tcBorders>
            <w:shd w:val="clear" w:color="auto" w:fill="auto"/>
            <w:tcMar>
              <w:top w:w="0" w:type="dxa"/>
              <w:left w:w="108" w:type="dxa"/>
              <w:bottom w:w="0" w:type="dxa"/>
              <w:right w:w="108"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688" w:type="dxa"/>
            <w:vMerge w:val="restart"/>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自然人</w:t>
            </w:r>
          </w:p>
        </w:tc>
        <w:tc>
          <w:tcPr>
            <w:tcW w:w="3440" w:type="dxa"/>
            <w:gridSpan w:val="5"/>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法人或其他组织</w:t>
            </w:r>
          </w:p>
        </w:tc>
        <w:tc>
          <w:tcPr>
            <w:tcW w:w="688" w:type="dxa"/>
            <w:vMerge w:val="restart"/>
            <w:tcBorders>
              <w:top w:val="single" w:color="auto" w:sz="6" w:space="0"/>
              <w:left w:val="nil"/>
              <w:bottom w:val="outset"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29" w:type="dxa"/>
            <w:gridSpan w:val="3"/>
            <w:vMerge w:val="continue"/>
            <w:tcBorders>
              <w:top w:val="single" w:color="auto" w:sz="6" w:space="0"/>
              <w:left w:val="single" w:color="auto" w:sz="6" w:space="0"/>
              <w:bottom w:val="outset" w:color="auto" w:sz="6" w:space="0"/>
              <w:right w:val="single" w:color="auto" w:sz="6" w:space="0"/>
            </w:tcBorders>
            <w:shd w:val="clear" w:color="auto" w:fill="auto"/>
            <w:tcMar>
              <w:top w:w="0" w:type="dxa"/>
              <w:left w:w="108" w:type="dxa"/>
              <w:bottom w:w="0" w:type="dxa"/>
              <w:right w:w="108"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688" w:type="dxa"/>
            <w:vMerge w:val="continue"/>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688" w:type="dxa"/>
            <w:tcBorders>
              <w:top w:val="nil"/>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商业</w:t>
            </w:r>
          </w:p>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企业</w:t>
            </w:r>
          </w:p>
        </w:tc>
        <w:tc>
          <w:tcPr>
            <w:tcW w:w="688" w:type="dxa"/>
            <w:tcBorders>
              <w:top w:val="nil"/>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科研</w:t>
            </w:r>
          </w:p>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机构</w:t>
            </w:r>
          </w:p>
        </w:tc>
        <w:tc>
          <w:tcPr>
            <w:tcW w:w="688" w:type="dxa"/>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社会公益组织</w:t>
            </w:r>
          </w:p>
        </w:tc>
        <w:tc>
          <w:tcPr>
            <w:tcW w:w="688" w:type="dxa"/>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法律服务机构</w:t>
            </w:r>
          </w:p>
        </w:tc>
        <w:tc>
          <w:tcPr>
            <w:tcW w:w="688" w:type="dxa"/>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其他</w:t>
            </w:r>
          </w:p>
        </w:tc>
        <w:tc>
          <w:tcPr>
            <w:tcW w:w="688" w:type="dxa"/>
            <w:vMerge w:val="continue"/>
            <w:tcBorders>
              <w:top w:val="single" w:color="auto" w:sz="6" w:space="0"/>
              <w:left w:val="nil"/>
              <w:bottom w:val="outset" w:color="auto" w:sz="6" w:space="0"/>
              <w:right w:val="single" w:color="auto" w:sz="6" w:space="0"/>
            </w:tcBorders>
            <w:shd w:val="clear" w:color="auto" w:fill="auto"/>
            <w:tcMar>
              <w:top w:w="0" w:type="dxa"/>
              <w:left w:w="108" w:type="dxa"/>
              <w:bottom w:w="0" w:type="dxa"/>
              <w:right w:w="108"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29" w:type="dxa"/>
            <w:gridSpan w:val="3"/>
            <w:tcBorders>
              <w:top w:val="nil"/>
              <w:left w:val="single" w:color="auto" w:sz="6" w:space="0"/>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一、本年新收政府信息公开申请数量</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0 </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0 </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0 </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29" w:type="dxa"/>
            <w:gridSpan w:val="3"/>
            <w:tcBorders>
              <w:top w:val="nil"/>
              <w:left w:val="single" w:color="auto" w:sz="6" w:space="0"/>
              <w:bottom w:val="single" w:color="auto" w:sz="4"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二、上年结转政府信息公开申请数量</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0 </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0 </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0 </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7"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三、本年度办理结果</w:t>
            </w:r>
          </w:p>
        </w:tc>
        <w:tc>
          <w:tcPr>
            <w:tcW w:w="416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（一）予以公开</w:t>
            </w:r>
          </w:p>
        </w:tc>
        <w:tc>
          <w:tcPr>
            <w:tcW w:w="688" w:type="dxa"/>
            <w:tcBorders>
              <w:top w:val="nil"/>
              <w:left w:val="single" w:color="auto" w:sz="4" w:space="0"/>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0 </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0 </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0 </w:t>
            </w:r>
          </w:p>
        </w:tc>
        <w:tc>
          <w:tcPr>
            <w:tcW w:w="688" w:type="dxa"/>
            <w:tcBorders>
              <w:top w:val="single" w:color="auto" w:sz="6" w:space="0"/>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4162"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（二）部分公开（区分处理的，只计这一情形，不计其他情形）</w:t>
            </w:r>
          </w:p>
        </w:tc>
        <w:tc>
          <w:tcPr>
            <w:tcW w:w="688" w:type="dxa"/>
            <w:tcBorders>
              <w:top w:val="nil"/>
              <w:left w:val="single" w:color="auto" w:sz="4" w:space="0"/>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0 </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（三）不予公开</w:t>
            </w:r>
          </w:p>
        </w:tc>
        <w:tc>
          <w:tcPr>
            <w:tcW w:w="3219"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1.属于国家秘密</w:t>
            </w:r>
          </w:p>
        </w:tc>
        <w:tc>
          <w:tcPr>
            <w:tcW w:w="688" w:type="dxa"/>
            <w:tcBorders>
              <w:top w:val="nil"/>
              <w:left w:val="single" w:color="auto" w:sz="4" w:space="0"/>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single" w:color="auto" w:sz="6" w:space="0"/>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3219"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2.其他法律行政法规禁止公开</w:t>
            </w:r>
          </w:p>
        </w:tc>
        <w:tc>
          <w:tcPr>
            <w:tcW w:w="688" w:type="dxa"/>
            <w:tcBorders>
              <w:top w:val="nil"/>
              <w:left w:val="single" w:color="auto" w:sz="4" w:space="0"/>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3219"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3.危及“三安全一稳定”</w:t>
            </w:r>
          </w:p>
        </w:tc>
        <w:tc>
          <w:tcPr>
            <w:tcW w:w="688" w:type="dxa"/>
            <w:tcBorders>
              <w:top w:val="nil"/>
              <w:left w:val="single" w:color="auto" w:sz="4" w:space="0"/>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3219"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4.保护第三方合法权益</w:t>
            </w:r>
          </w:p>
        </w:tc>
        <w:tc>
          <w:tcPr>
            <w:tcW w:w="688" w:type="dxa"/>
            <w:tcBorders>
              <w:top w:val="nil"/>
              <w:left w:val="single" w:color="auto" w:sz="4" w:space="0"/>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3219"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5.属于三类内部事务信息</w:t>
            </w:r>
          </w:p>
        </w:tc>
        <w:tc>
          <w:tcPr>
            <w:tcW w:w="688" w:type="dxa"/>
            <w:tcBorders>
              <w:top w:val="nil"/>
              <w:left w:val="single" w:color="auto" w:sz="4" w:space="0"/>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3219"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6.属于四类过程性信息</w:t>
            </w:r>
          </w:p>
        </w:tc>
        <w:tc>
          <w:tcPr>
            <w:tcW w:w="688" w:type="dxa"/>
            <w:tcBorders>
              <w:top w:val="nil"/>
              <w:left w:val="single" w:color="auto" w:sz="4" w:space="0"/>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3219"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7.属于行政执法案卷</w:t>
            </w:r>
          </w:p>
        </w:tc>
        <w:tc>
          <w:tcPr>
            <w:tcW w:w="688" w:type="dxa"/>
            <w:tcBorders>
              <w:top w:val="nil"/>
              <w:left w:val="single" w:color="auto" w:sz="4" w:space="0"/>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3219"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8.属于行政查询事项</w:t>
            </w:r>
          </w:p>
        </w:tc>
        <w:tc>
          <w:tcPr>
            <w:tcW w:w="688" w:type="dxa"/>
            <w:tcBorders>
              <w:top w:val="nil"/>
              <w:left w:val="single" w:color="auto" w:sz="4" w:space="0"/>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（四）无法提供</w:t>
            </w:r>
          </w:p>
        </w:tc>
        <w:tc>
          <w:tcPr>
            <w:tcW w:w="3219"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1.本机关不掌握相关政府信息</w:t>
            </w:r>
          </w:p>
        </w:tc>
        <w:tc>
          <w:tcPr>
            <w:tcW w:w="688" w:type="dxa"/>
            <w:tcBorders>
              <w:top w:val="nil"/>
              <w:left w:val="single" w:color="auto" w:sz="4" w:space="0"/>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3219"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2.没有现成信息需要另行制作</w:t>
            </w:r>
          </w:p>
        </w:tc>
        <w:tc>
          <w:tcPr>
            <w:tcW w:w="688" w:type="dxa"/>
            <w:tcBorders>
              <w:top w:val="nil"/>
              <w:left w:val="single" w:color="auto" w:sz="4" w:space="0"/>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3219"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3.补正后申请内容仍不明确</w:t>
            </w:r>
          </w:p>
        </w:tc>
        <w:tc>
          <w:tcPr>
            <w:tcW w:w="688" w:type="dxa"/>
            <w:tcBorders>
              <w:top w:val="nil"/>
              <w:left w:val="single" w:color="auto" w:sz="4" w:space="0"/>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0 </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0 </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0 </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（五）不予处理</w:t>
            </w:r>
          </w:p>
        </w:tc>
        <w:tc>
          <w:tcPr>
            <w:tcW w:w="3219"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1.信访举报投诉类申请</w:t>
            </w:r>
          </w:p>
        </w:tc>
        <w:tc>
          <w:tcPr>
            <w:tcW w:w="688" w:type="dxa"/>
            <w:tcBorders>
              <w:top w:val="nil"/>
              <w:left w:val="single" w:color="auto" w:sz="4" w:space="0"/>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3219"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2.重复申请</w:t>
            </w:r>
          </w:p>
        </w:tc>
        <w:tc>
          <w:tcPr>
            <w:tcW w:w="688" w:type="dxa"/>
            <w:tcBorders>
              <w:top w:val="nil"/>
              <w:left w:val="single" w:color="auto" w:sz="4" w:space="0"/>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3219"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3.要求提供公开出版物</w:t>
            </w:r>
          </w:p>
        </w:tc>
        <w:tc>
          <w:tcPr>
            <w:tcW w:w="688" w:type="dxa"/>
            <w:tcBorders>
              <w:top w:val="nil"/>
              <w:left w:val="single" w:color="auto" w:sz="4" w:space="0"/>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3219"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4.无正当理由大量反复申请</w:t>
            </w:r>
          </w:p>
        </w:tc>
        <w:tc>
          <w:tcPr>
            <w:tcW w:w="688" w:type="dxa"/>
            <w:tcBorders>
              <w:top w:val="nil"/>
              <w:left w:val="single" w:color="auto" w:sz="4" w:space="0"/>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47" w:hRule="atLeast"/>
          <w:jc w:val="center"/>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3219"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both"/>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5.要求行政机关确认或重新出具已获取信息</w:t>
            </w:r>
          </w:p>
        </w:tc>
        <w:tc>
          <w:tcPr>
            <w:tcW w:w="688" w:type="dxa"/>
            <w:tcBorders>
              <w:top w:val="nil"/>
              <w:left w:val="single" w:color="auto" w:sz="4" w:space="0"/>
              <w:bottom w:val="outset"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outset"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outset"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outset"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outset"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outset"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outset"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（六）其他处理</w:t>
            </w:r>
          </w:p>
        </w:tc>
        <w:tc>
          <w:tcPr>
            <w:tcW w:w="3219"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both"/>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1.申请人无正当理由逾期不补正、行政机关不再处理其政府信息公开申请</w:t>
            </w:r>
          </w:p>
        </w:tc>
        <w:tc>
          <w:tcPr>
            <w:tcW w:w="688" w:type="dxa"/>
            <w:tcBorders>
              <w:top w:val="nil"/>
              <w:left w:val="single" w:color="auto" w:sz="4" w:space="0"/>
              <w:bottom w:val="single" w:color="auto" w:sz="4"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4"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0 </w:t>
            </w:r>
          </w:p>
        </w:tc>
        <w:tc>
          <w:tcPr>
            <w:tcW w:w="688" w:type="dxa"/>
            <w:tcBorders>
              <w:top w:val="nil"/>
              <w:left w:val="nil"/>
              <w:bottom w:val="single" w:color="auto" w:sz="4"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4"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0 </w:t>
            </w:r>
          </w:p>
        </w:tc>
        <w:tc>
          <w:tcPr>
            <w:tcW w:w="688" w:type="dxa"/>
            <w:tcBorders>
              <w:top w:val="nil"/>
              <w:left w:val="nil"/>
              <w:bottom w:val="single" w:color="auto" w:sz="4"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4"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0 </w:t>
            </w:r>
          </w:p>
        </w:tc>
        <w:tc>
          <w:tcPr>
            <w:tcW w:w="688" w:type="dxa"/>
            <w:tcBorders>
              <w:top w:val="nil"/>
              <w:left w:val="nil"/>
              <w:bottom w:val="single" w:color="auto" w:sz="4"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943"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3219"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both"/>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2.申请人逾期未按收费通知要求缴纳费用、行政机关不再处理其政府信息公开申请</w:t>
            </w:r>
            <w:bookmarkStart w:id="0" w:name="_GoBack"/>
            <w:bookmarkEnd w:id="0"/>
          </w:p>
        </w:tc>
        <w:tc>
          <w:tcPr>
            <w:tcW w:w="688"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single" w:color="auto" w:sz="4" w:space="0"/>
              <w:left w:val="single" w:color="auto" w:sz="4" w:space="0"/>
              <w:bottom w:val="single" w:color="auto" w:sz="4" w:space="0"/>
              <w:right w:val="single" w:color="auto" w:sz="4"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7" w:type="dxa"/>
            <w:vMerge w:val="continue"/>
            <w:tcBorders>
              <w:top w:val="single" w:color="auto" w:sz="4" w:space="0"/>
              <w:left w:val="single" w:color="auto" w:sz="4" w:space="0"/>
              <w:bottom w:val="outset" w:color="auto" w:sz="6" w:space="0"/>
              <w:right w:val="single" w:color="auto" w:sz="6"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943" w:type="dxa"/>
            <w:vMerge w:val="continue"/>
            <w:tcBorders>
              <w:top w:val="single" w:color="auto" w:sz="4" w:space="0"/>
              <w:left w:val="nil"/>
              <w:bottom w:val="outset" w:color="auto" w:sz="6" w:space="0"/>
              <w:right w:val="single" w:color="auto" w:sz="6"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3219" w:type="dxa"/>
            <w:tcBorders>
              <w:top w:val="single" w:color="auto" w:sz="4" w:space="0"/>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3.其他</w:t>
            </w:r>
          </w:p>
        </w:tc>
        <w:tc>
          <w:tcPr>
            <w:tcW w:w="688" w:type="dxa"/>
            <w:tcBorders>
              <w:top w:val="single" w:color="auto" w:sz="4" w:space="0"/>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single" w:color="auto" w:sz="4" w:space="0"/>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single" w:color="auto" w:sz="4" w:space="0"/>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single" w:color="auto" w:sz="4" w:space="0"/>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single" w:color="auto" w:sz="4" w:space="0"/>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single" w:color="auto" w:sz="4" w:space="0"/>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single" w:color="auto" w:sz="4" w:space="0"/>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7" w:type="dxa"/>
            <w:vMerge w:val="continue"/>
            <w:tcBorders>
              <w:top w:val="nil"/>
              <w:left w:val="single" w:color="auto" w:sz="4" w:space="0"/>
              <w:bottom w:val="outset" w:color="auto" w:sz="6" w:space="0"/>
              <w:right w:val="single" w:color="auto" w:sz="6" w:space="0"/>
            </w:tcBorders>
            <w:shd w:val="clear" w:color="auto" w:fill="auto"/>
            <w:tcMar>
              <w:top w:w="0" w:type="dxa"/>
              <w:left w:w="57" w:type="dxa"/>
              <w:bottom w:w="0" w:type="dxa"/>
              <w:right w:w="57"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4162" w:type="dxa"/>
            <w:gridSpan w:val="2"/>
            <w:tcBorders>
              <w:top w:val="nil"/>
              <w:left w:val="nil"/>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（七）总计</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29" w:type="dxa"/>
            <w:gridSpan w:val="3"/>
            <w:tcBorders>
              <w:top w:val="nil"/>
              <w:left w:val="single" w:color="auto" w:sz="6" w:space="0"/>
              <w:bottom w:val="single" w:color="auto" w:sz="6" w:space="0"/>
              <w:right w:val="single" w:color="auto" w:sz="6" w:space="0"/>
            </w:tcBorders>
            <w:shd w:val="clear" w:color="auto" w:fill="auto"/>
            <w:tcMar>
              <w:top w:w="0" w:type="dxa"/>
              <w:left w:w="57" w:type="dxa"/>
              <w:bottom w:w="0" w:type="dxa"/>
              <w:right w:w="57" w:type="dxa"/>
            </w:tcMar>
            <w:vAlign w:val="center"/>
          </w:tcPr>
          <w:p>
            <w:pPr>
              <w:keepNext w:val="0"/>
              <w:keepLines w:val="0"/>
              <w:widowControl/>
              <w:suppressLineNumbers w:val="0"/>
              <w:wordWrap w:val="0"/>
              <w:spacing w:before="0" w:beforeAutospacing="0" w:after="0" w:afterAutospacing="0" w:line="450" w:lineRule="atLeast"/>
              <w:ind w:left="0" w:right="0"/>
              <w:jc w:val="left"/>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四、结转下年度继续办理</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88" w:type="dxa"/>
            <w:tcBorders>
              <w:top w:val="nil"/>
              <w:left w:val="nil"/>
              <w:bottom w:val="single" w:color="auto" w:sz="6" w:space="0"/>
              <w:right w:val="single" w:color="auto" w:sz="6" w:space="0"/>
            </w:tcBorders>
            <w:shd w:val="clear" w:color="auto" w:fill="auto"/>
            <w:tcMar>
              <w:top w:w="0" w:type="dxa"/>
              <w:left w:w="57" w:type="dxa"/>
              <w:bottom w:w="0" w:type="dxa"/>
              <w:right w:w="57"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Calibri" w:hAnsi="Calibri" w:eastAsia="宋体" w:cs="Calibri"/>
          <w:kern w:val="0"/>
          <w:sz w:val="24"/>
          <w:szCs w:val="24"/>
          <w:lang w:val="en-US" w:eastAsia="zh-CN" w:bidi="ar"/>
        </w:rPr>
      </w:pPr>
      <w:r>
        <w:rPr>
          <w:rFonts w:hint="default" w:ascii="Calibri" w:hAnsi="Calibri" w:eastAsia="宋体" w:cs="Calibri"/>
          <w:i w:val="0"/>
          <w:iCs w:val="0"/>
          <w:caps w:val="0"/>
          <w:color w:val="333333"/>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Calibri" w:hAnsi="Calibri" w:eastAsia="宋体" w:cs="Calibri"/>
          <w:kern w:val="0"/>
          <w:sz w:val="24"/>
          <w:szCs w:val="24"/>
          <w:lang w:val="en-US" w:eastAsia="zh-CN" w:bidi="ar"/>
        </w:rPr>
      </w:pPr>
      <w:r>
        <w:rPr>
          <w:rFonts w:hint="eastAsia" w:ascii="仿宋_GB2312" w:hAnsi="Calibri" w:eastAsia="仿宋_GB2312" w:cs="仿宋_GB2312"/>
          <w:b/>
          <w:bCs/>
          <w:i w:val="0"/>
          <w:iCs w:val="0"/>
          <w:caps w:val="0"/>
          <w:color w:val="000000"/>
          <w:spacing w:val="0"/>
          <w:kern w:val="0"/>
          <w:sz w:val="32"/>
          <w:szCs w:val="32"/>
          <w:shd w:val="clear" w:fill="FFFFFF"/>
          <w:lang w:val="en-US" w:eastAsia="zh-CN" w:bidi="ar"/>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Calibri" w:hAnsi="Calibri" w:eastAsia="宋体" w:cs="Calibri"/>
          <w:kern w:val="0"/>
          <w:sz w:val="24"/>
          <w:szCs w:val="24"/>
          <w:lang w:val="en-US" w:eastAsia="zh-CN" w:bidi="ar"/>
        </w:rPr>
      </w:pPr>
      <w:r>
        <w:rPr>
          <w:rFonts w:hint="default" w:ascii="Calibri" w:hAnsi="Calibri" w:eastAsia="宋体" w:cs="Calibri"/>
          <w:i w:val="0"/>
          <w:iCs w:val="0"/>
          <w:caps w:val="0"/>
          <w:color w:val="333333"/>
          <w:spacing w:val="0"/>
          <w:kern w:val="0"/>
          <w:sz w:val="21"/>
          <w:szCs w:val="21"/>
          <w:shd w:val="clear" w:fill="FFFFFF"/>
          <w:lang w:val="en-US" w:eastAsia="zh-CN" w:bidi="ar"/>
        </w:rPr>
        <w:t> </w:t>
      </w:r>
    </w:p>
    <w:tbl>
      <w:tblPr>
        <w:tblStyle w:val="2"/>
        <w:tblW w:w="974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245"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行政复议</w:t>
            </w:r>
          </w:p>
        </w:tc>
        <w:tc>
          <w:tcPr>
            <w:tcW w:w="6498" w:type="dxa"/>
            <w:gridSpan w:val="10"/>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49" w:type="dxa"/>
            <w:vMerge w:val="restart"/>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结果维持</w:t>
            </w:r>
          </w:p>
        </w:tc>
        <w:tc>
          <w:tcPr>
            <w:tcW w:w="649" w:type="dxa"/>
            <w:vMerge w:val="restart"/>
            <w:tcBorders>
              <w:top w:val="nil"/>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结果</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纠正</w:t>
            </w:r>
          </w:p>
        </w:tc>
        <w:tc>
          <w:tcPr>
            <w:tcW w:w="649" w:type="dxa"/>
            <w:vMerge w:val="restart"/>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9" w:type="dxa"/>
            <w:vMerge w:val="restart"/>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尚未</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审结</w:t>
            </w:r>
          </w:p>
        </w:tc>
        <w:tc>
          <w:tcPr>
            <w:tcW w:w="649" w:type="dxa"/>
            <w:vMerge w:val="restart"/>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总计</w:t>
            </w:r>
          </w:p>
        </w:tc>
        <w:tc>
          <w:tcPr>
            <w:tcW w:w="3248" w:type="dxa"/>
            <w:gridSpan w:val="5"/>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未经复议直接起诉</w:t>
            </w:r>
          </w:p>
        </w:tc>
        <w:tc>
          <w:tcPr>
            <w:tcW w:w="3250" w:type="dxa"/>
            <w:gridSpan w:val="5"/>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49" w:type="dxa"/>
            <w:vMerge w:val="continue"/>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649" w:type="dxa"/>
            <w:vMerge w:val="continue"/>
            <w:tcBorders>
              <w:top w:val="nil"/>
              <w:left w:val="nil"/>
              <w:bottom w:val="single" w:color="auto" w:sz="6" w:space="0"/>
              <w:right w:val="single" w:color="auto" w:sz="6" w:space="0"/>
            </w:tcBorders>
            <w:shd w:val="clear" w:color="auto" w:fill="auto"/>
            <w:tcMar>
              <w:top w:w="0" w:type="dxa"/>
              <w:left w:w="108" w:type="dxa"/>
              <w:bottom w:w="0" w:type="dxa"/>
              <w:right w:w="108"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649" w:type="dxa"/>
            <w:vMerge w:val="continue"/>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649" w:type="dxa"/>
            <w:vMerge w:val="continue"/>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649" w:type="dxa"/>
            <w:vMerge w:val="continue"/>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widowControl w:val="0"/>
              <w:kinsoku/>
              <w:autoSpaceDE/>
              <w:autoSpaceDN/>
              <w:adjustRightInd/>
              <w:snapToGrid/>
              <w:spacing w:line="240" w:lineRule="auto"/>
              <w:jc w:val="both"/>
              <w:textAlignment w:val="auto"/>
              <w:rPr>
                <w:rFonts w:hint="default" w:ascii="Times New Roman" w:hAnsi="Times New Roman" w:eastAsia="宋体" w:cs="Times New Roman"/>
                <w:snapToGrid/>
                <w:kern w:val="2"/>
                <w:sz w:val="20"/>
                <w:szCs w:val="20"/>
                <w:lang w:val="en-US" w:eastAsia="zh-CN" w:bidi="ar-SA"/>
              </w:rPr>
            </w:pPr>
          </w:p>
        </w:tc>
        <w:tc>
          <w:tcPr>
            <w:tcW w:w="649" w:type="dxa"/>
            <w:tcBorders>
              <w:top w:val="nil"/>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结果</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维持</w:t>
            </w:r>
          </w:p>
        </w:tc>
        <w:tc>
          <w:tcPr>
            <w:tcW w:w="649" w:type="dxa"/>
            <w:tcBorders>
              <w:top w:val="nil"/>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结果</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纠正</w:t>
            </w:r>
          </w:p>
        </w:tc>
        <w:tc>
          <w:tcPr>
            <w:tcW w:w="650" w:type="dxa"/>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0" w:type="dxa"/>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尚未</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审结</w:t>
            </w:r>
          </w:p>
        </w:tc>
        <w:tc>
          <w:tcPr>
            <w:tcW w:w="650" w:type="dxa"/>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总计</w:t>
            </w:r>
          </w:p>
        </w:tc>
        <w:tc>
          <w:tcPr>
            <w:tcW w:w="650" w:type="dxa"/>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结果</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维持</w:t>
            </w:r>
          </w:p>
        </w:tc>
        <w:tc>
          <w:tcPr>
            <w:tcW w:w="650" w:type="dxa"/>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结果</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纠正</w:t>
            </w:r>
          </w:p>
        </w:tc>
        <w:tc>
          <w:tcPr>
            <w:tcW w:w="650" w:type="dxa"/>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0" w:type="dxa"/>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尚未</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审结</w:t>
            </w:r>
          </w:p>
        </w:tc>
        <w:tc>
          <w:tcPr>
            <w:tcW w:w="650" w:type="dxa"/>
            <w:tcBorders>
              <w:top w:val="single" w:color="auto" w:sz="6"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12" w:hRule="atLeast"/>
          <w:jc w:val="center"/>
        </w:trPr>
        <w:tc>
          <w:tcPr>
            <w:tcW w:w="649"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49" w:type="dxa"/>
            <w:tcBorders>
              <w:top w:val="nil"/>
              <w:left w:val="nil"/>
              <w:bottom w:val="single" w:color="auto" w:sz="6" w:space="0"/>
              <w:right w:val="single" w:color="auto" w:sz="6" w:space="0"/>
            </w:tcBorders>
            <w:shd w:val="clear" w:color="auto" w:fill="auto"/>
            <w:tcMar>
              <w:top w:w="0" w:type="dxa"/>
              <w:left w:w="108" w:type="dxa"/>
              <w:bottom w:w="0" w:type="dxa"/>
              <w:right w:w="108"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49" w:type="dxa"/>
            <w:tcBorders>
              <w:top w:val="nil"/>
              <w:left w:val="nil"/>
              <w:bottom w:val="single" w:color="auto" w:sz="6" w:space="0"/>
              <w:right w:val="single" w:color="auto" w:sz="6" w:space="0"/>
            </w:tcBorders>
            <w:shd w:val="clear" w:color="auto" w:fill="auto"/>
            <w:tcMar>
              <w:top w:w="0" w:type="dxa"/>
              <w:left w:w="108" w:type="dxa"/>
              <w:bottom w:w="0" w:type="dxa"/>
              <w:right w:w="108"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49" w:type="dxa"/>
            <w:tcBorders>
              <w:top w:val="nil"/>
              <w:left w:val="nil"/>
              <w:bottom w:val="single" w:color="auto" w:sz="6" w:space="0"/>
              <w:right w:val="single" w:color="auto" w:sz="6" w:space="0"/>
            </w:tcBorders>
            <w:shd w:val="clear" w:color="auto" w:fill="auto"/>
            <w:tcMar>
              <w:top w:w="0" w:type="dxa"/>
              <w:left w:w="108" w:type="dxa"/>
              <w:bottom w:w="0" w:type="dxa"/>
              <w:right w:w="108"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49" w:type="dxa"/>
            <w:tcBorders>
              <w:top w:val="nil"/>
              <w:left w:val="nil"/>
              <w:bottom w:val="single" w:color="auto" w:sz="6" w:space="0"/>
              <w:right w:val="single" w:color="auto" w:sz="6" w:space="0"/>
            </w:tcBorders>
            <w:shd w:val="clear" w:color="auto" w:fill="auto"/>
            <w:tcMar>
              <w:top w:w="0" w:type="dxa"/>
              <w:left w:w="108" w:type="dxa"/>
              <w:bottom w:w="0" w:type="dxa"/>
              <w:right w:w="108"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49" w:type="dxa"/>
            <w:tcBorders>
              <w:top w:val="nil"/>
              <w:left w:val="nil"/>
              <w:bottom w:val="single" w:color="auto" w:sz="6" w:space="0"/>
              <w:right w:val="single" w:color="auto" w:sz="6" w:space="0"/>
            </w:tcBorders>
            <w:shd w:val="clear" w:color="auto" w:fill="auto"/>
            <w:tcMar>
              <w:top w:w="0" w:type="dxa"/>
              <w:left w:w="108" w:type="dxa"/>
              <w:bottom w:w="0" w:type="dxa"/>
              <w:right w:w="108"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49" w:type="dxa"/>
            <w:tcBorders>
              <w:top w:val="nil"/>
              <w:left w:val="nil"/>
              <w:bottom w:val="single" w:color="auto" w:sz="6" w:space="0"/>
              <w:right w:val="single" w:color="auto" w:sz="6" w:space="0"/>
            </w:tcBorders>
            <w:shd w:val="clear" w:color="auto" w:fill="auto"/>
            <w:tcMar>
              <w:top w:w="0" w:type="dxa"/>
              <w:left w:w="108" w:type="dxa"/>
              <w:bottom w:w="0" w:type="dxa"/>
              <w:right w:w="108"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50" w:type="dxa"/>
            <w:tcBorders>
              <w:top w:val="nil"/>
              <w:left w:val="nil"/>
              <w:bottom w:val="single" w:color="auto" w:sz="6" w:space="0"/>
              <w:right w:val="single" w:color="auto" w:sz="6" w:space="0"/>
            </w:tcBorders>
            <w:shd w:val="clear" w:color="auto" w:fill="auto"/>
            <w:tcMar>
              <w:top w:w="0" w:type="dxa"/>
              <w:left w:w="108" w:type="dxa"/>
              <w:bottom w:w="0" w:type="dxa"/>
              <w:right w:w="108"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50" w:type="dxa"/>
            <w:tcBorders>
              <w:top w:val="nil"/>
              <w:left w:val="nil"/>
              <w:bottom w:val="single" w:color="auto" w:sz="6" w:space="0"/>
              <w:right w:val="single" w:color="auto" w:sz="6" w:space="0"/>
            </w:tcBorders>
            <w:shd w:val="clear" w:color="auto" w:fill="auto"/>
            <w:tcMar>
              <w:top w:w="0" w:type="dxa"/>
              <w:left w:w="108" w:type="dxa"/>
              <w:bottom w:w="0" w:type="dxa"/>
              <w:right w:w="108"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50" w:type="dxa"/>
            <w:tcBorders>
              <w:top w:val="nil"/>
              <w:left w:val="nil"/>
              <w:bottom w:val="single" w:color="auto" w:sz="6" w:space="0"/>
              <w:right w:val="single" w:color="auto" w:sz="6" w:space="0"/>
            </w:tcBorders>
            <w:shd w:val="clear" w:color="auto" w:fill="auto"/>
            <w:tcMar>
              <w:top w:w="0" w:type="dxa"/>
              <w:left w:w="108" w:type="dxa"/>
              <w:bottom w:w="0" w:type="dxa"/>
              <w:right w:w="108"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50" w:type="dxa"/>
            <w:tcBorders>
              <w:top w:val="nil"/>
              <w:left w:val="nil"/>
              <w:bottom w:val="single" w:color="auto" w:sz="6" w:space="0"/>
              <w:right w:val="single" w:color="auto" w:sz="6" w:space="0"/>
            </w:tcBorders>
            <w:shd w:val="clear" w:color="auto" w:fill="auto"/>
            <w:tcMar>
              <w:top w:w="0" w:type="dxa"/>
              <w:left w:w="108" w:type="dxa"/>
              <w:bottom w:w="0" w:type="dxa"/>
              <w:right w:w="108"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50" w:type="dxa"/>
            <w:tcBorders>
              <w:top w:val="nil"/>
              <w:left w:val="nil"/>
              <w:bottom w:val="single" w:color="auto" w:sz="6" w:space="0"/>
              <w:right w:val="single" w:color="auto" w:sz="6" w:space="0"/>
            </w:tcBorders>
            <w:shd w:val="clear" w:color="auto" w:fill="auto"/>
            <w:tcMar>
              <w:top w:w="0" w:type="dxa"/>
              <w:left w:w="108" w:type="dxa"/>
              <w:bottom w:w="0" w:type="dxa"/>
              <w:right w:w="108"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50" w:type="dxa"/>
            <w:tcBorders>
              <w:top w:val="nil"/>
              <w:left w:val="nil"/>
              <w:bottom w:val="single" w:color="auto" w:sz="6" w:space="0"/>
              <w:right w:val="single" w:color="auto" w:sz="6" w:space="0"/>
            </w:tcBorders>
            <w:shd w:val="clear" w:color="auto" w:fill="auto"/>
            <w:tcMar>
              <w:top w:w="0" w:type="dxa"/>
              <w:left w:w="108" w:type="dxa"/>
              <w:bottom w:w="0" w:type="dxa"/>
              <w:right w:w="108"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50" w:type="dxa"/>
            <w:tcBorders>
              <w:top w:val="nil"/>
              <w:left w:val="nil"/>
              <w:bottom w:val="single" w:color="auto" w:sz="6" w:space="0"/>
              <w:right w:val="single" w:color="auto" w:sz="6" w:space="0"/>
            </w:tcBorders>
            <w:shd w:val="clear" w:color="auto" w:fill="auto"/>
            <w:tcMar>
              <w:top w:w="0" w:type="dxa"/>
              <w:left w:w="108" w:type="dxa"/>
              <w:bottom w:w="0" w:type="dxa"/>
              <w:right w:w="108" w:type="dxa"/>
            </w:tcMar>
            <w:vAlign w:val="top"/>
          </w:tcPr>
          <w:p>
            <w:pPr>
              <w:keepNext w:val="0"/>
              <w:keepLines w:val="0"/>
              <w:widowControl/>
              <w:suppressLineNumbers w:val="0"/>
              <w:wordWrap w:val="0"/>
              <w:spacing w:before="0" w:beforeAutospacing="0" w:after="0" w:afterAutospacing="0" w:line="450" w:lineRule="atLeast"/>
              <w:ind w:left="0" w:right="0"/>
              <w:jc w:val="center"/>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c>
          <w:tcPr>
            <w:tcW w:w="650" w:type="dxa"/>
            <w:tcBorders>
              <w:top w:val="nil"/>
              <w:left w:val="nil"/>
              <w:bottom w:val="single" w:color="auto" w:sz="6" w:space="0"/>
              <w:right w:val="single" w:color="auto" w:sz="6" w:space="0"/>
            </w:tcBorders>
            <w:shd w:val="clear" w:color="auto" w:fill="auto"/>
            <w:tcMar>
              <w:top w:w="0" w:type="dxa"/>
              <w:left w:w="108" w:type="dxa"/>
              <w:bottom w:w="0" w:type="dxa"/>
              <w:right w:w="108" w:type="dxa"/>
            </w:tcMar>
            <w:vAlign w:val="center"/>
          </w:tcPr>
          <w:p>
            <w:pPr>
              <w:keepNext w:val="0"/>
              <w:keepLines w:val="0"/>
              <w:widowControl/>
              <w:suppressLineNumbers w:val="0"/>
              <w:wordWrap w:val="0"/>
              <w:spacing w:before="0" w:beforeAutospacing="0" w:after="0" w:afterAutospacing="0" w:line="450" w:lineRule="atLeast"/>
              <w:ind w:left="0" w:right="0"/>
              <w:jc w:val="both"/>
              <w:rPr>
                <w:rFonts w:hint="default" w:ascii="Calibri" w:hAnsi="Calibri" w:eastAsia="宋体" w:cs="Calibri"/>
                <w:kern w:val="0"/>
                <w:sz w:val="24"/>
                <w:szCs w:val="24"/>
                <w:lang w:val="en-US" w:eastAsia="zh-CN" w:bidi="ar"/>
              </w:rPr>
            </w:pPr>
            <w:r>
              <w:rPr>
                <w:rFonts w:hint="default" w:ascii="Calibri" w:hAnsi="Calibri" w:eastAsia="宋体" w:cs="Calibri"/>
                <w:color w:val="000000"/>
                <w:kern w:val="0"/>
                <w:sz w:val="20"/>
                <w:szCs w:val="20"/>
                <w:lang w:val="en-US" w:eastAsia="zh-CN" w:bidi="ar"/>
              </w:rPr>
              <w:t> 0</w:t>
            </w:r>
          </w:p>
        </w:tc>
      </w:tr>
    </w:tbl>
    <w:p>
      <w:pPr>
        <w:spacing w:before="255"/>
        <w:ind w:firstLine="684" w:firstLineChars="200"/>
        <w:outlineLvl w:val="0"/>
        <w:rPr>
          <w:rFonts w:ascii="黑体" w:hAnsi="黑体" w:eastAsia="黑体" w:cs="黑体"/>
          <w:sz w:val="31"/>
          <w:szCs w:val="31"/>
        </w:rPr>
      </w:pPr>
      <w:r>
        <w:rPr>
          <w:rFonts w:ascii="黑体" w:hAnsi="黑体" w:eastAsia="黑体" w:cs="黑体"/>
          <w:spacing w:val="16"/>
          <w:sz w:val="31"/>
          <w:szCs w:val="31"/>
          <w14:textOutline w14:w="5793" w14:cap="sq" w14:cmpd="sng">
            <w14:solidFill>
              <w14:srgbClr w14:val="000000"/>
            </w14:solidFill>
            <w14:prstDash w14:val="solid"/>
            <w14:bevel/>
          </w14:textOutline>
        </w:rPr>
        <w:t>五</w:t>
      </w:r>
      <w:r>
        <w:rPr>
          <w:rFonts w:ascii="黑体" w:hAnsi="黑体" w:eastAsia="黑体" w:cs="黑体"/>
          <w:spacing w:val="9"/>
          <w:sz w:val="31"/>
          <w:szCs w:val="31"/>
          <w14:textOutline w14:w="5793" w14:cap="sq" w14:cmpd="sng">
            <w14:solidFill>
              <w14:srgbClr w14:val="000000"/>
            </w14:solidFill>
            <w14:prstDash w14:val="solid"/>
            <w14:bevel/>
          </w14:textOutline>
        </w:rPr>
        <w:t>、存在的主要问题及改进情况</w:t>
      </w:r>
    </w:p>
    <w:p>
      <w:pPr>
        <w:spacing w:before="319" w:line="225" w:lineRule="auto"/>
        <w:ind w:firstLine="660" w:firstLineChars="200"/>
        <w:rPr>
          <w:rFonts w:ascii="仿宋" w:hAnsi="仿宋" w:eastAsia="仿宋" w:cs="仿宋"/>
          <w:sz w:val="31"/>
          <w:szCs w:val="31"/>
        </w:rPr>
      </w:pPr>
      <w:r>
        <w:rPr>
          <w:rFonts w:ascii="仿宋" w:hAnsi="仿宋" w:eastAsia="仿宋" w:cs="仿宋"/>
          <w:spacing w:val="10"/>
          <w:sz w:val="31"/>
          <w:szCs w:val="31"/>
        </w:rPr>
        <w:t>(</w:t>
      </w:r>
      <w:r>
        <w:rPr>
          <w:rFonts w:ascii="仿宋" w:hAnsi="仿宋" w:eastAsia="仿宋" w:cs="仿宋"/>
          <w:spacing w:val="5"/>
          <w:sz w:val="31"/>
          <w:szCs w:val="31"/>
        </w:rPr>
        <w:t>一)存在的主要问题。</w:t>
      </w:r>
    </w:p>
    <w:p>
      <w:pPr>
        <w:spacing w:line="244" w:lineRule="auto"/>
        <w:rPr>
          <w:rFonts w:ascii="Arial"/>
          <w:sz w:val="21"/>
        </w:rPr>
      </w:pPr>
    </w:p>
    <w:p>
      <w:pPr>
        <w:spacing w:before="101" w:line="376" w:lineRule="auto"/>
        <w:ind w:right="368" w:firstLine="632" w:firstLineChars="200"/>
        <w:rPr>
          <w:rFonts w:ascii="仿宋" w:hAnsi="仿宋" w:eastAsia="仿宋" w:cs="仿宋"/>
          <w:sz w:val="31"/>
          <w:szCs w:val="31"/>
        </w:rPr>
      </w:pPr>
      <w:r>
        <w:rPr>
          <w:rFonts w:ascii="仿宋" w:hAnsi="仿宋" w:eastAsia="仿宋" w:cs="仿宋"/>
          <w:spacing w:val="3"/>
          <w:sz w:val="31"/>
          <w:szCs w:val="31"/>
        </w:rPr>
        <w:t>202</w:t>
      </w:r>
      <w:r>
        <w:rPr>
          <w:rFonts w:hint="eastAsia" w:ascii="仿宋" w:hAnsi="仿宋" w:eastAsia="仿宋" w:cs="仿宋"/>
          <w:spacing w:val="3"/>
          <w:sz w:val="31"/>
          <w:szCs w:val="31"/>
          <w:lang w:val="en-US" w:eastAsia="zh-CN"/>
        </w:rPr>
        <w:t>2</w:t>
      </w:r>
      <w:r>
        <w:rPr>
          <w:rFonts w:ascii="仿宋" w:hAnsi="仿宋" w:eastAsia="仿宋" w:cs="仿宋"/>
          <w:spacing w:val="3"/>
          <w:sz w:val="31"/>
          <w:szCs w:val="31"/>
        </w:rPr>
        <w:t>年我乡的信息公开工作，在充分肯定成绩的同时</w:t>
      </w:r>
      <w:r>
        <w:rPr>
          <w:rFonts w:ascii="仿宋" w:hAnsi="仿宋" w:eastAsia="仿宋" w:cs="仿宋"/>
          <w:sz w:val="31"/>
          <w:szCs w:val="31"/>
        </w:rPr>
        <w:t>，</w:t>
      </w:r>
      <w:r>
        <w:rPr>
          <w:rFonts w:ascii="仿宋" w:hAnsi="仿宋" w:eastAsia="仿宋" w:cs="仿宋"/>
          <w:spacing w:val="16"/>
          <w:sz w:val="31"/>
          <w:szCs w:val="31"/>
        </w:rPr>
        <w:t>存</w:t>
      </w:r>
      <w:r>
        <w:rPr>
          <w:rFonts w:ascii="仿宋" w:hAnsi="仿宋" w:eastAsia="仿宋" w:cs="仿宋"/>
          <w:spacing w:val="14"/>
          <w:sz w:val="31"/>
          <w:szCs w:val="31"/>
        </w:rPr>
        <w:t>在</w:t>
      </w:r>
      <w:r>
        <w:rPr>
          <w:rFonts w:hint="eastAsia" w:ascii="仿宋" w:hAnsi="仿宋" w:eastAsia="仿宋" w:cs="仿宋"/>
          <w:spacing w:val="14"/>
          <w:sz w:val="31"/>
          <w:szCs w:val="31"/>
        </w:rPr>
        <w:t>对实行政务公开的重要意义认识不足</w:t>
      </w:r>
      <w:r>
        <w:rPr>
          <w:rFonts w:hint="eastAsia" w:ascii="仿宋" w:hAnsi="仿宋" w:eastAsia="仿宋" w:cs="仿宋"/>
          <w:spacing w:val="14"/>
          <w:sz w:val="31"/>
          <w:szCs w:val="31"/>
          <w:lang w:eastAsia="zh-CN"/>
        </w:rPr>
        <w:t>；</w:t>
      </w:r>
      <w:r>
        <w:rPr>
          <w:rFonts w:ascii="仿宋" w:hAnsi="仿宋" w:eastAsia="仿宋" w:cs="仿宋"/>
          <w:spacing w:val="8"/>
          <w:sz w:val="31"/>
          <w:szCs w:val="31"/>
        </w:rPr>
        <w:t>政务信息公开不及时和政务信息内容格式不统一问题；</w:t>
      </w:r>
      <w:r>
        <w:rPr>
          <w:rFonts w:ascii="仿宋" w:hAnsi="仿宋" w:eastAsia="仿宋" w:cs="仿宋"/>
          <w:spacing w:val="10"/>
          <w:sz w:val="31"/>
          <w:szCs w:val="31"/>
        </w:rPr>
        <w:t>当</w:t>
      </w:r>
      <w:r>
        <w:rPr>
          <w:rFonts w:ascii="仿宋" w:hAnsi="仿宋" w:eastAsia="仿宋" w:cs="仿宋"/>
          <w:spacing w:val="8"/>
          <w:sz w:val="31"/>
          <w:szCs w:val="31"/>
        </w:rPr>
        <w:t>前主要存在政务信息部分信息缺失的问题</w:t>
      </w:r>
      <w:r>
        <w:rPr>
          <w:rFonts w:hint="eastAsia" w:ascii="仿宋" w:hAnsi="仿宋" w:eastAsia="仿宋" w:cs="仿宋"/>
          <w:spacing w:val="8"/>
          <w:sz w:val="31"/>
          <w:szCs w:val="31"/>
          <w:lang w:eastAsia="zh-CN"/>
        </w:rPr>
        <w:t>，使群众难以了解全貌。</w:t>
      </w:r>
    </w:p>
    <w:p>
      <w:pPr>
        <w:spacing w:before="162" w:line="228" w:lineRule="auto"/>
        <w:ind w:firstLine="648" w:firstLineChars="200"/>
        <w:rPr>
          <w:rFonts w:ascii="仿宋" w:hAnsi="仿宋" w:eastAsia="仿宋" w:cs="仿宋"/>
          <w:sz w:val="31"/>
          <w:szCs w:val="31"/>
        </w:rPr>
      </w:pPr>
      <w:r>
        <w:rPr>
          <w:rFonts w:ascii="仿宋" w:hAnsi="仿宋" w:eastAsia="仿宋" w:cs="仿宋"/>
          <w:spacing w:val="7"/>
          <w:sz w:val="31"/>
          <w:szCs w:val="31"/>
        </w:rPr>
        <w:t>(</w:t>
      </w:r>
      <w:r>
        <w:rPr>
          <w:rFonts w:ascii="仿宋" w:hAnsi="仿宋" w:eastAsia="仿宋" w:cs="仿宋"/>
          <w:spacing w:val="4"/>
          <w:sz w:val="31"/>
          <w:szCs w:val="31"/>
        </w:rPr>
        <w:t>一)改进情况。</w:t>
      </w:r>
    </w:p>
    <w:p>
      <w:pPr>
        <w:spacing w:before="341" w:line="375" w:lineRule="auto"/>
        <w:ind w:right="14" w:firstLine="684" w:firstLineChars="200"/>
        <w:rPr>
          <w:rFonts w:ascii="仿宋" w:hAnsi="仿宋" w:eastAsia="仿宋" w:cs="仿宋"/>
          <w:sz w:val="31"/>
          <w:szCs w:val="31"/>
        </w:rPr>
      </w:pPr>
      <w:r>
        <w:rPr>
          <w:rFonts w:ascii="仿宋" w:hAnsi="仿宋" w:eastAsia="仿宋" w:cs="仿宋"/>
          <w:spacing w:val="16"/>
          <w:sz w:val="31"/>
          <w:szCs w:val="31"/>
        </w:rPr>
        <w:t>针</w:t>
      </w:r>
      <w:r>
        <w:rPr>
          <w:rFonts w:ascii="仿宋" w:hAnsi="仿宋" w:eastAsia="仿宋" w:cs="仿宋"/>
          <w:spacing w:val="10"/>
          <w:sz w:val="31"/>
          <w:szCs w:val="31"/>
        </w:rPr>
        <w:t>对</w:t>
      </w:r>
      <w:r>
        <w:rPr>
          <w:rFonts w:ascii="仿宋" w:hAnsi="仿宋" w:eastAsia="仿宋" w:cs="仿宋"/>
          <w:spacing w:val="8"/>
          <w:sz w:val="31"/>
          <w:szCs w:val="31"/>
        </w:rPr>
        <w:t>以上问题，下一步</w:t>
      </w:r>
      <w:r>
        <w:rPr>
          <w:rFonts w:hint="eastAsia" w:ascii="仿宋" w:hAnsi="仿宋" w:eastAsia="仿宋" w:cs="仿宋"/>
          <w:spacing w:val="8"/>
          <w:sz w:val="31"/>
          <w:szCs w:val="31"/>
        </w:rPr>
        <w:t>加强政务公开工作的组织领导，增强政务公开意识，进一步健全和完善政务公开制度，规范公开内容，提高公开质量</w:t>
      </w:r>
      <w:r>
        <w:rPr>
          <w:rFonts w:hint="eastAsia" w:ascii="仿宋" w:hAnsi="仿宋" w:eastAsia="仿宋" w:cs="仿宋"/>
          <w:spacing w:val="8"/>
          <w:sz w:val="31"/>
          <w:szCs w:val="31"/>
          <w:lang w:eastAsia="zh-CN"/>
        </w:rPr>
        <w:t>；</w:t>
      </w:r>
      <w:r>
        <w:rPr>
          <w:rFonts w:hint="eastAsia" w:ascii="仿宋" w:hAnsi="仿宋" w:eastAsia="仿宋" w:cs="仿宋"/>
          <w:spacing w:val="8"/>
          <w:sz w:val="31"/>
          <w:szCs w:val="31"/>
        </w:rPr>
        <w:t>加强人员培训，提高工作效率</w:t>
      </w:r>
      <w:r>
        <w:rPr>
          <w:rFonts w:hint="eastAsia" w:ascii="仿宋" w:hAnsi="仿宋" w:eastAsia="仿宋" w:cs="仿宋"/>
          <w:spacing w:val="8"/>
          <w:sz w:val="31"/>
          <w:szCs w:val="31"/>
          <w:lang w:eastAsia="zh-CN"/>
        </w:rPr>
        <w:t>。</w:t>
      </w:r>
      <w:r>
        <w:rPr>
          <w:rFonts w:hint="eastAsia" w:ascii="仿宋" w:hAnsi="仿宋" w:eastAsia="仿宋" w:cs="仿宋"/>
          <w:spacing w:val="8"/>
          <w:sz w:val="31"/>
          <w:szCs w:val="31"/>
        </w:rPr>
        <w:t>对政务公开工作人员进行专职培训，使其掌握相关的法律法规和办事流程，确保政务公开工作的时效性</w:t>
      </w:r>
      <w:r>
        <w:rPr>
          <w:rFonts w:hint="eastAsia" w:ascii="仿宋" w:hAnsi="仿宋" w:eastAsia="仿宋" w:cs="仿宋"/>
          <w:spacing w:val="8"/>
          <w:sz w:val="31"/>
          <w:szCs w:val="31"/>
          <w:lang w:eastAsia="zh-CN"/>
        </w:rPr>
        <w:t>；</w:t>
      </w:r>
      <w:r>
        <w:rPr>
          <w:rFonts w:ascii="仿宋" w:hAnsi="仿宋" w:eastAsia="仿宋" w:cs="仿宋"/>
          <w:spacing w:val="8"/>
          <w:sz w:val="31"/>
          <w:szCs w:val="31"/>
        </w:rPr>
        <w:t>及时做好政务信息公开工作，不</w:t>
      </w:r>
      <w:r>
        <w:rPr>
          <w:rFonts w:ascii="仿宋" w:hAnsi="仿宋" w:eastAsia="仿宋" w:cs="仿宋"/>
          <w:spacing w:val="16"/>
          <w:sz w:val="31"/>
          <w:szCs w:val="31"/>
        </w:rPr>
        <w:t>断</w:t>
      </w:r>
      <w:r>
        <w:rPr>
          <w:rFonts w:ascii="仿宋" w:hAnsi="仿宋" w:eastAsia="仿宋" w:cs="仿宋"/>
          <w:spacing w:val="13"/>
          <w:sz w:val="31"/>
          <w:szCs w:val="31"/>
        </w:rPr>
        <w:t>完</w:t>
      </w:r>
      <w:r>
        <w:rPr>
          <w:rFonts w:ascii="仿宋" w:hAnsi="仿宋" w:eastAsia="仿宋" w:cs="仿宋"/>
          <w:spacing w:val="8"/>
          <w:sz w:val="31"/>
          <w:szCs w:val="31"/>
        </w:rPr>
        <w:t>善信息公开的水平和内容，确保公开信息及时有效、准</w:t>
      </w:r>
      <w:r>
        <w:rPr>
          <w:rFonts w:ascii="仿宋" w:hAnsi="仿宋" w:eastAsia="仿宋" w:cs="仿宋"/>
          <w:spacing w:val="16"/>
          <w:sz w:val="31"/>
          <w:szCs w:val="31"/>
        </w:rPr>
        <w:t>确</w:t>
      </w:r>
      <w:r>
        <w:rPr>
          <w:rFonts w:ascii="仿宋" w:hAnsi="仿宋" w:eastAsia="仿宋" w:cs="仿宋"/>
          <w:spacing w:val="15"/>
          <w:sz w:val="31"/>
          <w:szCs w:val="31"/>
        </w:rPr>
        <w:t>，</w:t>
      </w:r>
      <w:r>
        <w:rPr>
          <w:rFonts w:ascii="仿宋" w:hAnsi="仿宋" w:eastAsia="仿宋" w:cs="仿宋"/>
          <w:spacing w:val="8"/>
          <w:sz w:val="31"/>
          <w:szCs w:val="31"/>
        </w:rPr>
        <w:t>使政务信息及时有效发布。对于政务信息部分缺失的问</w:t>
      </w:r>
      <w:r>
        <w:rPr>
          <w:rFonts w:ascii="仿宋" w:hAnsi="仿宋" w:eastAsia="仿宋" w:cs="仿宋"/>
          <w:spacing w:val="16"/>
          <w:sz w:val="31"/>
          <w:szCs w:val="31"/>
        </w:rPr>
        <w:t>题</w:t>
      </w:r>
      <w:r>
        <w:rPr>
          <w:rFonts w:ascii="仿宋" w:hAnsi="仿宋" w:eastAsia="仿宋" w:cs="仿宋"/>
          <w:spacing w:val="13"/>
          <w:sz w:val="31"/>
          <w:szCs w:val="31"/>
        </w:rPr>
        <w:t>，</w:t>
      </w:r>
      <w:r>
        <w:rPr>
          <w:rFonts w:ascii="仿宋" w:hAnsi="仿宋" w:eastAsia="仿宋" w:cs="仿宋"/>
          <w:spacing w:val="8"/>
          <w:sz w:val="31"/>
          <w:szCs w:val="31"/>
        </w:rPr>
        <w:t>做好筛查、总结工作，建立有效的监督管理制度，定人</w:t>
      </w:r>
      <w:r>
        <w:rPr>
          <w:rFonts w:ascii="仿宋" w:hAnsi="仿宋" w:eastAsia="仿宋" w:cs="仿宋"/>
          <w:spacing w:val="14"/>
          <w:sz w:val="31"/>
          <w:szCs w:val="31"/>
        </w:rPr>
        <w:t>定</w:t>
      </w:r>
      <w:r>
        <w:rPr>
          <w:rFonts w:ascii="仿宋" w:hAnsi="仿宋" w:eastAsia="仿宋" w:cs="仿宋"/>
          <w:spacing w:val="8"/>
          <w:sz w:val="31"/>
          <w:szCs w:val="31"/>
        </w:rPr>
        <w:t>岗，确保信息公开工作的规范性和完整性。</w:t>
      </w:r>
    </w:p>
    <w:p>
      <w:pPr>
        <w:spacing w:before="70" w:line="233" w:lineRule="auto"/>
        <w:ind w:firstLine="660" w:firstLineChars="200"/>
        <w:outlineLvl w:val="0"/>
        <w:rPr>
          <w:rFonts w:ascii="黑体" w:hAnsi="黑体" w:eastAsia="黑体" w:cs="黑体"/>
          <w:sz w:val="31"/>
          <w:szCs w:val="31"/>
        </w:rPr>
      </w:pPr>
      <w:r>
        <w:rPr>
          <w:rFonts w:ascii="黑体" w:hAnsi="黑体" w:eastAsia="黑体" w:cs="黑体"/>
          <w:spacing w:val="10"/>
          <w:sz w:val="31"/>
          <w:szCs w:val="31"/>
          <w14:textOutline w14:w="5793" w14:cap="sq" w14:cmpd="sng">
            <w14:solidFill>
              <w14:srgbClr w14:val="000000"/>
            </w14:solidFill>
            <w14:prstDash w14:val="solid"/>
            <w14:bevel/>
          </w14:textOutline>
        </w:rPr>
        <w:t>六</w:t>
      </w:r>
      <w:r>
        <w:rPr>
          <w:rFonts w:ascii="黑体" w:hAnsi="黑体" w:eastAsia="黑体" w:cs="黑体"/>
          <w:spacing w:val="9"/>
          <w:sz w:val="31"/>
          <w:szCs w:val="31"/>
          <w14:textOutline w14:w="5793" w14:cap="sq" w14:cmpd="sng">
            <w14:solidFill>
              <w14:srgbClr w14:val="000000"/>
            </w14:solidFill>
            <w14:prstDash w14:val="solid"/>
            <w14:bevel/>
          </w14:textOutline>
        </w:rPr>
        <w:t>、其他需要报告的事项</w:t>
      </w:r>
    </w:p>
    <w:p>
      <w:pPr>
        <w:spacing w:before="333" w:line="377" w:lineRule="auto"/>
        <w:ind w:right="13" w:firstLine="632" w:firstLineChars="200"/>
        <w:rPr>
          <w:rFonts w:ascii="仿宋" w:hAnsi="仿宋" w:eastAsia="仿宋" w:cs="仿宋"/>
          <w:spacing w:val="3"/>
          <w:sz w:val="31"/>
          <w:szCs w:val="31"/>
        </w:rPr>
      </w:pPr>
      <w:r>
        <w:rPr>
          <w:rFonts w:ascii="仿宋" w:hAnsi="仿宋" w:eastAsia="仿宋" w:cs="仿宋"/>
          <w:spacing w:val="3"/>
          <w:sz w:val="31"/>
          <w:szCs w:val="31"/>
        </w:rPr>
        <w:t>按照《国务院办公厅关于印发&lt;政府信息公开信息处理费管理办法&gt;的通知》(国办函﹝2020﹞109号)规定的按件、按量收费标准，本年度没有产生信息公开处理费。</w:t>
      </w:r>
    </w:p>
    <w:p>
      <w:pPr>
        <w:spacing w:before="333" w:line="377" w:lineRule="auto"/>
        <w:ind w:left="34" w:right="13" w:firstLine="657"/>
        <w:rPr>
          <w:rFonts w:ascii="仿宋" w:hAnsi="仿宋" w:eastAsia="仿宋" w:cs="仿宋"/>
          <w:spacing w:val="3"/>
          <w:sz w:val="31"/>
          <w:szCs w:val="31"/>
        </w:rPr>
      </w:pPr>
    </w:p>
    <w:sectPr>
      <w:footerReference r:id="rId5" w:type="default"/>
      <w:pgSz w:w="11906" w:h="16839"/>
      <w:pgMar w:top="1431" w:right="1785" w:bottom="1157" w:left="1785" w:header="0" w:footer="99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129"/>
      <w:rPr>
        <w:rFonts w:ascii="Calibri" w:hAnsi="Calibri" w:eastAsia="Calibri" w:cs="Calibri"/>
        <w:sz w:val="17"/>
        <w:szCs w:val="17"/>
      </w:rPr>
    </w:pPr>
    <w:r>
      <w:rPr>
        <w:rFonts w:ascii="Calibri" w:hAnsi="Calibri" w:eastAsia="Calibri" w:cs="Calibri"/>
        <w:sz w:val="17"/>
        <w:szCs w:val="17"/>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jQ2MmZiMTllYTEyMGM4ZWZhYTRmNWY0NDkwOGZjODkifQ=="/>
  </w:docVars>
  <w:rsids>
    <w:rsidRoot w:val="00000000"/>
    <w:rsid w:val="001D4206"/>
    <w:rsid w:val="039E565E"/>
    <w:rsid w:val="05AD7DDA"/>
    <w:rsid w:val="069073D1"/>
    <w:rsid w:val="07EE5486"/>
    <w:rsid w:val="098765F6"/>
    <w:rsid w:val="09E5677B"/>
    <w:rsid w:val="0A876E4C"/>
    <w:rsid w:val="0B8F446A"/>
    <w:rsid w:val="10685029"/>
    <w:rsid w:val="12255AA3"/>
    <w:rsid w:val="13DC2400"/>
    <w:rsid w:val="1E71777F"/>
    <w:rsid w:val="22B61C24"/>
    <w:rsid w:val="23D47337"/>
    <w:rsid w:val="24973CD7"/>
    <w:rsid w:val="2818512F"/>
    <w:rsid w:val="2AAF75D6"/>
    <w:rsid w:val="2C1D4AC2"/>
    <w:rsid w:val="2D590450"/>
    <w:rsid w:val="2D8D0067"/>
    <w:rsid w:val="2F9353AE"/>
    <w:rsid w:val="300A7D3C"/>
    <w:rsid w:val="39144F55"/>
    <w:rsid w:val="431762B8"/>
    <w:rsid w:val="446A5CE0"/>
    <w:rsid w:val="47DE55F6"/>
    <w:rsid w:val="49906C88"/>
    <w:rsid w:val="4CA910F0"/>
    <w:rsid w:val="4DF41D25"/>
    <w:rsid w:val="4EF37BD9"/>
    <w:rsid w:val="50C855A8"/>
    <w:rsid w:val="50D61560"/>
    <w:rsid w:val="55943798"/>
    <w:rsid w:val="565C42B5"/>
    <w:rsid w:val="59E77DE1"/>
    <w:rsid w:val="5E4F2952"/>
    <w:rsid w:val="5EAF33DE"/>
    <w:rsid w:val="6483520D"/>
    <w:rsid w:val="64A15D85"/>
    <w:rsid w:val="64D92461"/>
    <w:rsid w:val="64F1364B"/>
    <w:rsid w:val="68AB2E7A"/>
    <w:rsid w:val="6C725130"/>
    <w:rsid w:val="6D602485"/>
    <w:rsid w:val="6DB85E1E"/>
    <w:rsid w:val="6E296D1B"/>
    <w:rsid w:val="6F433E0D"/>
    <w:rsid w:val="71020B78"/>
    <w:rsid w:val="737F73DD"/>
    <w:rsid w:val="741C4C2C"/>
    <w:rsid w:val="7B194887"/>
    <w:rsid w:val="7BC71D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customStyle="1" w:styleId="4">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Pages>
  <Words>2620</Words>
  <Characters>2714</Characters>
  <TotalTime>1</TotalTime>
  <ScaleCrop>false</ScaleCrop>
  <LinksUpToDate>false</LinksUpToDate>
  <CharactersWithSpaces>2920</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2023-01-17T10:22:00Z</dcterms:created>
  <dc:creator>liuli</dc:creator>
  <cp:lastModifiedBy>Oding</cp:lastModifiedBy>
  <dcterms:modified xsi:type="dcterms:W3CDTF">2024-02-21T09:18:40Z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2023-01-17T10:23:12Z</vt:filetime>
  </property>
  <property fmtid="{D5CDD505-2E9C-101B-9397-08002B2CF9AE}" pid="4" name="KSOProductBuildVer">
    <vt:lpwstr>2052-12.1.0.16388</vt:lpwstr>
  </property>
  <property fmtid="{D5CDD505-2E9C-101B-9397-08002B2CF9AE}" pid="5" name="ICV">
    <vt:lpwstr>24ED91063AF143D088EEE3AF17F1AB09_13</vt:lpwstr>
  </property>
</Properties>
</file>