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eastAsia="zh-CN"/>
        </w:rPr>
        <w:t>霍邱县曹庙镇人民政府</w:t>
      </w:r>
      <w:r>
        <w:rPr>
          <w:rFonts w:hint="eastAsia" w:ascii="方正小标宋_GBK" w:hAnsi="方正小标宋_GBK" w:eastAsia="方正小标宋_GBK" w:cs="方正小标宋_GBK"/>
          <w:color w:val="auto"/>
          <w:sz w:val="44"/>
          <w:szCs w:val="44"/>
          <w:lang w:val="en-US" w:eastAsia="zh-CN"/>
        </w:rPr>
        <w:t>2022年政府信息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p>
    <w:p>
      <w:pPr>
        <w:pStyle w:val="5"/>
        <w:keepNext w:val="0"/>
        <w:keepLines w:val="0"/>
        <w:widowControl/>
        <w:suppressLineNumbers w:val="0"/>
        <w:spacing w:before="0" w:beforeAutospacing="0" w:after="0" w:afterAutospacing="0"/>
        <w:ind w:left="0" w:right="0" w:firstLine="640"/>
        <w:jc w:val="both"/>
        <w:rPr>
          <w:rFonts w:ascii="Calibri" w:hAnsi="Calibri" w:cs="Calibri"/>
          <w:sz w:val="21"/>
          <w:szCs w:val="21"/>
        </w:rPr>
      </w:pPr>
      <w:r>
        <w:rPr>
          <w:rFonts w:ascii="仿宋" w:hAnsi="仿宋" w:eastAsia="仿宋" w:cs="仿宋"/>
          <w:sz w:val="32"/>
          <w:szCs w:val="32"/>
        </w:rPr>
        <w:t>根据《国务院办公厅政府信息与政务公开办公室关于印发</w:t>
      </w:r>
      <w:r>
        <w:rPr>
          <w:rFonts w:hint="eastAsia" w:ascii="仿宋" w:hAnsi="仿宋" w:eastAsia="仿宋" w:cs="仿宋"/>
          <w:sz w:val="32"/>
          <w:szCs w:val="32"/>
        </w:rPr>
        <w:t>&lt;中华人民共和国政府信息公开工作年度报告格式&gt;的通知》（国办公开办函〔2021〕30号）、《安徽省政务公开办公室关于做好2022年度政府信息公开工作年度报告编</w:t>
      </w:r>
      <w:bookmarkStart w:id="0" w:name="_GoBack"/>
      <w:bookmarkEnd w:id="0"/>
      <w:r>
        <w:rPr>
          <w:rFonts w:hint="eastAsia" w:ascii="仿宋" w:hAnsi="仿宋" w:eastAsia="仿宋" w:cs="仿宋"/>
          <w:sz w:val="32"/>
          <w:szCs w:val="32"/>
        </w:rPr>
        <w:t>制和发布工作的通知》、《六安市政务公开办公室关于做好2022年度政府信息公开年度报告编制和发布工作的通知》（六政务公开办〔2022〕53号）、《霍邱县人民政府办公室关于做好2022年度政府信息公开年度报告编制和发布工作的通知》的等工作部署，结合省、市有关文件精神要求与我镇工作实际，编制2022年霍邱县曹庙镇政府信息公开年度报告。本年度报告中所列数据统计期限为2022年1月1日起至2022年12月31日，如对本报告有任何疑问，请与霍邱县曹庙镇政府联系（监督电话：0564—6884001，地址：霍邱县曹庙镇政府大院，邮编：237443）。</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ascii="黑体" w:hAnsi="宋体" w:eastAsia="黑体" w:cs="黑体"/>
          <w:sz w:val="32"/>
          <w:szCs w:val="32"/>
        </w:rPr>
        <w:t>一、</w:t>
      </w:r>
      <w:r>
        <w:rPr>
          <w:rFonts w:hint="eastAsia" w:ascii="黑体" w:hAnsi="宋体" w:eastAsia="黑体" w:cs="黑体"/>
          <w:sz w:val="32"/>
          <w:szCs w:val="32"/>
        </w:rPr>
        <w:t>总体情况</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一）主动公开。2022年，按照县委、县政府、县政务公开办公室相关部署及要求，我镇高度重视政务公开工作，定期召开政务公开相关工作会议，明确责任分工，确保政府信息发布的及时性、准确性、有效性，严格遵循“以公开为原则，不公开为例外”的要求，做到应公开，尽公开。截止2022年12月31日，我镇政务动态信息更新857条，解读上级政府政策4篇，成交公告共15条，其中包含了本年度疫情防控、惠农惠民等重点工作，充分发挥了政务公开的作用，把政府行使权力的行为置于广大人民群众的监督下。</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二）依申请公开。2022年，我镇认真贯彻落实省、市、县相关文件要求，严格按照依申请公开制度办公，明确申请的受理、审查、处理、答复等各个环节具体要求，有效保障申请人合法权益。本年度我镇线上通过霍邱县曹庙镇人民政府信息公开网“依申请公开”栏目收到申请1条，回复1条。</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（三）政府信息管理。曹庙镇党委政府高度重视政务公开工作,成立了以镇长为组长,分管领导为副组长的政务公开领导小组,并下设办公室,落实专人负责政务公开的日常工作，并严格落实信息公开“三审”制度。</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（四）政府信息公开平台建设情况。</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一是我镇网页根据《国务院办公厅政府信息与政务公开办公室关于规范政府信息公开平台有关事项的通知》（国办公开办函〔2019〕61号）要求设计、布局，进一步提高了政府网站便民、利民的服务水平。二是定期维护网站平台，及时更新栏目信息，定期排查已公开信息，补差补缺，对出现的问题第一时间整改，并按时报送整改报告。三是在政务服务大厅设置自助查阅区，并配备相应的设施、设备，张贴相应的办事指南，通过电子触摸屏、信息公开栏、宣传手册等方式向社会公开，保障群众知情权。</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（五）监督保障方面。</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一是明确党政办为全镇政务公开工作牵头单位，协调、指导、督促各部门政务公开工作，强化责任追究。二是加强业务培训，积极参加县数据资源管理局组织相关培训会议和集中办公。三是是把政府信息公开工作纳入对各村月度考评中，得分直接与村干部绩效挂钩，提高各村工作主动性、积极性。四是在村便民服务中心设立留言簿，在政府大门设立意见箱，设立投诉举报电话，主动接受群众监督，及时收集群众意见建议，履行社会评议工作职责，推动阳光政务服务开展。五是责任追究方面，2022年我镇未出现因信息公开不到位需要进行责任追究的情况。</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黑体" w:hAnsi="宋体" w:eastAsia="黑体" w:cs="黑体"/>
          <w:sz w:val="32"/>
          <w:szCs w:val="32"/>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268"/>
        <w:gridCol w:w="2268"/>
        <w:gridCol w:w="2268"/>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信息内容</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本年制发件数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本年废止件数</w:t>
            </w:r>
          </w:p>
        </w:tc>
        <w:tc>
          <w:tcPr>
            <w:tcW w:w="2435"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规章</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行政规范性文件</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pPr>
            <w:r>
              <w:rPr>
                <w:rFonts w:hint="eastAsia" w:ascii="仿宋" w:hAnsi="仿宋" w:eastAsia="仿宋" w:cs="仿宋"/>
                <w:sz w:val="32"/>
                <w:szCs w:val="32"/>
              </w:rPr>
              <w:t>0</w:t>
            </w:r>
          </w:p>
        </w:tc>
        <w:tc>
          <w:tcPr>
            <w:tcW w:w="2435"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pPr>
            <w:r>
              <w:rPr>
                <w:rFonts w:hint="eastAsia" w:ascii="仿宋" w:hAnsi="仿宋" w:eastAsia="仿宋" w:cs="仿宋"/>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信息内容</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行政许可</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信息内容</w:t>
            </w:r>
          </w:p>
        </w:tc>
        <w:tc>
          <w:tcPr>
            <w:tcW w:w="7305"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行政处罚</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行政强制</w:t>
            </w:r>
          </w:p>
        </w:tc>
        <w:tc>
          <w:tcPr>
            <w:tcW w:w="7305"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信息内容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行政事业性收费</w:t>
            </w:r>
          </w:p>
        </w:tc>
        <w:tc>
          <w:tcPr>
            <w:tcW w:w="7305"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r>
    </w:tbl>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黑体" w:hAnsi="宋体" w:eastAsia="黑体" w:cs="黑体"/>
          <w:sz w:val="32"/>
          <w:szCs w:val="32"/>
        </w:rPr>
        <w:t>三、收到和处理政府信息公开申请情况</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6"/>
        <w:gridCol w:w="1074"/>
        <w:gridCol w:w="3129"/>
        <w:gridCol w:w="678"/>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（本列数据的勾稽关系为：第一项加第二项之和，等于第三项加第四项之和）</w:t>
            </w:r>
          </w:p>
        </w:tc>
        <w:tc>
          <w:tcPr>
            <w:tcW w:w="4816" w:type="dxa"/>
            <w:gridSpan w:val="7"/>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restart"/>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自然人</w:t>
            </w:r>
          </w:p>
        </w:tc>
        <w:tc>
          <w:tcPr>
            <w:tcW w:w="3440"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法人或其他组织</w:t>
            </w:r>
          </w:p>
        </w:tc>
        <w:tc>
          <w:tcPr>
            <w:tcW w:w="688" w:type="dxa"/>
            <w:vMerge w:val="restart"/>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continue"/>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商业</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企业</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科研</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机构</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社会公益组织</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法律服务机构</w:t>
            </w:r>
          </w:p>
        </w:tc>
        <w:tc>
          <w:tcPr>
            <w:tcW w:w="68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其他</w:t>
            </w:r>
          </w:p>
        </w:tc>
        <w:tc>
          <w:tcPr>
            <w:tcW w:w="688" w:type="dxa"/>
            <w:vMerge w:val="continue"/>
            <w:tcBorders>
              <w:top w:val="single" w:color="auto" w:sz="6" w:space="0"/>
              <w:left w:val="single" w:color="auto" w:sz="6"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一、本年新收政府信息公开申请数量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二、上年结转政府信息公开申请数量</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三、本年度办理结果</w:t>
            </w:r>
          </w:p>
        </w:tc>
        <w:tc>
          <w:tcPr>
            <w:tcW w:w="4162" w:type="dxa"/>
            <w:gridSpan w:val="2"/>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（一）予以公开</w:t>
            </w:r>
          </w:p>
        </w:tc>
        <w:tc>
          <w:tcPr>
            <w:tcW w:w="688" w:type="dxa"/>
            <w:tcBorders>
              <w:top w:val="single" w:color="auto" w:sz="6" w:space="0"/>
              <w:left w:val="double" w:color="auto" w:sz="2"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double" w:color="auto" w:sz="18"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2" w:type="dxa"/>
            <w:gridSpan w:val="2"/>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（二）部分公开（区分处理的，只计这一情形，不计其他情形）</w:t>
            </w:r>
          </w:p>
        </w:tc>
        <w:tc>
          <w:tcPr>
            <w:tcW w:w="688" w:type="dxa"/>
            <w:tcBorders>
              <w:top w:val="single" w:color="auto" w:sz="6" w:space="0"/>
              <w:left w:val="double" w:color="auto" w:sz="2"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double" w:color="auto" w:sz="18"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（三）不予公开</w:t>
            </w: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1.属于国家秘密</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2.其他法律行政法规禁止公开</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3.危及“三安全一稳定”</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4.保护第三方合法权益</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5.属于三类内部事务信息</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6.属于四类过程性信息</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7.属于行政执法案卷</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8.属于行政查询事项</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（四）无法提供</w:t>
            </w: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1.本机关不掌握相关政府信息</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2.没有现成信息需要另行制作</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3.补正后申请内容仍不明确</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（五）不予处理</w:t>
            </w: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1.信访举报投诉类申请</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2.重复申请</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3.要求提供公开出版物</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4.无正当理由大量反复申请</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5.要求行政机关确认或重新出具已获取信息</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（六）其他处理</w:t>
            </w: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1.申请人无正当理由逾期不补正、行政机关不再处理其政府信息公开申请</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2.申请人逾期未按收费通知要求缴纳费用、行政机关不再处理其政府信息公开申请</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77" w:hRule="atLeast"/>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3.其他</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2" w:type="dxa"/>
            <w:gridSpan w:val="2"/>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（七）总计</w:t>
            </w:r>
          </w:p>
        </w:tc>
        <w:tc>
          <w:tcPr>
            <w:tcW w:w="688" w:type="dxa"/>
            <w:tcBorders>
              <w:top w:val="nil"/>
              <w:left w:val="double" w:color="auto" w:sz="2"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w:t>
            </w:r>
          </w:p>
        </w:tc>
        <w:tc>
          <w:tcPr>
            <w:tcW w:w="688" w:type="dxa"/>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88" w:type="dxa"/>
            <w:tcBorders>
              <w:top w:val="double" w:color="auto" w:sz="18"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single" w:color="auto" w:sz="6" w:space="0"/>
              <w:left w:val="single" w:color="auto" w:sz="6" w:space="0"/>
              <w:bottom w:val="double" w:color="auto" w:sz="2" w:space="0"/>
              <w:right w:val="double" w:color="auto" w:sz="2"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double" w:color="auto" w:sz="2" w:space="0"/>
              <w:left w:val="nil"/>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四、结转下年度继续办理</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8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r>
    </w:tbl>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黑体" w:hAnsi="宋体" w:eastAsia="黑体" w:cs="黑体"/>
          <w:sz w:val="32"/>
          <w:szCs w:val="32"/>
        </w:rPr>
        <w:t>四、政府信息公开行政复议、行政诉讼情况</w:t>
      </w:r>
    </w:p>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1"/>
        <w:gridCol w:w="611"/>
        <w:gridCol w:w="611"/>
        <w:gridCol w:w="611"/>
        <w:gridCol w:w="611"/>
        <w:gridCol w:w="611"/>
        <w:gridCol w:w="611"/>
        <w:gridCol w:w="612"/>
        <w:gridCol w:w="612"/>
        <w:gridCol w:w="612"/>
        <w:gridCol w:w="612"/>
        <w:gridCol w:w="612"/>
        <w:gridCol w:w="612"/>
        <w:gridCol w:w="612"/>
        <w:gridCol w:w="61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行政复议</w:t>
            </w:r>
          </w:p>
        </w:tc>
        <w:tc>
          <w:tcPr>
            <w:tcW w:w="6498" w:type="dxa"/>
            <w:gridSpan w:val="10"/>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结果维持</w:t>
            </w:r>
          </w:p>
        </w:tc>
        <w:tc>
          <w:tcPr>
            <w:tcW w:w="649"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结果</w:t>
            </w:r>
            <w:r>
              <w:rPr>
                <w:rFonts w:hint="eastAsia" w:ascii="仿宋" w:hAnsi="仿宋" w:eastAsia="仿宋" w:cs="仿宋"/>
                <w:sz w:val="32"/>
                <w:szCs w:val="32"/>
              </w:rPr>
              <w:br w:type="textWrapping"/>
            </w:r>
            <w:r>
              <w:rPr>
                <w:rFonts w:hint="eastAsia" w:ascii="仿宋" w:hAnsi="仿宋" w:eastAsia="仿宋" w:cs="仿宋"/>
                <w:sz w:val="32"/>
                <w:szCs w:val="32"/>
              </w:rPr>
              <w:t>纠正</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其他</w:t>
            </w:r>
            <w:r>
              <w:rPr>
                <w:rFonts w:hint="eastAsia" w:ascii="仿宋" w:hAnsi="仿宋" w:eastAsia="仿宋" w:cs="仿宋"/>
                <w:sz w:val="32"/>
                <w:szCs w:val="32"/>
              </w:rPr>
              <w:br w:type="textWrapping"/>
            </w:r>
            <w:r>
              <w:rPr>
                <w:rFonts w:hint="eastAsia" w:ascii="仿宋" w:hAnsi="仿宋" w:eastAsia="仿宋" w:cs="仿宋"/>
                <w:sz w:val="32"/>
                <w:szCs w:val="32"/>
              </w:rPr>
              <w:t>结果</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尚未</w:t>
            </w:r>
            <w:r>
              <w:rPr>
                <w:rFonts w:hint="eastAsia" w:ascii="仿宋" w:hAnsi="仿宋" w:eastAsia="仿宋" w:cs="仿宋"/>
                <w:sz w:val="32"/>
                <w:szCs w:val="32"/>
              </w:rPr>
              <w:br w:type="textWrapping"/>
            </w:r>
            <w:r>
              <w:rPr>
                <w:rFonts w:hint="eastAsia" w:ascii="仿宋" w:hAnsi="仿宋" w:eastAsia="仿宋" w:cs="仿宋"/>
                <w:sz w:val="32"/>
                <w:szCs w:val="32"/>
              </w:rPr>
              <w:t>审结</w:t>
            </w:r>
          </w:p>
        </w:tc>
        <w:tc>
          <w:tcPr>
            <w:tcW w:w="649"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总计</w:t>
            </w:r>
          </w:p>
        </w:tc>
        <w:tc>
          <w:tcPr>
            <w:tcW w:w="3248"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未经复议直接起诉</w:t>
            </w:r>
          </w:p>
        </w:tc>
        <w:tc>
          <w:tcPr>
            <w:tcW w:w="325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结果</w:t>
            </w:r>
            <w:r>
              <w:rPr>
                <w:rFonts w:hint="eastAsia" w:ascii="仿宋" w:hAnsi="仿宋" w:eastAsia="仿宋" w:cs="仿宋"/>
                <w:sz w:val="32"/>
                <w:szCs w:val="32"/>
              </w:rPr>
              <w:br w:type="textWrapping"/>
            </w:r>
            <w:r>
              <w:rPr>
                <w:rFonts w:hint="eastAsia" w:ascii="仿宋" w:hAnsi="仿宋" w:eastAsia="仿宋" w:cs="仿宋"/>
                <w:sz w:val="32"/>
                <w:szCs w:val="32"/>
              </w:rPr>
              <w:t>维持</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结果</w:t>
            </w:r>
            <w:r>
              <w:rPr>
                <w:rFonts w:hint="eastAsia" w:ascii="仿宋" w:hAnsi="仿宋" w:eastAsia="仿宋" w:cs="仿宋"/>
                <w:sz w:val="32"/>
                <w:szCs w:val="32"/>
              </w:rPr>
              <w:br w:type="textWrapping"/>
            </w:r>
            <w:r>
              <w:rPr>
                <w:rFonts w:hint="eastAsia" w:ascii="仿宋" w:hAnsi="仿宋" w:eastAsia="仿宋" w:cs="仿宋"/>
                <w:sz w:val="32"/>
                <w:szCs w:val="32"/>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其他</w:t>
            </w:r>
            <w:r>
              <w:rPr>
                <w:rFonts w:hint="eastAsia" w:ascii="仿宋" w:hAnsi="仿宋" w:eastAsia="仿宋" w:cs="仿宋"/>
                <w:sz w:val="32"/>
                <w:szCs w:val="32"/>
              </w:rPr>
              <w:br w:type="textWrapping"/>
            </w:r>
            <w:r>
              <w:rPr>
                <w:rFonts w:hint="eastAsia" w:ascii="仿宋" w:hAnsi="仿宋" w:eastAsia="仿宋" w:cs="仿宋"/>
                <w:sz w:val="32"/>
                <w:szCs w:val="32"/>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尚未</w:t>
            </w:r>
            <w:r>
              <w:rPr>
                <w:rFonts w:hint="eastAsia" w:ascii="仿宋" w:hAnsi="仿宋" w:eastAsia="仿宋" w:cs="仿宋"/>
                <w:sz w:val="32"/>
                <w:szCs w:val="32"/>
              </w:rPr>
              <w:br w:type="textWrapping"/>
            </w:r>
            <w:r>
              <w:rPr>
                <w:rFonts w:hint="eastAsia" w:ascii="仿宋" w:hAnsi="仿宋" w:eastAsia="仿宋" w:cs="仿宋"/>
                <w:sz w:val="32"/>
                <w:szCs w:val="32"/>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总计</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结果</w:t>
            </w:r>
            <w:r>
              <w:rPr>
                <w:rFonts w:hint="eastAsia" w:ascii="仿宋" w:hAnsi="仿宋" w:eastAsia="仿宋" w:cs="仿宋"/>
                <w:sz w:val="32"/>
                <w:szCs w:val="32"/>
              </w:rPr>
              <w:br w:type="textWrapping"/>
            </w:r>
            <w:r>
              <w:rPr>
                <w:rFonts w:hint="eastAsia" w:ascii="仿宋" w:hAnsi="仿宋" w:eastAsia="仿宋" w:cs="仿宋"/>
                <w:sz w:val="32"/>
                <w:szCs w:val="32"/>
              </w:rPr>
              <w:t>维持</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结果</w:t>
            </w:r>
            <w:r>
              <w:rPr>
                <w:rFonts w:hint="eastAsia" w:ascii="仿宋" w:hAnsi="仿宋" w:eastAsia="仿宋" w:cs="仿宋"/>
                <w:sz w:val="32"/>
                <w:szCs w:val="32"/>
              </w:rPr>
              <w:br w:type="textWrapping"/>
            </w:r>
            <w:r>
              <w:rPr>
                <w:rFonts w:hint="eastAsia" w:ascii="仿宋" w:hAnsi="仿宋" w:eastAsia="仿宋" w:cs="仿宋"/>
                <w:sz w:val="32"/>
                <w:szCs w:val="32"/>
              </w:rPr>
              <w:t>纠正</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其他</w:t>
            </w:r>
            <w:r>
              <w:rPr>
                <w:rFonts w:hint="eastAsia" w:ascii="仿宋" w:hAnsi="仿宋" w:eastAsia="仿宋" w:cs="仿宋"/>
                <w:sz w:val="32"/>
                <w:szCs w:val="32"/>
              </w:rPr>
              <w:br w:type="textWrapping"/>
            </w:r>
            <w:r>
              <w:rPr>
                <w:rFonts w:hint="eastAsia" w:ascii="仿宋" w:hAnsi="仿宋" w:eastAsia="仿宋" w:cs="仿宋"/>
                <w:sz w:val="32"/>
                <w:szCs w:val="32"/>
              </w:rPr>
              <w:t>结果</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尚未</w:t>
            </w:r>
            <w:r>
              <w:rPr>
                <w:rFonts w:hint="eastAsia" w:ascii="仿宋" w:hAnsi="仿宋" w:eastAsia="仿宋" w:cs="仿宋"/>
                <w:sz w:val="32"/>
                <w:szCs w:val="32"/>
              </w:rPr>
              <w:br w:type="textWrapping"/>
            </w:r>
            <w:r>
              <w:rPr>
                <w:rFonts w:hint="eastAsia" w:ascii="仿宋" w:hAnsi="仿宋" w:eastAsia="仿宋" w:cs="仿宋"/>
                <w:sz w:val="32"/>
                <w:szCs w:val="32"/>
              </w:rPr>
              <w:t>审结</w:t>
            </w:r>
          </w:p>
        </w:tc>
        <w:tc>
          <w:tcPr>
            <w:tcW w:w="650"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49"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 0</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0 </w:t>
            </w:r>
          </w:p>
        </w:tc>
        <w:tc>
          <w:tcPr>
            <w:tcW w:w="650"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z w:val="32"/>
                <w:szCs w:val="32"/>
              </w:rPr>
              <w:t>0</w:t>
            </w:r>
          </w:p>
        </w:tc>
      </w:tr>
    </w:tbl>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黑体" w:hAnsi="宋体" w:eastAsia="黑体" w:cs="黑体"/>
          <w:sz w:val="32"/>
          <w:szCs w:val="32"/>
        </w:rPr>
        <w:t>五、存在的主要问题及改进情况</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（一）当年存在的问题及改进情况：</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问题：主动公开信息意识不强；公开内容不够丰富，数量不够多，信息公开信息不够及时；政府信息公开保密审核机制、协调发布机制及监督检查机制的落实还有待加强。</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措施：增强工作意识，积极主动及时发布政务公开相关信息；工作人员加强对《政府信息公开条例》等政策文件的学习，拓宽公开渠道，采用政府公开栏、村务公开栏、便民手册等多种方式进行公开；在熟练掌握业务知识的基础上，拓宽学习的维度和深度，提升综合素养；进一步完善政府信息公开各项规章制度，形成以制度管人、以制度谋事的长效机制。</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效果:各领域信息公开更加平衡，内容丰富；信息公开量大、面广，信息公开及时；各项机制完备。</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（二）当前存在的问题及下一步改进情况：</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问题：没有专职政务公开工作的人员，政务信息公开工作人员由办公室人员兼任，且从事政务公开工作的人员对政务公开的认识有待提高，对政务公开的相关政策存在领会不深、业务不精现象，业务能力需进一步加强。尤其是对渉密信息范围的把握，大多数信息公开的工作人员缺乏这方面专业知识，无法对政务公开的范围、内容、方式等作出准确的判断，对信息界定上有偏差；公民参与政务公开工作的意识单薄，网上互动不够。尽管政务公开也做了大量的宣传工作，但人民群众对政务公开的认识重视不够，对于非公开的内容界定不理解，对于依法申请公开的流程认识不到位。</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举措：进一步加强组织领导，明确推进政务公开的目标任务，把政务公开工作作为经常性工作列入重要议事日程；加强宣传，提高人民群众参政议政水平，完善社会监督机制，运用多种媒介加大政务公开的宣传力度，让广大人民群众熟悉政务公开；加强培训教育，加强服务意识、专业技能教育，造就一批政务公开的专门人才；提升公民意识，促进转变政务公开职能，加大群众对政务公开的满意度测评和意见反馈频率，真正把服务理念贯穿始终，取计于民、用计于民。</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黑体" w:hAnsi="宋体" w:eastAsia="黑体" w:cs="黑体"/>
          <w:sz w:val="32"/>
          <w:szCs w:val="32"/>
        </w:rPr>
        <w:t>六、其他需要报告的事项</w:t>
      </w:r>
    </w:p>
    <w:p>
      <w:pPr>
        <w:pStyle w:val="5"/>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sz w:val="32"/>
          <w:szCs w:val="32"/>
        </w:rPr>
        <w:t>按照《国务院办公厅关于印发〈政府信息公开信息处理费管理办法〉的通知》（国办函﹝2020﹞109号）规定的按件、按量收费标准，本年度没有产生信息公开处理费。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yellow"/>
          <w:lang w:val="en-US" w:eastAsia="zh-CN"/>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2A6F04-7742-4B85-8786-D7FDC632FF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A92453E-FB50-4FA5-868E-621F7DB386FF}"/>
  </w:font>
  <w:font w:name="方正小标宋_GBK">
    <w:panose1 w:val="02000000000000000000"/>
    <w:charset w:val="86"/>
    <w:family w:val="auto"/>
    <w:pitch w:val="default"/>
    <w:sig w:usb0="A00002BF" w:usb1="38CF7CFA" w:usb2="00082016" w:usb3="00000000" w:csb0="00040001" w:csb1="00000000"/>
    <w:embedRegular r:id="rId3" w:fontKey="{48BE84B6-1CB9-4BEA-B5E2-9FB16FD3BA74}"/>
  </w:font>
  <w:font w:name="仿宋">
    <w:panose1 w:val="02010609060101010101"/>
    <w:charset w:val="86"/>
    <w:family w:val="auto"/>
    <w:pitch w:val="default"/>
    <w:sig w:usb0="800002BF" w:usb1="38CF7CFA" w:usb2="00000016" w:usb3="00000000" w:csb0="00040001" w:csb1="00000000"/>
    <w:embedRegular r:id="rId4" w:fontKey="{0A202832-9AE3-432E-89A4-B5EF2AD7B47E}"/>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5" w:fontKey="{078D2EA1-A3D8-4731-9B60-053F1175ACE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MDZlNGYzNmY5YTZiNGQ2YzRhZjMzYTgzNjI2ZWMifQ=="/>
  </w:docVars>
  <w:rsids>
    <w:rsidRoot w:val="734B42D9"/>
    <w:rsid w:val="00B40696"/>
    <w:rsid w:val="00D9012D"/>
    <w:rsid w:val="01001B5E"/>
    <w:rsid w:val="03E05C76"/>
    <w:rsid w:val="04B36EE7"/>
    <w:rsid w:val="059E7538"/>
    <w:rsid w:val="06980D7F"/>
    <w:rsid w:val="06B156A8"/>
    <w:rsid w:val="07260138"/>
    <w:rsid w:val="086F75C9"/>
    <w:rsid w:val="0891069F"/>
    <w:rsid w:val="095E21D5"/>
    <w:rsid w:val="0BB27EF8"/>
    <w:rsid w:val="0CDB7272"/>
    <w:rsid w:val="0D3153D2"/>
    <w:rsid w:val="0DE446CB"/>
    <w:rsid w:val="0E6F42D9"/>
    <w:rsid w:val="0E99714E"/>
    <w:rsid w:val="0EC84782"/>
    <w:rsid w:val="0FE94CFF"/>
    <w:rsid w:val="10057873"/>
    <w:rsid w:val="114E2471"/>
    <w:rsid w:val="116C28F7"/>
    <w:rsid w:val="127952CC"/>
    <w:rsid w:val="139F6FB4"/>
    <w:rsid w:val="13A528E2"/>
    <w:rsid w:val="15842CA4"/>
    <w:rsid w:val="167B0268"/>
    <w:rsid w:val="16E3365C"/>
    <w:rsid w:val="18624641"/>
    <w:rsid w:val="1A89451A"/>
    <w:rsid w:val="1C741FF6"/>
    <w:rsid w:val="1CCC06EE"/>
    <w:rsid w:val="1CFD4D4B"/>
    <w:rsid w:val="1F5F0E1E"/>
    <w:rsid w:val="1FCB1AFA"/>
    <w:rsid w:val="20DD7923"/>
    <w:rsid w:val="224E7891"/>
    <w:rsid w:val="28A93FB9"/>
    <w:rsid w:val="29695C42"/>
    <w:rsid w:val="2AC14A79"/>
    <w:rsid w:val="2AF43A06"/>
    <w:rsid w:val="2B44429C"/>
    <w:rsid w:val="2C5674F4"/>
    <w:rsid w:val="2D2D2E58"/>
    <w:rsid w:val="2DA002AF"/>
    <w:rsid w:val="2E8E1CA7"/>
    <w:rsid w:val="2EEE6E99"/>
    <w:rsid w:val="2F57653D"/>
    <w:rsid w:val="2F713248"/>
    <w:rsid w:val="32D44A47"/>
    <w:rsid w:val="34012F1B"/>
    <w:rsid w:val="341449FD"/>
    <w:rsid w:val="34BE1DAC"/>
    <w:rsid w:val="35223149"/>
    <w:rsid w:val="358B58CB"/>
    <w:rsid w:val="35BB2804"/>
    <w:rsid w:val="3645426A"/>
    <w:rsid w:val="3691548B"/>
    <w:rsid w:val="372A671D"/>
    <w:rsid w:val="38BB5D8F"/>
    <w:rsid w:val="3A053765"/>
    <w:rsid w:val="3AA755AA"/>
    <w:rsid w:val="3B1A6AAB"/>
    <w:rsid w:val="3D451B4D"/>
    <w:rsid w:val="3E027FBC"/>
    <w:rsid w:val="428E37C9"/>
    <w:rsid w:val="42E3660E"/>
    <w:rsid w:val="440525B4"/>
    <w:rsid w:val="441647C1"/>
    <w:rsid w:val="4654337F"/>
    <w:rsid w:val="4AFC4B58"/>
    <w:rsid w:val="4C1827E3"/>
    <w:rsid w:val="4C7E2F03"/>
    <w:rsid w:val="4D3B0DF4"/>
    <w:rsid w:val="4D7D7F31"/>
    <w:rsid w:val="4E436EF7"/>
    <w:rsid w:val="4F2A7771"/>
    <w:rsid w:val="4F521D8E"/>
    <w:rsid w:val="50632B3C"/>
    <w:rsid w:val="509249A0"/>
    <w:rsid w:val="525F7333"/>
    <w:rsid w:val="52613741"/>
    <w:rsid w:val="53F00703"/>
    <w:rsid w:val="53FC752F"/>
    <w:rsid w:val="555146E8"/>
    <w:rsid w:val="572D3BF2"/>
    <w:rsid w:val="57B974E6"/>
    <w:rsid w:val="585F68AB"/>
    <w:rsid w:val="589A2A7B"/>
    <w:rsid w:val="58B216F1"/>
    <w:rsid w:val="5B174C4F"/>
    <w:rsid w:val="5C2F7D76"/>
    <w:rsid w:val="5D176789"/>
    <w:rsid w:val="5EF00C31"/>
    <w:rsid w:val="624A45A8"/>
    <w:rsid w:val="62DB2AED"/>
    <w:rsid w:val="632E1860"/>
    <w:rsid w:val="64F1206D"/>
    <w:rsid w:val="66283F14"/>
    <w:rsid w:val="675D5FC9"/>
    <w:rsid w:val="67DC0C16"/>
    <w:rsid w:val="680E1188"/>
    <w:rsid w:val="6874548F"/>
    <w:rsid w:val="68F4250B"/>
    <w:rsid w:val="6D887519"/>
    <w:rsid w:val="709F41D3"/>
    <w:rsid w:val="71866597"/>
    <w:rsid w:val="71A303D8"/>
    <w:rsid w:val="734B42D9"/>
    <w:rsid w:val="73F27BAF"/>
    <w:rsid w:val="74136613"/>
    <w:rsid w:val="7531469A"/>
    <w:rsid w:val="78400D32"/>
    <w:rsid w:val="78616FB6"/>
    <w:rsid w:val="78874F96"/>
    <w:rsid w:val="79ED6E4F"/>
    <w:rsid w:val="7B3B53C9"/>
    <w:rsid w:val="7C127041"/>
    <w:rsid w:val="7FA44454"/>
    <w:rsid w:val="7FBF718D"/>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3216</Words>
  <Characters>3319</Characters>
  <Lines>0</Lines>
  <Paragraphs>0</Paragraphs>
  <TotalTime>14</TotalTime>
  <ScaleCrop>false</ScaleCrop>
  <LinksUpToDate>false</LinksUpToDate>
  <CharactersWithSpaces>3514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2022-01-07T02:30:00Z</dcterms:created>
  <dc:creator>路过谁的时光</dc:creator>
  <cp:lastModifiedBy>拖延患者</cp:lastModifiedBy>
  <cp:lastPrinted>2024-01-15T09:02:00Z</cp:lastPrinted>
  <dcterms:modified xsi:type="dcterms:W3CDTF">2024-02-21T07:27:34Z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BD704DC7B3154D4CB3E58E7D7D07FF52_13</vt:lpwstr>
  </property>
</Properties>
</file>