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640"/>
        <w:jc w:val="both"/>
        <w:rPr>
          <w:rFonts w:ascii="Calibri" w:hAnsi="Calibri" w:cs="Calibri"/>
          <w:sz w:val="21"/>
          <w:szCs w:val="21"/>
        </w:rPr>
      </w:pPr>
      <w:r>
        <w:rPr>
          <w:rFonts w:ascii="仿宋" w:hAnsi="仿宋" w:eastAsia="仿宋" w:cs="仿宋"/>
          <w:sz w:val="32"/>
          <w:szCs w:val="32"/>
        </w:rPr>
        <w:t>根据</w:t>
      </w:r>
      <w:r>
        <w:rPr>
          <w:rFonts w:hint="eastAsia" w:ascii="仿宋" w:hAnsi="仿宋" w:eastAsia="仿宋" w:cs="仿宋"/>
          <w:sz w:val="32"/>
          <w:szCs w:val="32"/>
        </w:rPr>
        <w:t>《国务院办公厅政府信息与政务公开办公室关于印发&lt;中华人民共和国政府信息公开工作年度报告格式&gt;的通知》（国办公开办函〔2021〕30号）、《安徽省政务公开办公室关于做好2022年度政府信息公开工作年度报告编制和发布工作的通知》、《六安市政务公开办公室关于做好政府信息公开年度报告编制和发布工作的通知》（六政务公开办〔2022〕53号）文件要求，编制2022年霍邱县残疾人联合会政府信息公开工作年度报告。本报告由总体情况、主动公开政府信息情况、收到和处理政府信息公开申请情况、政府信息公开行政复议、行政诉讼情况、存在的主要问题及改进措施、其他需要报告的事项共六个部分组成。报告中所列数据的统计期限自2022年1月1日起至2022年12月31日止。本报告电子版可在霍邱县政府门户网（www.huoqiu.gov.cn）下载。如对本报告有疑问，请与霍邱县残疾人联合会联系（地址：霍邱县城关镇海河南路残疾人康复服务中心；邮编：237400；电话：0564-6081235）。</w:t>
      </w:r>
    </w:p>
    <w:p>
      <w:pPr>
        <w:pStyle w:val="2"/>
        <w:keepNext w:val="0"/>
        <w:keepLines w:val="0"/>
        <w:widowControl/>
        <w:suppressLineNumbers w:val="0"/>
        <w:spacing w:before="0" w:beforeAutospacing="0" w:after="0" w:afterAutospacing="0"/>
        <w:ind w:left="0" w:right="0" w:firstLine="643"/>
        <w:jc w:val="both"/>
        <w:rPr>
          <w:rFonts w:hint="default" w:ascii="Calibri" w:hAnsi="Calibri" w:cs="Calibri"/>
          <w:sz w:val="21"/>
          <w:szCs w:val="21"/>
        </w:rPr>
      </w:pPr>
      <w:r>
        <w:rPr>
          <w:rFonts w:ascii="黑体" w:hAnsi="宋体" w:eastAsia="黑体" w:cs="黑体"/>
          <w:b/>
          <w:bCs/>
          <w:sz w:val="32"/>
          <w:szCs w:val="32"/>
        </w:rPr>
        <w:t>一、总体情况</w:t>
      </w:r>
    </w:p>
    <w:p>
      <w:pPr>
        <w:pStyle w:val="2"/>
        <w:keepNext w:val="0"/>
        <w:keepLines w:val="0"/>
        <w:widowControl/>
        <w:suppressLineNumbers w:val="0"/>
        <w:spacing w:before="0" w:beforeAutospacing="0" w:after="0" w:afterAutospacing="0"/>
        <w:ind w:left="0" w:right="0" w:firstLine="643"/>
        <w:jc w:val="both"/>
        <w:rPr>
          <w:rFonts w:hint="default" w:ascii="Calibri" w:hAnsi="Calibri" w:cs="Calibri"/>
          <w:sz w:val="21"/>
          <w:szCs w:val="21"/>
        </w:rPr>
      </w:pPr>
      <w:r>
        <w:rPr>
          <w:rFonts w:hint="eastAsia" w:ascii="仿宋" w:hAnsi="仿宋" w:eastAsia="仿宋" w:cs="仿宋"/>
          <w:b/>
          <w:bCs/>
          <w:sz w:val="32"/>
          <w:szCs w:val="32"/>
        </w:rPr>
        <w:t>1、主动公开情况</w:t>
      </w:r>
    </w:p>
    <w:p>
      <w:pPr>
        <w:pStyle w:val="2"/>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b w:val="0"/>
          <w:bCs w:val="0"/>
          <w:i w:val="0"/>
          <w:iCs w:val="0"/>
          <w:caps w:val="0"/>
          <w:color w:val="333333"/>
          <w:spacing w:val="0"/>
          <w:sz w:val="32"/>
          <w:szCs w:val="32"/>
          <w:shd w:val="clear" w:fill="FFFFFF"/>
        </w:rPr>
        <w:t>始终坚持“公开为原则，不公开为例外”，2022年我会主动公开政府信息共147条，公开的主要类别为决策部署落实情况，行政权力运行，财政资金，招标采购，政策解读，监督保障等。</w:t>
      </w:r>
    </w:p>
    <w:p>
      <w:pPr>
        <w:pStyle w:val="2"/>
        <w:keepNext w:val="0"/>
        <w:keepLines w:val="0"/>
        <w:widowControl/>
        <w:suppressLineNumbers w:val="0"/>
        <w:spacing w:before="0" w:beforeAutospacing="0" w:after="0" w:afterAutospacing="0"/>
        <w:ind w:left="0" w:right="0" w:firstLine="643"/>
        <w:jc w:val="both"/>
        <w:rPr>
          <w:rFonts w:hint="default" w:ascii="Calibri" w:hAnsi="Calibri" w:cs="Calibri"/>
          <w:sz w:val="21"/>
          <w:szCs w:val="21"/>
        </w:rPr>
      </w:pPr>
      <w:r>
        <w:rPr>
          <w:rFonts w:hint="eastAsia" w:ascii="仿宋" w:hAnsi="仿宋" w:eastAsia="仿宋" w:cs="仿宋"/>
          <w:b/>
          <w:bCs/>
          <w:sz w:val="32"/>
          <w:szCs w:val="32"/>
        </w:rPr>
        <w:t>2、依申请公开</w:t>
      </w:r>
    </w:p>
    <w:p>
      <w:pPr>
        <w:pStyle w:val="2"/>
        <w:keepNext w:val="0"/>
        <w:keepLines w:val="0"/>
        <w:widowControl/>
        <w:suppressLineNumbers w:val="0"/>
        <w:autoSpaceDE w:val="0"/>
        <w:autoSpaceDN/>
        <w:spacing w:before="0" w:beforeAutospacing="0" w:after="0" w:afterAutospacing="0"/>
        <w:ind w:left="0" w:right="0" w:firstLine="640"/>
        <w:jc w:val="left"/>
        <w:rPr>
          <w:rFonts w:hint="default" w:ascii="Calibri" w:hAnsi="Calibri" w:cs="Calibri"/>
          <w:sz w:val="21"/>
          <w:szCs w:val="21"/>
        </w:rPr>
      </w:pPr>
      <w:r>
        <w:rPr>
          <w:rFonts w:hint="eastAsia" w:ascii="仿宋" w:hAnsi="仿宋" w:eastAsia="仿宋" w:cs="仿宋"/>
          <w:b w:val="0"/>
          <w:bCs w:val="0"/>
          <w:i w:val="0"/>
          <w:iCs w:val="0"/>
          <w:caps w:val="0"/>
          <w:color w:val="333333"/>
          <w:spacing w:val="0"/>
          <w:sz w:val="32"/>
          <w:szCs w:val="32"/>
          <w:shd w:val="clear" w:fill="FFFFFF"/>
        </w:rPr>
        <w:t>2022年我会及时更新维护依申请公开系统，没有依申请公开政府信息，没有接到信息公开申请，没有办理依申请公开答复。</w:t>
      </w:r>
    </w:p>
    <w:p>
      <w:pPr>
        <w:pStyle w:val="2"/>
        <w:keepNext w:val="0"/>
        <w:keepLines w:val="0"/>
        <w:widowControl/>
        <w:suppressLineNumbers w:val="0"/>
        <w:spacing w:before="0" w:beforeAutospacing="0" w:after="0" w:afterAutospacing="0"/>
        <w:ind w:left="0" w:right="0" w:firstLine="643"/>
        <w:jc w:val="both"/>
        <w:rPr>
          <w:rFonts w:hint="default" w:ascii="Calibri" w:hAnsi="Calibri" w:cs="Calibri"/>
          <w:sz w:val="21"/>
          <w:szCs w:val="21"/>
        </w:rPr>
      </w:pPr>
      <w:r>
        <w:rPr>
          <w:rFonts w:hint="eastAsia" w:ascii="仿宋" w:hAnsi="仿宋" w:eastAsia="仿宋" w:cs="仿宋"/>
          <w:b/>
          <w:bCs/>
          <w:sz w:val="32"/>
          <w:szCs w:val="32"/>
        </w:rPr>
        <w:t>3、政府信息管理</w:t>
      </w:r>
    </w:p>
    <w:p>
      <w:pPr>
        <w:pStyle w:val="2"/>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仿宋" w:hAnsi="仿宋" w:eastAsia="仿宋" w:cs="仿宋"/>
          <w:b w:val="0"/>
          <w:bCs w:val="0"/>
          <w:i w:val="0"/>
          <w:iCs w:val="0"/>
          <w:caps w:val="0"/>
          <w:color w:val="333333"/>
          <w:spacing w:val="0"/>
          <w:sz w:val="32"/>
          <w:szCs w:val="32"/>
          <w:shd w:val="clear" w:fill="FFFFFF"/>
        </w:rPr>
        <w:t>一是严格把好信息公开“源头关”，严格落实“三审”制度，建立健全信息发布后台管理机制并将责任落实到人，在日常生活中做好细节，规范信息发布程序。二是落实各项配套管理制度。今年，我会严格遵守《霍邱县残疾人联合会政务信息公开制度》和《霍邱县残疾人联合会信息公开保密审查制度》，进一步健全完善政务公开工作制度，认真制定和落实相关配套措施，对公开信息进行动态管理，及时清理失效信息，加强信息发布审核。积极简化行政确认等流程，实现高效优质办公。</w:t>
      </w:r>
    </w:p>
    <w:p>
      <w:pPr>
        <w:pStyle w:val="2"/>
        <w:keepNext w:val="0"/>
        <w:keepLines w:val="0"/>
        <w:widowControl/>
        <w:suppressLineNumbers w:val="0"/>
        <w:spacing w:before="0" w:beforeAutospacing="0" w:after="0" w:afterAutospacing="0"/>
        <w:ind w:left="0" w:right="0" w:firstLine="643"/>
        <w:jc w:val="both"/>
        <w:rPr>
          <w:rFonts w:hint="default" w:ascii="Calibri" w:hAnsi="Calibri" w:cs="Calibri"/>
          <w:sz w:val="21"/>
          <w:szCs w:val="21"/>
        </w:rPr>
      </w:pPr>
      <w:r>
        <w:rPr>
          <w:rFonts w:hint="eastAsia" w:ascii="仿宋" w:hAnsi="仿宋" w:eastAsia="仿宋" w:cs="仿宋"/>
          <w:b/>
          <w:bCs/>
          <w:sz w:val="32"/>
          <w:szCs w:val="32"/>
        </w:rPr>
        <w:t>4、政府信息公开平台建设</w:t>
      </w:r>
    </w:p>
    <w:p>
      <w:pPr>
        <w:pStyle w:val="2"/>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ascii="楷体" w:hAnsi="楷体" w:eastAsia="楷体" w:cs="楷体"/>
          <w:b w:val="0"/>
          <w:bCs w:val="0"/>
          <w:i w:val="0"/>
          <w:iCs w:val="0"/>
          <w:caps w:val="0"/>
          <w:color w:val="333333"/>
          <w:spacing w:val="0"/>
          <w:sz w:val="32"/>
          <w:szCs w:val="32"/>
          <w:shd w:val="clear" w:fill="FFFFFF"/>
        </w:rPr>
        <w:t>一是加强学习。</w:t>
      </w:r>
      <w:r>
        <w:rPr>
          <w:rFonts w:hint="eastAsia" w:ascii="仿宋" w:hAnsi="仿宋" w:eastAsia="仿宋" w:cs="仿宋"/>
          <w:b w:val="0"/>
          <w:bCs w:val="0"/>
          <w:i w:val="0"/>
          <w:iCs w:val="0"/>
          <w:caps w:val="0"/>
          <w:color w:val="333333"/>
          <w:spacing w:val="0"/>
          <w:sz w:val="32"/>
          <w:szCs w:val="32"/>
          <w:shd w:val="clear" w:fill="FFFFFF"/>
        </w:rPr>
        <w:t>及时学习信息公开领域的规范性文件和相关政策，及时学习和公开有关残疾人权益保障的法律法规和政策动态。</w:t>
      </w:r>
      <w:r>
        <w:rPr>
          <w:rFonts w:hint="eastAsia" w:ascii="楷体" w:hAnsi="楷体" w:eastAsia="楷体" w:cs="楷体"/>
          <w:b w:val="0"/>
          <w:bCs w:val="0"/>
          <w:i w:val="0"/>
          <w:iCs w:val="0"/>
          <w:caps w:val="0"/>
          <w:color w:val="333333"/>
          <w:spacing w:val="0"/>
          <w:sz w:val="32"/>
          <w:szCs w:val="32"/>
          <w:shd w:val="clear" w:fill="FFFFFF"/>
        </w:rPr>
        <w:t>二是点面兼顾。</w:t>
      </w:r>
      <w:r>
        <w:rPr>
          <w:rFonts w:hint="eastAsia" w:ascii="仿宋" w:hAnsi="仿宋" w:eastAsia="仿宋" w:cs="仿宋"/>
          <w:b w:val="0"/>
          <w:bCs w:val="0"/>
          <w:i w:val="0"/>
          <w:iCs w:val="0"/>
          <w:caps w:val="0"/>
          <w:color w:val="333333"/>
          <w:spacing w:val="0"/>
          <w:sz w:val="32"/>
          <w:szCs w:val="32"/>
          <w:shd w:val="clear" w:fill="FFFFFF"/>
        </w:rPr>
        <w:t>积极更新各栏目板块，及时调整机构简介，机构设置，办事指南等部分内容，重点突出各项决策部署落实情况，加强对于残疾人相关政策方针的宣传推广工作。</w:t>
      </w:r>
    </w:p>
    <w:p>
      <w:pPr>
        <w:pStyle w:val="2"/>
        <w:keepNext w:val="0"/>
        <w:keepLines w:val="0"/>
        <w:widowControl/>
        <w:suppressLineNumbers w:val="0"/>
        <w:spacing w:before="0" w:beforeAutospacing="0" w:after="0" w:afterAutospacing="0"/>
        <w:ind w:left="0" w:right="0" w:firstLine="643"/>
        <w:jc w:val="both"/>
        <w:rPr>
          <w:rFonts w:hint="default" w:ascii="Calibri" w:hAnsi="Calibri" w:cs="Calibri"/>
          <w:sz w:val="21"/>
          <w:szCs w:val="21"/>
        </w:rPr>
      </w:pPr>
      <w:r>
        <w:rPr>
          <w:rFonts w:hint="eastAsia" w:ascii="仿宋" w:hAnsi="仿宋" w:eastAsia="仿宋" w:cs="仿宋"/>
          <w:b/>
          <w:bCs/>
          <w:sz w:val="32"/>
          <w:szCs w:val="32"/>
        </w:rPr>
        <w:t>5、监督保障</w:t>
      </w:r>
    </w:p>
    <w:p>
      <w:pPr>
        <w:pStyle w:val="2"/>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hint="eastAsia" w:ascii="楷体" w:hAnsi="楷体" w:eastAsia="楷体" w:cs="楷体"/>
          <w:b w:val="0"/>
          <w:bCs w:val="0"/>
          <w:i w:val="0"/>
          <w:iCs w:val="0"/>
          <w:caps w:val="0"/>
          <w:color w:val="333333"/>
          <w:spacing w:val="0"/>
          <w:sz w:val="32"/>
          <w:szCs w:val="32"/>
          <w:shd w:val="clear" w:fill="FFFFFF"/>
        </w:rPr>
        <w:t>一是加强业务培训。</w:t>
      </w:r>
      <w:r>
        <w:rPr>
          <w:rFonts w:hint="eastAsia" w:ascii="仿宋" w:hAnsi="仿宋" w:eastAsia="仿宋" w:cs="仿宋"/>
          <w:b w:val="0"/>
          <w:bCs w:val="0"/>
          <w:i w:val="0"/>
          <w:iCs w:val="0"/>
          <w:caps w:val="0"/>
          <w:color w:val="333333"/>
          <w:spacing w:val="0"/>
          <w:sz w:val="32"/>
          <w:szCs w:val="32"/>
          <w:shd w:val="clear" w:fill="FFFFFF"/>
        </w:rPr>
        <w:t>安排政务公开平台管理人员参加多场本单位及县级,市级组织的业务培训会，进行业务知识的学习和交流。</w:t>
      </w:r>
      <w:r>
        <w:rPr>
          <w:rFonts w:hint="eastAsia" w:ascii="楷体" w:hAnsi="楷体" w:eastAsia="楷体" w:cs="楷体"/>
          <w:b w:val="0"/>
          <w:bCs w:val="0"/>
          <w:i w:val="0"/>
          <w:iCs w:val="0"/>
          <w:caps w:val="0"/>
          <w:color w:val="333333"/>
          <w:spacing w:val="0"/>
          <w:sz w:val="32"/>
          <w:szCs w:val="32"/>
          <w:shd w:val="clear" w:fill="FFFFFF"/>
        </w:rPr>
        <w:t>二是</w:t>
      </w:r>
      <w:r>
        <w:rPr>
          <w:rFonts w:hint="eastAsia" w:ascii="楷体" w:hAnsi="楷体" w:eastAsia="楷体" w:cs="楷体"/>
          <w:i w:val="0"/>
          <w:iCs w:val="0"/>
          <w:caps w:val="0"/>
          <w:color w:val="333333"/>
          <w:spacing w:val="0"/>
          <w:sz w:val="32"/>
          <w:szCs w:val="32"/>
          <w:shd w:val="clear" w:fill="FFFFFF"/>
        </w:rPr>
        <w:t>强化社会监督。</w:t>
      </w:r>
      <w:r>
        <w:rPr>
          <w:rFonts w:hint="eastAsia" w:ascii="仿宋" w:hAnsi="仿宋" w:eastAsia="仿宋" w:cs="仿宋"/>
          <w:i w:val="0"/>
          <w:iCs w:val="0"/>
          <w:caps w:val="0"/>
          <w:color w:val="333333"/>
          <w:spacing w:val="0"/>
          <w:sz w:val="32"/>
          <w:szCs w:val="32"/>
          <w:shd w:val="clear" w:fill="FFFFFF"/>
        </w:rPr>
        <w:t>认真听取社会各界的意见和建议，对“监督保障”等栏目及时调整跟进，接受人民群众监督。</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二、主动公开政府信息情况</w:t>
      </w:r>
    </w:p>
    <w:tbl>
      <w:tblPr>
        <w:tblW w:w="9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3"/>
        <w:gridCol w:w="2434"/>
        <w:gridCol w:w="2434"/>
        <w:gridCol w:w="2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1"/>
                <w:szCs w:val="21"/>
              </w:rPr>
              <w:t> </w:t>
            </w: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w:t>
            </w:r>
            <w:r>
              <w:rPr>
                <w:rFonts w:hint="eastAsia" w:ascii="宋体" w:hAnsi="宋体" w:eastAsia="宋体" w:cs="宋体"/>
                <w:sz w:val="20"/>
                <w:szCs w:val="20"/>
              </w:rPr>
              <w:t>制发件数</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本年废止件数</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现行有效件</w:t>
            </w:r>
            <w:r>
              <w:rPr>
                <w:rFonts w:hint="eastAsia" w:ascii="宋体" w:hAnsi="宋体" w:eastAsia="宋体" w:cs="宋体"/>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0"/>
                <w:szCs w:val="20"/>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0"/>
                <w:szCs w:val="20"/>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1</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Times New Roman" w:hAnsi="Times New Roman" w:eastAsia="宋体" w:cs="Times New Roman"/>
                <w:color w:val="000000"/>
                <w:sz w:val="20"/>
                <w:szCs w:val="20"/>
              </w:rPr>
              <w:t>           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4"/>
                <w:szCs w:val="24"/>
              </w:rPr>
              <w:t>0</w:t>
            </w:r>
          </w:p>
        </w:tc>
      </w:tr>
    </w:tbl>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三、收到和处理政府信息公开申请情况</w:t>
      </w:r>
      <w:r>
        <w:rPr>
          <w:rFonts w:hint="eastAsia" w:ascii="宋体" w:hAnsi="宋体" w:eastAsia="宋体" w:cs="宋体"/>
          <w:sz w:val="32"/>
          <w:szCs w:val="32"/>
        </w:rPr>
        <w:t> </w:t>
      </w:r>
    </w:p>
    <w:tbl>
      <w:tblPr>
        <w:tblW w:w="97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67"/>
        <w:gridCol w:w="943"/>
        <w:gridCol w:w="3221"/>
        <w:gridCol w:w="688"/>
        <w:gridCol w:w="688"/>
        <w:gridCol w:w="688"/>
        <w:gridCol w:w="688"/>
        <w:gridCol w:w="689"/>
        <w:gridCol w:w="689"/>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1"/>
                <w:szCs w:val="21"/>
              </w:rPr>
              <w:t> </w:t>
            </w:r>
            <w:r>
              <w:rPr>
                <w:rFonts w:hint="eastAsia" w:ascii="楷体" w:hAnsi="楷体" w:eastAsia="楷体" w:cs="楷体"/>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88"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自然人</w:t>
            </w:r>
          </w:p>
        </w:tc>
        <w:tc>
          <w:tcPr>
            <w:tcW w:w="3440"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法人或其他组织</w:t>
            </w:r>
          </w:p>
        </w:tc>
        <w:tc>
          <w:tcPr>
            <w:tcW w:w="688"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88"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6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商业</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企业</w:t>
            </w:r>
          </w:p>
        </w:tc>
        <w:tc>
          <w:tcPr>
            <w:tcW w:w="6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科研</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机构</w:t>
            </w:r>
          </w:p>
        </w:tc>
        <w:tc>
          <w:tcPr>
            <w:tcW w:w="6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社会公益组织</w:t>
            </w:r>
          </w:p>
        </w:tc>
        <w:tc>
          <w:tcPr>
            <w:tcW w:w="6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法律服务机构</w:t>
            </w:r>
          </w:p>
        </w:tc>
        <w:tc>
          <w:tcPr>
            <w:tcW w:w="6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w:t>
            </w:r>
          </w:p>
        </w:tc>
        <w:tc>
          <w:tcPr>
            <w:tcW w:w="688"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三、本年度办理结果</w:t>
            </w: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（一）予以公开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（二）部分公开</w:t>
            </w:r>
            <w:r>
              <w:rPr>
                <w:rFonts w:hint="eastAsia" w:ascii="楷体" w:hAnsi="楷体" w:eastAsia="楷体" w:cs="楷体"/>
                <w:sz w:val="20"/>
                <w:szCs w:val="20"/>
              </w:rPr>
              <w:t>（区分处理的，只计这一情形，不计其他情形）</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（三）不予公开</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1.属于国家秘密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2.其他法律行政法规禁止公开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3.危及“三安全一稳定”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4.保护第三方合法权益</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5.属于三类内部事务信息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6.属于四类过程性信息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7.属于行政执法案卷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8.属于行政查询事项</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（四）无法提供</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1.本机关不掌握相关政府信息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2.没有现成信息需要另行制作</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3.补正后申请内容仍不明确</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（五）不予处理</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1.信访举报投诉类申请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2.重复申请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3.要求提供公开出版物</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4.无正当理由大量反复申请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（六）其他处理</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3.其他</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eastAsia="宋体"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（七）总计</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sz w:val="20"/>
                <w:szCs w:val="20"/>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sz w:val="20"/>
                <w:szCs w:val="20"/>
              </w:rPr>
              <w:t>0</w:t>
            </w:r>
          </w:p>
        </w:tc>
      </w:tr>
    </w:tbl>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四、政府信息公开行政复议、行政诉讼情况</w:t>
      </w:r>
    </w:p>
    <w:tbl>
      <w:tblPr>
        <w:tblW w:w="97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1"/>
        <w:gridCol w:w="651"/>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行政复议</w:t>
            </w:r>
          </w:p>
        </w:tc>
        <w:tc>
          <w:tcPr>
            <w:tcW w:w="649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结果维持</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纠正</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审结</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c>
          <w:tcPr>
            <w:tcW w:w="324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未经复议直接起诉</w:t>
            </w:r>
          </w:p>
        </w:tc>
        <w:tc>
          <w:tcPr>
            <w:tcW w:w="3250"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纠正</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审结</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维持</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纠正</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其他</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结果</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尚未</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审结</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黑体" w:hAnsi="宋体" w:eastAsia="黑体" w:cs="黑体"/>
                <w:sz w:val="20"/>
                <w:szCs w:val="20"/>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黑体" w:hAnsi="宋体" w:eastAsia="黑体" w:cs="黑体"/>
                <w:sz w:val="20"/>
                <w:szCs w:val="20"/>
              </w:rPr>
              <w:t> 0</w:t>
            </w:r>
          </w:p>
        </w:tc>
      </w:tr>
    </w:tbl>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仿宋" w:hAnsi="仿宋" w:eastAsia="仿宋" w:cs="仿宋"/>
          <w:sz w:val="32"/>
          <w:szCs w:val="32"/>
        </w:rPr>
      </w:pPr>
      <w:r>
        <w:rPr>
          <w:rFonts w:hint="eastAsia" w:ascii="仿宋" w:hAnsi="仿宋" w:eastAsia="仿宋" w:cs="仿宋"/>
          <w:b/>
          <w:bCs/>
          <w:sz w:val="32"/>
          <w:szCs w:val="32"/>
          <w:bdr w:val="none" w:color="auto" w:sz="0" w:space="0"/>
          <w:shd w:val="clear" w:fill="FFFFFF"/>
        </w:rPr>
        <w:t>存在问题：</w:t>
      </w:r>
      <w:r>
        <w:rPr>
          <w:rFonts w:hint="eastAsia" w:ascii="仿宋" w:hAnsi="仿宋" w:eastAsia="仿宋" w:cs="仿宋"/>
          <w:i w:val="0"/>
          <w:iCs w:val="0"/>
          <w:caps w:val="0"/>
          <w:color w:val="333333"/>
          <w:spacing w:val="0"/>
          <w:sz w:val="32"/>
          <w:szCs w:val="32"/>
          <w:bdr w:val="none" w:color="auto" w:sz="0" w:space="0"/>
          <w:shd w:val="clear" w:fill="FFFFFF"/>
        </w:rPr>
        <w:t>一是对政务公开工作重要性和必要性认识不够，政务公开与单位其他方面工作联系不够紧密；二是政务公开信息内容质量不高，更新整改浮于表面，缺乏长效机制；三是政策解读新意不强，内容不够深刻。</w:t>
      </w:r>
    </w:p>
    <w:p>
      <w:pPr>
        <w:pStyle w:val="2"/>
        <w:keepNext w:val="0"/>
        <w:keepLines w:val="0"/>
        <w:widowControl/>
        <w:suppressLineNumbers w:val="0"/>
        <w:spacing w:before="0" w:beforeAutospacing="0" w:after="0" w:afterAutospacing="0" w:line="560" w:lineRule="atLeast"/>
        <w:ind w:left="0" w:right="0" w:firstLine="643"/>
        <w:jc w:val="both"/>
        <w:rPr>
          <w:rFonts w:hint="default" w:ascii="Calibri" w:hAnsi="Calibri" w:cs="Calibri"/>
          <w:sz w:val="21"/>
          <w:szCs w:val="21"/>
        </w:rPr>
      </w:pPr>
      <w:r>
        <w:rPr>
          <w:rFonts w:hint="eastAsia" w:ascii="仿宋" w:hAnsi="仿宋" w:eastAsia="仿宋" w:cs="仿宋"/>
          <w:b/>
          <w:bCs/>
          <w:sz w:val="32"/>
          <w:szCs w:val="32"/>
        </w:rPr>
        <w:t>改进措施：</w:t>
      </w:r>
      <w:r>
        <w:rPr>
          <w:rFonts w:hint="eastAsia" w:ascii="仿宋" w:hAnsi="仿宋" w:eastAsia="仿宋" w:cs="仿宋"/>
          <w:b w:val="0"/>
          <w:bCs w:val="0"/>
          <w:i w:val="0"/>
          <w:iCs w:val="0"/>
          <w:caps w:val="0"/>
          <w:color w:val="333333"/>
          <w:spacing w:val="0"/>
          <w:sz w:val="32"/>
          <w:szCs w:val="32"/>
          <w:shd w:val="clear" w:fill="FFFFFF"/>
        </w:rPr>
        <w:t>一是拔高站位，认识到政务公开工作有利于树立政府良好形象，有利于更好为人民服务，同时加强与单位其他部门及兄弟单位的沟通和交流，获取第一手信息资料。二是深刻反思历次更新整改疏漏原因与背后根源，重视对信息的动态监测。三是通过网络检索等方式，获取更丰富的政策解读素材，从不同维度分析政策。</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黑体" w:hAnsi="宋体" w:eastAsia="黑体" w:cs="黑体"/>
          <w:sz w:val="32"/>
          <w:szCs w:val="32"/>
        </w:rPr>
        <w:t>六、其他需要报告的事项</w:t>
      </w:r>
    </w:p>
    <w:p>
      <w:pPr>
        <w:pStyle w:val="2"/>
        <w:keepNext w:val="0"/>
        <w:keepLines w:val="0"/>
        <w:widowControl/>
        <w:suppressLineNumbers w:val="0"/>
        <w:spacing w:before="0" w:beforeAutospacing="0" w:after="0" w:afterAutospacing="0" w:line="560" w:lineRule="atLeast"/>
        <w:ind w:left="0" w:right="0" w:firstLine="640"/>
        <w:jc w:val="both"/>
        <w:rPr>
          <w:rFonts w:hint="default" w:ascii="Calibri" w:hAnsi="Calibri" w:cs="Calibri"/>
          <w:sz w:val="21"/>
          <w:szCs w:val="21"/>
        </w:rPr>
      </w:pPr>
      <w:r>
        <w:rPr>
          <w:rFonts w:hint="eastAsia" w:ascii="仿宋" w:hAnsi="仿宋" w:eastAsia="仿宋" w:cs="仿宋"/>
          <w:sz w:val="32"/>
          <w:szCs w:val="32"/>
        </w:rPr>
        <w:t>按照《国务院办公厅关于印发〈政府信息公开信息处理费管理办法〉的通知》（国办函〔</w:t>
      </w:r>
      <w:r>
        <w:rPr>
          <w:rFonts w:hint="default" w:ascii="Times New Roman" w:hAnsi="Times New Roman" w:cs="Times New Roman"/>
          <w:sz w:val="32"/>
          <w:szCs w:val="32"/>
        </w:rPr>
        <w:t>2020</w:t>
      </w:r>
      <w:r>
        <w:rPr>
          <w:rFonts w:hint="eastAsia" w:ascii="仿宋" w:hAnsi="仿宋" w:eastAsia="仿宋" w:cs="仿宋"/>
          <w:sz w:val="32"/>
          <w:szCs w:val="32"/>
        </w:rPr>
        <w:t>〕</w:t>
      </w:r>
      <w:r>
        <w:rPr>
          <w:rFonts w:hint="default" w:ascii="Times New Roman" w:hAnsi="Times New Roman" w:cs="Times New Roman"/>
          <w:sz w:val="32"/>
          <w:szCs w:val="32"/>
        </w:rPr>
        <w:t>109</w:t>
      </w:r>
      <w:r>
        <w:rPr>
          <w:rFonts w:hint="eastAsia" w:ascii="仿宋" w:hAnsi="仿宋" w:eastAsia="仿宋" w:cs="仿宋"/>
          <w:sz w:val="32"/>
          <w:szCs w:val="32"/>
        </w:rPr>
        <w:t>号）规定的按件、按量收费标准，本年度没有产生信息公开处理费。</w:t>
      </w:r>
    </w:p>
    <w:p>
      <w:pPr>
        <w:jc w:val="cente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5NWExNmQwNzhlYWUyY2E4YTk0NmI3NDg1YTgzMGQifQ=="/>
  </w:docVars>
  <w:rsids>
    <w:rsidRoot w:val="75D65212"/>
    <w:rsid w:val="75D6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2024-02-21T05:39:00Z</dcterms:created>
  <dc:creator>Administrator</dc:creator>
  <cp:lastModifiedBy>Administrator</cp:lastModifiedBy>
  <dcterms:modified xsi:type="dcterms:W3CDTF">2024-02-21T05:45:51Z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A5AE8ED1D6EA4F578C3138C808B88E43_11</vt:lpwstr>
  </property>
</Properties>
</file>