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霍邱县水产业发展中心202</w:t>
      </w:r>
      <w:r>
        <w:rPr>
          <w:rFonts w:hint="eastAsia" w:asciiTheme="minorEastAsia" w:hAnsiTheme="minorEastAsia" w:eastAsiaTheme="minorEastAsia" w:cstheme="minorEastAsia"/>
          <w:b/>
          <w:bCs/>
          <w:sz w:val="32"/>
          <w:szCs w:val="32"/>
          <w:lang w:val="en-US" w:eastAsia="zh-CN"/>
        </w:rPr>
        <w:t>2</w:t>
      </w:r>
      <w:r>
        <w:rPr>
          <w:rFonts w:hint="eastAsia" w:asciiTheme="minorEastAsia" w:hAnsiTheme="minorEastAsia" w:eastAsiaTheme="minorEastAsia" w:cstheme="minorEastAsia"/>
          <w:b/>
          <w:bCs/>
          <w:sz w:val="32"/>
          <w:szCs w:val="32"/>
        </w:rPr>
        <w:t>年</w:t>
      </w:r>
      <w:r>
        <w:rPr>
          <w:rFonts w:hint="eastAsia" w:asciiTheme="minorEastAsia" w:hAnsiTheme="minorEastAsia" w:eastAsiaTheme="minorEastAsia" w:cstheme="minorEastAsia"/>
          <w:b/>
          <w:bCs/>
          <w:sz w:val="32"/>
          <w:szCs w:val="32"/>
          <w:lang w:bidi="ar"/>
        </w:rPr>
        <w:t>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line="480" w:lineRule="atLeast"/>
        <w:ind w:firstLine="480"/>
        <w:textAlignment w:val="auto"/>
        <w:rPr>
          <w:rFonts w:hint="default" w:asciiTheme="minorEastAsia" w:hAnsiTheme="minorEastAsia" w:eastAsiaTheme="minorEastAsia" w:cstheme="minorEastAsia"/>
          <w:b/>
          <w:bCs/>
          <w:color w:val="333333"/>
          <w:kern w:val="0"/>
          <w:sz w:val="24"/>
          <w:szCs w:val="24"/>
          <w:shd w:val="clear" w:color="auto" w:fill="FFFFFF"/>
          <w:lang w:val="en-US" w:eastAsia="zh-CN" w:bidi="ar"/>
        </w:rPr>
      </w:pPr>
      <w:r>
        <w:rPr>
          <w:rFonts w:hint="eastAsia" w:asciiTheme="minorEastAsia" w:hAnsiTheme="minorEastAsia" w:eastAsiaTheme="minorEastAsia" w:cstheme="minorEastAsia"/>
          <w:b/>
          <w:bCs/>
          <w:color w:val="333333"/>
          <w:kern w:val="0"/>
          <w:sz w:val="24"/>
          <w:szCs w:val="24"/>
          <w:shd w:val="clear" w:color="auto" w:fill="FFFFFF"/>
          <w:lang w:val="en-US" w:eastAsia="zh-CN" w:bidi="ar"/>
        </w:rPr>
        <w:t xml:space="preserve">                          </w:t>
      </w:r>
    </w:p>
    <w:p>
      <w:pPr>
        <w:pStyle w:val="2"/>
        <w:keepNext w:val="0"/>
        <w:keepLines w:val="0"/>
        <w:widowControl/>
        <w:suppressLineNumbers w:val="0"/>
        <w:spacing w:before="0" w:beforeAutospacing="0" w:after="0" w:afterAutospacing="0" w:line="540" w:lineRule="atLeast"/>
        <w:ind w:left="0" w:right="0" w:firstLine="640"/>
        <w:jc w:val="both"/>
        <w:rPr>
          <w:rFonts w:ascii="Calibri" w:hAnsi="Calibri" w:cs="Calibri"/>
          <w:sz w:val="21"/>
          <w:szCs w:val="21"/>
        </w:rPr>
      </w:pPr>
      <w:r>
        <w:rPr>
          <w:rFonts w:ascii="仿宋" w:hAnsi="仿宋" w:eastAsia="仿宋" w:cs="仿宋"/>
          <w:sz w:val="32"/>
          <w:szCs w:val="32"/>
        </w:rPr>
        <w:t>本年度报告依据《中华人民共和国政府信息公开条例》</w:t>
      </w:r>
      <w:r>
        <w:rPr>
          <w:rFonts w:hint="eastAsia" w:ascii="仿宋" w:hAnsi="仿宋" w:eastAsia="仿宋" w:cs="仿宋"/>
          <w:sz w:val="32"/>
          <w:szCs w:val="32"/>
        </w:rPr>
        <w:t>(国务院令第711号，以下简称《条例》)和《中华人民共和国政府信息公开工作年度报告格式》的通知(国办公开办函(</w:t>
      </w:r>
      <w:r>
        <w:rPr>
          <w:rFonts w:hint="eastAsia" w:ascii="仿宋" w:hAnsi="仿宋" w:eastAsia="仿宋" w:cs="仿宋"/>
          <w:sz w:val="32"/>
          <w:szCs w:val="32"/>
          <w:lang w:eastAsia="zh-CN"/>
        </w:rPr>
        <w:t>2022</w:t>
      </w:r>
      <w:r>
        <w:rPr>
          <w:rFonts w:hint="eastAsia" w:ascii="仿宋" w:hAnsi="仿宋" w:eastAsia="仿宋" w:cs="仿宋"/>
          <w:sz w:val="32"/>
          <w:szCs w:val="32"/>
        </w:rPr>
        <w:t>) 30号)要求，结合有关统计数据和工作实际编制。全文包括：总体情况、行政机关主动公开政府信息情况、行政机关收到和处理政府信息公开申请情况、因政府信息公开工作被申请行政复议、提起行政诉讼情况、政府信息管理、政府信息公开工作存在的主要问题及改进情况和其他需要报告的事项，所列数据的统计期限自</w:t>
      </w:r>
      <w:r>
        <w:rPr>
          <w:rFonts w:hint="eastAsia" w:ascii="仿宋" w:hAnsi="仿宋" w:eastAsia="仿宋" w:cs="仿宋"/>
          <w:sz w:val="32"/>
          <w:szCs w:val="32"/>
          <w:lang w:eastAsia="zh-CN"/>
        </w:rPr>
        <w:t>2022</w:t>
      </w:r>
      <w:r>
        <w:rPr>
          <w:rFonts w:hint="eastAsia" w:ascii="仿宋" w:hAnsi="仿宋" w:eastAsia="仿宋" w:cs="仿宋"/>
          <w:sz w:val="32"/>
          <w:szCs w:val="32"/>
        </w:rPr>
        <w:t>年1月1日起至12月31日止。本年度报告的电子版可以从</w:t>
      </w:r>
      <w:r>
        <w:rPr>
          <w:rFonts w:hint="eastAsia" w:ascii="仿宋" w:hAnsi="仿宋" w:eastAsia="仿宋" w:cs="仿宋"/>
          <w:sz w:val="32"/>
          <w:szCs w:val="32"/>
          <w:lang w:eastAsia="zh-CN"/>
        </w:rPr>
        <w:t>霍邱县水产业发展中心</w:t>
      </w:r>
      <w:r>
        <w:rPr>
          <w:rFonts w:hint="eastAsia" w:ascii="仿宋" w:hAnsi="仿宋" w:eastAsia="仿宋" w:cs="仿宋"/>
          <w:sz w:val="32"/>
          <w:szCs w:val="32"/>
        </w:rPr>
        <w:t>信息公开平台下载。如对本年度报告有疑问，请与</w:t>
      </w:r>
      <w:r>
        <w:rPr>
          <w:rFonts w:hint="eastAsia" w:ascii="仿宋" w:hAnsi="仿宋" w:eastAsia="仿宋" w:cs="仿宋"/>
          <w:sz w:val="32"/>
          <w:szCs w:val="32"/>
          <w:lang w:eastAsia="zh-CN"/>
        </w:rPr>
        <w:t>霍邱县水产业发展中心</w:t>
      </w:r>
      <w:r>
        <w:rPr>
          <w:rFonts w:hint="eastAsia" w:ascii="仿宋" w:hAnsi="仿宋" w:eastAsia="仿宋" w:cs="仿宋"/>
          <w:sz w:val="32"/>
          <w:szCs w:val="32"/>
        </w:rPr>
        <w:t>办公室联系。（地址:</w:t>
      </w:r>
      <w:r>
        <w:rPr>
          <w:rFonts w:hint="eastAsia" w:ascii="仿宋" w:hAnsi="仿宋" w:eastAsia="仿宋" w:cs="仿宋"/>
          <w:sz w:val="32"/>
          <w:szCs w:val="32"/>
          <w:lang w:eastAsia="zh-CN"/>
        </w:rPr>
        <w:t>霍邱</w:t>
      </w:r>
      <w:r>
        <w:rPr>
          <w:rFonts w:hint="eastAsia" w:ascii="仿宋" w:hAnsi="仿宋" w:eastAsia="仿宋" w:cs="仿宋"/>
          <w:sz w:val="32"/>
          <w:szCs w:val="32"/>
        </w:rPr>
        <w:t>县城关镇</w:t>
      </w:r>
      <w:r>
        <w:rPr>
          <w:rFonts w:hint="eastAsia" w:ascii="仿宋" w:hAnsi="仿宋" w:eastAsia="仿宋" w:cs="仿宋"/>
          <w:sz w:val="32"/>
          <w:szCs w:val="32"/>
          <w:lang w:eastAsia="zh-CN"/>
        </w:rPr>
        <w:t>西湖北路水产</w:t>
      </w:r>
      <w:r>
        <w:rPr>
          <w:rFonts w:hint="eastAsia" w:ascii="仿宋" w:hAnsi="仿宋" w:eastAsia="仿宋" w:cs="仿宋"/>
          <w:sz w:val="32"/>
          <w:szCs w:val="32"/>
        </w:rPr>
        <w:t>中心；邮编：23</w:t>
      </w:r>
      <w:r>
        <w:rPr>
          <w:rFonts w:hint="eastAsia" w:ascii="仿宋" w:hAnsi="仿宋" w:eastAsia="仿宋" w:cs="仿宋"/>
          <w:sz w:val="32"/>
          <w:szCs w:val="32"/>
          <w:lang w:val="en-US" w:eastAsia="zh-CN"/>
        </w:rPr>
        <w:t>74</w:t>
      </w:r>
      <w:r>
        <w:rPr>
          <w:rFonts w:hint="eastAsia" w:ascii="仿宋" w:hAnsi="仿宋" w:eastAsia="仿宋" w:cs="仿宋"/>
          <w:sz w:val="32"/>
          <w:szCs w:val="32"/>
        </w:rPr>
        <w:t>00；联系电话:0564-</w:t>
      </w:r>
      <w:r>
        <w:rPr>
          <w:rFonts w:hint="eastAsia" w:ascii="仿宋" w:hAnsi="仿宋" w:eastAsia="仿宋" w:cs="仿宋"/>
          <w:sz w:val="32"/>
          <w:szCs w:val="32"/>
          <w:lang w:val="en-US" w:eastAsia="zh-CN"/>
        </w:rPr>
        <w:t>6024365</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540" w:lineRule="atLeast"/>
        <w:ind w:left="0" w:right="0" w:firstLine="640"/>
        <w:jc w:val="both"/>
        <w:rPr>
          <w:rFonts w:hint="default" w:ascii="Calibri" w:hAnsi="Calibri" w:cs="Calibri"/>
          <w:sz w:val="21"/>
          <w:szCs w:val="21"/>
        </w:rPr>
      </w:pPr>
      <w:r>
        <w:rPr>
          <w:rFonts w:ascii="黑体" w:hAnsi="宋体" w:eastAsia="黑体" w:cs="黑体"/>
          <w:sz w:val="32"/>
          <w:szCs w:val="32"/>
        </w:rPr>
        <w:t>一、总体情况</w:t>
      </w:r>
    </w:p>
    <w:p>
      <w:pPr>
        <w:pStyle w:val="2"/>
        <w:keepNext w:val="0"/>
        <w:keepLines w:val="0"/>
        <w:widowControl/>
        <w:suppressLineNumbers w:val="0"/>
        <w:spacing w:before="0" w:beforeAutospacing="0" w:after="0" w:afterAutospacing="0" w:line="540" w:lineRule="atLeast"/>
        <w:ind w:left="0" w:right="0" w:firstLine="640"/>
        <w:jc w:val="both"/>
        <w:rPr>
          <w:rFonts w:hint="default" w:ascii="Calibri" w:hAnsi="Calibri" w:cs="Calibri"/>
          <w:sz w:val="21"/>
          <w:szCs w:val="21"/>
        </w:rPr>
      </w:pPr>
      <w:r>
        <w:rPr>
          <w:rFonts w:hint="eastAsia" w:ascii="仿宋" w:hAnsi="仿宋" w:eastAsia="仿宋" w:cs="仿宋"/>
          <w:sz w:val="32"/>
          <w:szCs w:val="32"/>
          <w:lang w:eastAsia="zh-CN"/>
        </w:rPr>
        <w:t>2022</w:t>
      </w:r>
      <w:r>
        <w:rPr>
          <w:rFonts w:hint="eastAsia" w:ascii="仿宋" w:hAnsi="仿宋" w:eastAsia="仿宋" w:cs="仿宋"/>
          <w:sz w:val="32"/>
          <w:szCs w:val="32"/>
        </w:rPr>
        <w:t>年，县</w:t>
      </w:r>
      <w:r>
        <w:rPr>
          <w:rFonts w:hint="eastAsia" w:ascii="仿宋" w:hAnsi="仿宋" w:eastAsia="仿宋" w:cs="仿宋"/>
          <w:sz w:val="32"/>
          <w:szCs w:val="32"/>
          <w:lang w:eastAsia="zh-CN"/>
        </w:rPr>
        <w:t>水产</w:t>
      </w:r>
      <w:r>
        <w:rPr>
          <w:rFonts w:hint="eastAsia" w:ascii="仿宋" w:hAnsi="仿宋" w:eastAsia="仿宋" w:cs="仿宋"/>
          <w:sz w:val="32"/>
          <w:szCs w:val="32"/>
        </w:rPr>
        <w:t>中心在县委、县政府的坚强领导下，坚持以习近平新时代中国特色社会主义思想为指导，深入贯彻党的十九大和十九届二中、三中、四中、五中、六中全会精神，严格落实《条例》和国家、省、市、县及我县有关政府信息公开工作的部署要求，紧紧围绕工作重点、和群众关注焦点，大力推进政务公开工作取得实效。</w:t>
      </w:r>
    </w:p>
    <w:p>
      <w:pPr>
        <w:pStyle w:val="2"/>
        <w:keepNext w:val="0"/>
        <w:keepLines w:val="0"/>
        <w:widowControl/>
        <w:suppressLineNumbers w:val="0"/>
        <w:spacing w:before="0" w:beforeAutospacing="0" w:after="0" w:afterAutospacing="0" w:line="540" w:lineRule="atLeast"/>
        <w:ind w:left="0" w:right="0" w:firstLine="643"/>
        <w:jc w:val="both"/>
        <w:rPr>
          <w:rFonts w:hint="default" w:ascii="Calibri" w:hAnsi="Calibri" w:cs="Calibri"/>
          <w:sz w:val="21"/>
          <w:szCs w:val="21"/>
        </w:rPr>
      </w:pPr>
      <w:r>
        <w:rPr>
          <w:rFonts w:hint="eastAsia" w:ascii="仿宋" w:hAnsi="仿宋" w:eastAsia="仿宋" w:cs="仿宋"/>
          <w:b/>
          <w:bCs/>
          <w:sz w:val="32"/>
          <w:szCs w:val="32"/>
        </w:rPr>
        <w:t>（一）主动公开</w:t>
      </w:r>
    </w:p>
    <w:p>
      <w:pPr>
        <w:pStyle w:val="2"/>
        <w:keepNext w:val="0"/>
        <w:keepLines w:val="0"/>
        <w:widowControl/>
        <w:suppressLineNumbers w:val="0"/>
        <w:spacing w:before="0" w:beforeAutospacing="0" w:after="0" w:afterAutospacing="0" w:line="540" w:lineRule="atLeast"/>
        <w:ind w:left="0" w:right="0" w:firstLine="640"/>
        <w:jc w:val="both"/>
        <w:rPr>
          <w:rFonts w:hint="default" w:ascii="Calibri" w:hAnsi="Calibri" w:cs="Calibri"/>
          <w:sz w:val="21"/>
          <w:szCs w:val="21"/>
        </w:rPr>
      </w:pPr>
      <w:r>
        <w:rPr>
          <w:rFonts w:hint="eastAsia" w:ascii="仿宋" w:hAnsi="仿宋" w:eastAsia="仿宋" w:cs="仿宋"/>
          <w:sz w:val="32"/>
          <w:szCs w:val="32"/>
          <w:lang w:eastAsia="zh-CN"/>
        </w:rPr>
        <w:t>2022</w:t>
      </w:r>
      <w:r>
        <w:rPr>
          <w:rFonts w:hint="eastAsia" w:ascii="仿宋" w:hAnsi="仿宋" w:eastAsia="仿宋" w:cs="仿宋"/>
          <w:sz w:val="32"/>
          <w:szCs w:val="32"/>
        </w:rPr>
        <w:t>年县</w:t>
      </w:r>
      <w:r>
        <w:rPr>
          <w:rFonts w:hint="eastAsia" w:ascii="仿宋" w:hAnsi="仿宋" w:eastAsia="仿宋" w:cs="仿宋"/>
          <w:sz w:val="32"/>
          <w:szCs w:val="32"/>
          <w:lang w:eastAsia="zh-CN"/>
        </w:rPr>
        <w:t>水产</w:t>
      </w:r>
      <w:r>
        <w:rPr>
          <w:rFonts w:hint="eastAsia" w:ascii="仿宋" w:hAnsi="仿宋" w:eastAsia="仿宋" w:cs="仿宋"/>
          <w:sz w:val="32"/>
          <w:szCs w:val="32"/>
        </w:rPr>
        <w:t>中心强化公开意识、提高公开水平、完善公开内容、加快公开发布、突出公开重点，积极做好政策法规信息及政策解读、重大决策意见征集和反馈的贯彻落实和各类工作要点信息、财政预决算、其他事项办理的信息、重点领域信息（包括涉农补贴和粮食安全领域）等公开，加强制度建设，严格内容审核，加强网站的安全管理工作。</w:t>
      </w:r>
      <w:r>
        <w:rPr>
          <w:rFonts w:hint="eastAsia" w:ascii="仿宋" w:hAnsi="仿宋" w:eastAsia="仿宋" w:cs="仿宋"/>
          <w:sz w:val="32"/>
          <w:szCs w:val="32"/>
          <w:lang w:eastAsia="zh-CN"/>
        </w:rPr>
        <w:t>2022</w:t>
      </w:r>
      <w:r>
        <w:rPr>
          <w:rFonts w:hint="eastAsia" w:ascii="仿宋" w:hAnsi="仿宋" w:eastAsia="仿宋" w:cs="仿宋"/>
          <w:sz w:val="32"/>
          <w:szCs w:val="32"/>
        </w:rPr>
        <w:t>年</w:t>
      </w:r>
      <w:r>
        <w:rPr>
          <w:rFonts w:hint="eastAsia" w:ascii="仿宋" w:hAnsi="仿宋" w:eastAsia="仿宋" w:cs="仿宋"/>
          <w:sz w:val="32"/>
          <w:szCs w:val="32"/>
          <w:lang w:eastAsia="zh-CN"/>
        </w:rPr>
        <w:t>水产</w:t>
      </w:r>
      <w:r>
        <w:rPr>
          <w:rFonts w:hint="eastAsia" w:ascii="仿宋" w:hAnsi="仿宋" w:eastAsia="仿宋" w:cs="仿宋"/>
          <w:sz w:val="32"/>
          <w:szCs w:val="32"/>
        </w:rPr>
        <w:t>中心主动公开各类政府信息</w:t>
      </w:r>
      <w:r>
        <w:rPr>
          <w:rFonts w:hint="eastAsia" w:ascii="仿宋" w:hAnsi="仿宋" w:eastAsia="仿宋" w:cs="仿宋"/>
          <w:sz w:val="32"/>
          <w:szCs w:val="32"/>
          <w:lang w:val="en-US" w:eastAsia="zh-CN"/>
        </w:rPr>
        <w:t>360</w:t>
      </w:r>
      <w:r>
        <w:rPr>
          <w:rFonts w:hint="eastAsia" w:ascii="仿宋" w:hAnsi="仿宋" w:eastAsia="仿宋" w:cs="仿宋"/>
          <w:sz w:val="32"/>
          <w:szCs w:val="32"/>
        </w:rPr>
        <w:t>条。</w:t>
      </w:r>
    </w:p>
    <w:p>
      <w:pPr>
        <w:pStyle w:val="2"/>
        <w:keepNext w:val="0"/>
        <w:keepLines w:val="0"/>
        <w:widowControl/>
        <w:suppressLineNumbers w:val="0"/>
        <w:spacing w:before="0" w:beforeAutospacing="0" w:after="0" w:afterAutospacing="0" w:line="540" w:lineRule="atLeast"/>
        <w:ind w:left="0" w:right="0" w:firstLine="643"/>
        <w:jc w:val="both"/>
        <w:rPr>
          <w:rFonts w:hint="default" w:ascii="Calibri" w:hAnsi="Calibri" w:cs="Calibri"/>
          <w:sz w:val="21"/>
          <w:szCs w:val="21"/>
        </w:rPr>
      </w:pPr>
      <w:r>
        <w:rPr>
          <w:rFonts w:hint="eastAsia" w:ascii="仿宋" w:hAnsi="仿宋" w:eastAsia="仿宋" w:cs="仿宋"/>
          <w:b/>
          <w:bCs/>
          <w:sz w:val="32"/>
          <w:szCs w:val="32"/>
        </w:rPr>
        <w:t>（二）依申请公开</w:t>
      </w:r>
    </w:p>
    <w:p>
      <w:pPr>
        <w:pStyle w:val="2"/>
        <w:keepNext w:val="0"/>
        <w:keepLines w:val="0"/>
        <w:widowControl/>
        <w:suppressLineNumbers w:val="0"/>
        <w:spacing w:before="0" w:beforeAutospacing="0" w:after="0" w:afterAutospacing="0" w:line="540" w:lineRule="atLeast"/>
        <w:ind w:left="0" w:right="0" w:firstLine="640"/>
        <w:jc w:val="both"/>
        <w:rPr>
          <w:rFonts w:hint="default" w:ascii="Calibri" w:hAnsi="Calibri" w:cs="Calibri"/>
          <w:sz w:val="21"/>
          <w:szCs w:val="21"/>
        </w:rPr>
      </w:pPr>
      <w:r>
        <w:rPr>
          <w:rFonts w:hint="eastAsia" w:ascii="仿宋" w:hAnsi="仿宋" w:eastAsia="仿宋" w:cs="仿宋"/>
          <w:sz w:val="32"/>
          <w:szCs w:val="32"/>
        </w:rPr>
        <w:t>畅通依申请公开受理渠道，完善依申请公开制度，严格按照法定时限答复，增强答复内容针对性和答复形式规范性。</w:t>
      </w:r>
      <w:r>
        <w:rPr>
          <w:rFonts w:hint="eastAsia" w:ascii="仿宋" w:hAnsi="仿宋" w:eastAsia="仿宋" w:cs="仿宋"/>
          <w:sz w:val="32"/>
          <w:szCs w:val="32"/>
          <w:lang w:eastAsia="zh-CN"/>
        </w:rPr>
        <w:t>2022</w:t>
      </w:r>
      <w:r>
        <w:rPr>
          <w:rFonts w:hint="eastAsia" w:ascii="仿宋" w:hAnsi="仿宋" w:eastAsia="仿宋" w:cs="仿宋"/>
          <w:sz w:val="32"/>
          <w:szCs w:val="32"/>
        </w:rPr>
        <w:t>年，我中心共受理依申请公开0件，无行政复议和行政诉讼。</w:t>
      </w:r>
    </w:p>
    <w:p>
      <w:pPr>
        <w:pStyle w:val="2"/>
        <w:keepNext w:val="0"/>
        <w:keepLines w:val="0"/>
        <w:widowControl/>
        <w:suppressLineNumbers w:val="0"/>
        <w:spacing w:before="0" w:beforeAutospacing="0" w:after="0" w:afterAutospacing="0" w:line="540" w:lineRule="atLeast"/>
        <w:ind w:left="0" w:right="0" w:firstLine="643"/>
        <w:jc w:val="both"/>
        <w:rPr>
          <w:rFonts w:hint="default" w:ascii="Calibri" w:hAnsi="Calibri" w:cs="Calibri"/>
          <w:sz w:val="21"/>
          <w:szCs w:val="21"/>
        </w:rPr>
      </w:pPr>
      <w:r>
        <w:rPr>
          <w:rFonts w:hint="eastAsia" w:ascii="仿宋" w:hAnsi="仿宋" w:eastAsia="仿宋" w:cs="仿宋"/>
          <w:b/>
          <w:bCs/>
          <w:sz w:val="32"/>
          <w:szCs w:val="32"/>
        </w:rPr>
        <w:t>（三）政府信息管理</w:t>
      </w:r>
    </w:p>
    <w:p>
      <w:pPr>
        <w:pStyle w:val="2"/>
        <w:keepNext w:val="0"/>
        <w:keepLines w:val="0"/>
        <w:widowControl/>
        <w:suppressLineNumbers w:val="0"/>
        <w:spacing w:before="0" w:beforeAutospacing="0" w:after="0" w:afterAutospacing="0" w:line="540" w:lineRule="atLeast"/>
        <w:ind w:left="0" w:right="0" w:firstLine="640"/>
        <w:jc w:val="both"/>
        <w:rPr>
          <w:rFonts w:hint="default" w:ascii="Calibri" w:hAnsi="Calibri" w:cs="Calibri"/>
          <w:sz w:val="21"/>
          <w:szCs w:val="21"/>
        </w:rPr>
      </w:pPr>
      <w:r>
        <w:rPr>
          <w:rFonts w:hint="eastAsia" w:ascii="仿宋" w:hAnsi="仿宋" w:eastAsia="仿宋" w:cs="仿宋"/>
          <w:sz w:val="32"/>
          <w:szCs w:val="32"/>
        </w:rPr>
        <w:t>一是构建发布、解读、回应有序衔接的政务公开工作格局，优化政府信息管理、信息发布、解读回应、依申请公开等工作流程，并建立完善相关制度，促进政务公开工作与部门业务工作融合发展。二是进一步规范信息发布工作，严格落实“三审”制度，保障公民、法人和其他组织依法获取政府信息，切实解决信息发布不准确、不及时、监管不到位等问题，保证政府信息发布的内容合法、完整、准确、及时。</w:t>
      </w:r>
    </w:p>
    <w:p>
      <w:pPr>
        <w:pStyle w:val="2"/>
        <w:keepNext w:val="0"/>
        <w:keepLines w:val="0"/>
        <w:widowControl/>
        <w:suppressLineNumbers w:val="0"/>
        <w:spacing w:before="0" w:beforeAutospacing="0" w:after="0" w:afterAutospacing="0" w:line="540" w:lineRule="atLeast"/>
        <w:ind w:left="0" w:right="0" w:firstLine="643"/>
        <w:jc w:val="both"/>
        <w:rPr>
          <w:rFonts w:hint="default" w:ascii="Calibri" w:hAnsi="Calibri" w:cs="Calibri"/>
          <w:sz w:val="21"/>
          <w:szCs w:val="21"/>
        </w:rPr>
      </w:pPr>
      <w:r>
        <w:rPr>
          <w:rFonts w:hint="eastAsia" w:ascii="仿宋" w:hAnsi="仿宋" w:eastAsia="仿宋" w:cs="仿宋"/>
          <w:b/>
          <w:bCs/>
          <w:sz w:val="32"/>
          <w:szCs w:val="32"/>
        </w:rPr>
        <w:t>（四）政府信息平台建设</w:t>
      </w:r>
    </w:p>
    <w:p>
      <w:pPr>
        <w:pStyle w:val="2"/>
        <w:keepNext w:val="0"/>
        <w:keepLines w:val="0"/>
        <w:widowControl/>
        <w:suppressLineNumbers w:val="0"/>
        <w:spacing w:before="0" w:beforeAutospacing="0" w:after="0" w:afterAutospacing="0" w:line="540" w:lineRule="atLeast"/>
        <w:ind w:left="0" w:right="0" w:firstLine="640"/>
        <w:jc w:val="both"/>
        <w:rPr>
          <w:rFonts w:hint="default" w:ascii="Calibri" w:hAnsi="Calibri" w:cs="Calibri"/>
          <w:sz w:val="21"/>
          <w:szCs w:val="21"/>
        </w:rPr>
      </w:pPr>
      <w:r>
        <w:rPr>
          <w:rFonts w:hint="eastAsia" w:ascii="仿宋" w:hAnsi="仿宋" w:eastAsia="仿宋" w:cs="仿宋"/>
          <w:sz w:val="32"/>
          <w:szCs w:val="32"/>
        </w:rPr>
        <w:t>一是细化信息内容，</w:t>
      </w:r>
      <w:r>
        <w:rPr>
          <w:rFonts w:hint="eastAsia" w:ascii="仿宋" w:hAnsi="仿宋" w:eastAsia="仿宋" w:cs="仿宋"/>
          <w:sz w:val="32"/>
          <w:szCs w:val="32"/>
          <w:lang w:eastAsia="zh-CN"/>
        </w:rPr>
        <w:t>2022</w:t>
      </w:r>
      <w:r>
        <w:rPr>
          <w:rFonts w:hint="eastAsia" w:ascii="仿宋" w:hAnsi="仿宋" w:eastAsia="仿宋" w:cs="仿宋"/>
          <w:sz w:val="32"/>
          <w:szCs w:val="32"/>
        </w:rPr>
        <w:t>年我中心及时对原有栏目进行了优化配置,加大主动公开政务信息的发布力度。充分发挥信息网站的第一平台作用，加强部门网站信息公开、政策解读、主动回应等功能，简化冗余信息，精简发布内容，优化发布质量。二是调整发布重点，针对群众关心度较高的部门项目、</w:t>
      </w:r>
      <w:r>
        <w:rPr>
          <w:rFonts w:hint="eastAsia" w:ascii="仿宋" w:hAnsi="仿宋" w:eastAsia="仿宋" w:cs="仿宋"/>
          <w:sz w:val="32"/>
          <w:szCs w:val="32"/>
          <w:lang w:eastAsia="zh-CN"/>
        </w:rPr>
        <w:t>水产</w:t>
      </w:r>
      <w:r>
        <w:rPr>
          <w:rFonts w:hint="eastAsia" w:ascii="仿宋" w:hAnsi="仿宋" w:eastAsia="仿宋" w:cs="仿宋"/>
          <w:sz w:val="32"/>
          <w:szCs w:val="32"/>
        </w:rPr>
        <w:t>补贴、安全生产等领域的信息，加大发布力度，细化发布内容。</w:t>
      </w:r>
    </w:p>
    <w:p>
      <w:pPr>
        <w:pStyle w:val="2"/>
        <w:keepNext w:val="0"/>
        <w:keepLines w:val="0"/>
        <w:widowControl/>
        <w:suppressLineNumbers w:val="0"/>
        <w:spacing w:before="0" w:beforeAutospacing="0" w:after="0" w:afterAutospacing="0" w:line="540" w:lineRule="atLeast"/>
        <w:ind w:left="0" w:right="0" w:firstLine="643"/>
        <w:jc w:val="both"/>
        <w:rPr>
          <w:rFonts w:hint="default" w:ascii="Calibri" w:hAnsi="Calibri" w:cs="Calibri"/>
          <w:sz w:val="21"/>
          <w:szCs w:val="21"/>
        </w:rPr>
      </w:pPr>
      <w:r>
        <w:rPr>
          <w:rFonts w:hint="eastAsia" w:ascii="仿宋" w:hAnsi="仿宋" w:eastAsia="仿宋" w:cs="仿宋"/>
          <w:b/>
          <w:bCs/>
          <w:sz w:val="32"/>
          <w:szCs w:val="32"/>
        </w:rPr>
        <w:t>（五）监督保障</w:t>
      </w:r>
    </w:p>
    <w:p>
      <w:pPr>
        <w:pStyle w:val="2"/>
        <w:keepNext w:val="0"/>
        <w:keepLines w:val="0"/>
        <w:widowControl/>
        <w:suppressLineNumbers w:val="0"/>
        <w:spacing w:before="0" w:beforeAutospacing="0" w:after="0" w:afterAutospacing="0" w:line="540" w:lineRule="atLeast"/>
        <w:ind w:left="0" w:right="0" w:firstLine="640"/>
        <w:jc w:val="both"/>
        <w:rPr>
          <w:rFonts w:hint="default" w:ascii="Calibri" w:hAnsi="Calibri" w:cs="Calibri"/>
          <w:sz w:val="21"/>
          <w:szCs w:val="21"/>
        </w:rPr>
      </w:pPr>
      <w:r>
        <w:rPr>
          <w:rFonts w:hint="eastAsia" w:ascii="仿宋" w:hAnsi="仿宋" w:eastAsia="仿宋" w:cs="仿宋"/>
          <w:sz w:val="32"/>
          <w:szCs w:val="32"/>
        </w:rPr>
        <w:t>为保证政务公开工作规范有序运行，县</w:t>
      </w:r>
      <w:r>
        <w:rPr>
          <w:rFonts w:hint="eastAsia" w:ascii="仿宋" w:hAnsi="仿宋" w:eastAsia="仿宋" w:cs="仿宋"/>
          <w:sz w:val="32"/>
          <w:szCs w:val="32"/>
          <w:lang w:eastAsia="zh-CN"/>
        </w:rPr>
        <w:t>水产</w:t>
      </w:r>
      <w:r>
        <w:rPr>
          <w:rFonts w:hint="eastAsia" w:ascii="仿宋" w:hAnsi="仿宋" w:eastAsia="仿宋" w:cs="仿宋"/>
          <w:sz w:val="32"/>
          <w:szCs w:val="32"/>
        </w:rPr>
        <w:t>中心从加强组织领导、健全目标责任等方面入手，切实加强政务公开工作领导和实施，由中心分管领导主抓，办公室具体负责信息发布工作，完善股室协同，将安全生产、涉</w:t>
      </w:r>
      <w:r>
        <w:rPr>
          <w:rFonts w:hint="eastAsia" w:ascii="仿宋" w:hAnsi="仿宋" w:eastAsia="仿宋" w:cs="仿宋"/>
          <w:sz w:val="32"/>
          <w:szCs w:val="32"/>
          <w:lang w:eastAsia="zh-CN"/>
        </w:rPr>
        <w:t>渔</w:t>
      </w:r>
      <w:r>
        <w:rPr>
          <w:rFonts w:hint="eastAsia" w:ascii="仿宋" w:hAnsi="仿宋" w:eastAsia="仿宋" w:cs="仿宋"/>
          <w:sz w:val="32"/>
          <w:szCs w:val="32"/>
        </w:rPr>
        <w:t>补贴、</w:t>
      </w:r>
      <w:r>
        <w:rPr>
          <w:rFonts w:hint="eastAsia" w:ascii="仿宋" w:hAnsi="仿宋" w:eastAsia="仿宋" w:cs="仿宋"/>
          <w:sz w:val="32"/>
          <w:szCs w:val="32"/>
          <w:lang w:eastAsia="zh-CN"/>
        </w:rPr>
        <w:t>农产品</w:t>
      </w:r>
      <w:r>
        <w:rPr>
          <w:rFonts w:hint="eastAsia" w:ascii="仿宋" w:hAnsi="仿宋" w:eastAsia="仿宋" w:cs="仿宋"/>
          <w:sz w:val="32"/>
          <w:szCs w:val="32"/>
        </w:rPr>
        <w:t>安全等内容细化分工到各个股室</w:t>
      </w:r>
      <w:r>
        <w:rPr>
          <w:rFonts w:hint="eastAsia" w:ascii="仿宋" w:hAnsi="仿宋" w:eastAsia="仿宋" w:cs="仿宋"/>
          <w:sz w:val="32"/>
          <w:szCs w:val="32"/>
          <w:lang w:eastAsia="zh-CN"/>
        </w:rPr>
        <w:t>、下属单位</w:t>
      </w:r>
      <w:r>
        <w:rPr>
          <w:rFonts w:hint="eastAsia" w:ascii="仿宋" w:hAnsi="仿宋" w:eastAsia="仿宋" w:cs="仿宋"/>
          <w:sz w:val="32"/>
          <w:szCs w:val="32"/>
        </w:rPr>
        <w:t>，将信息公开工作纳入年度工作目标考核内容。加强对应栏目信息发布的沟通协调，丰富了中心政府信息公开平台内容发布，确保各类信息及时、有效、准确的公开。</w:t>
      </w:r>
    </w:p>
    <w:p>
      <w:pPr>
        <w:pStyle w:val="2"/>
        <w:keepNext w:val="0"/>
        <w:keepLines w:val="0"/>
        <w:widowControl/>
        <w:suppressLineNumbers w:val="0"/>
        <w:shd w:val="clear" w:fill="FFFFFF"/>
        <w:ind w:left="0" w:right="0" w:firstLine="420"/>
        <w:jc w:val="both"/>
        <w:rPr>
          <w:rFonts w:hint="default" w:ascii="Calibri" w:hAnsi="Calibri" w:cs="Calibri"/>
          <w:sz w:val="24"/>
          <w:szCs w:val="24"/>
        </w:rPr>
      </w:pPr>
      <w:r>
        <w:rPr>
          <w:rFonts w:hint="eastAsia" w:ascii="黑体" w:hAnsi="宋体" w:eastAsia="黑体" w:cs="黑体"/>
          <w:sz w:val="32"/>
          <w:szCs w:val="32"/>
          <w:shd w:val="clear" w:fill="FFFFFF"/>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信息内容</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本年制发件数</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本年废止件数</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行政事业性收费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0</w:t>
            </w:r>
          </w:p>
        </w:tc>
      </w:tr>
    </w:tbl>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hd w:val="clear" w:fill="FFFFFF"/>
        <w:ind w:left="0" w:right="0" w:firstLine="420"/>
        <w:jc w:val="both"/>
        <w:rPr>
          <w:rFonts w:hint="default" w:ascii="Calibri" w:hAnsi="Calibri" w:cs="Calibri"/>
          <w:sz w:val="24"/>
          <w:szCs w:val="24"/>
        </w:rPr>
      </w:pPr>
      <w:r>
        <w:rPr>
          <w:rFonts w:hint="eastAsia" w:ascii="黑体" w:hAnsi="宋体" w:eastAsia="黑体" w:cs="黑体"/>
          <w:sz w:val="32"/>
          <w:szCs w:val="32"/>
          <w:shd w:val="clear" w:fill="FFFFFF"/>
        </w:rPr>
        <w:t>三、收到和处理政府信息公开申请情况</w:t>
      </w:r>
    </w:p>
    <w:tbl>
      <w:tblPr>
        <w:tblStyle w:val="3"/>
        <w:tblW w:w="974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自然人</w:t>
            </w:r>
          </w:p>
        </w:tc>
        <w:tc>
          <w:tcPr>
            <w:tcW w:w="346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法人或其他组织</w:t>
            </w:r>
          </w:p>
        </w:tc>
        <w:tc>
          <w:tcPr>
            <w:tcW w:w="693" w:type="dxa"/>
            <w:vMerge w:val="restart"/>
            <w:tcBorders>
              <w:top w:val="nil"/>
              <w:left w:val="nil"/>
              <w:bottom w:val="inset"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商业</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科研</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机构</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社会公益组织</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法律服务机构</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其他</w:t>
            </w:r>
          </w:p>
        </w:tc>
        <w:tc>
          <w:tcPr>
            <w:tcW w:w="693" w:type="dxa"/>
            <w:vMerge w:val="continue"/>
            <w:tcBorders>
              <w:top w:val="nil"/>
              <w:left w:val="nil"/>
              <w:bottom w:val="in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restart"/>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2" w:hRule="atLeast"/>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（二）部分公开</w:t>
            </w:r>
            <w:r>
              <w:rPr>
                <w:rFonts w:ascii="楷体" w:hAnsi="楷体" w:eastAsia="楷体" w:cs="楷体"/>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inset"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6" w:hRule="atLeast"/>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inset"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inset"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9" w:type="dxa"/>
            <w:tcBorders>
              <w:top w:val="nil"/>
              <w:left w:val="nil"/>
              <w:bottom w:val="inset"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5.要求行政机关确认或重新出具已获取信息</w:t>
            </w:r>
          </w:p>
        </w:tc>
        <w:tc>
          <w:tcPr>
            <w:tcW w:w="685" w:type="dxa"/>
            <w:tcBorders>
              <w:top w:val="nil"/>
              <w:left w:val="nil"/>
              <w:bottom w:val="inset"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inset"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inset"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inset"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inset"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inset"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inset"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inset"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0</w:t>
            </w:r>
          </w:p>
        </w:tc>
      </w:tr>
    </w:tbl>
    <w:p>
      <w:pPr>
        <w:pStyle w:val="2"/>
        <w:keepNext w:val="0"/>
        <w:keepLines w:val="0"/>
        <w:widowControl/>
        <w:suppressLineNumbers w:val="0"/>
        <w:shd w:val="clear" w:fill="FFFFFF"/>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16"/>
          <w:szCs w:val="16"/>
          <w:shd w:val="clear" w:fill="FFFFFF"/>
        </w:rPr>
        <w:t> </w:t>
      </w:r>
    </w:p>
    <w:p>
      <w:pPr>
        <w:pStyle w:val="2"/>
        <w:keepNext w:val="0"/>
        <w:keepLines w:val="0"/>
        <w:widowControl/>
        <w:suppressLineNumbers w:val="0"/>
        <w:shd w:val="clear" w:fill="FFFFFF"/>
        <w:ind w:left="0" w:right="0" w:firstLine="420"/>
        <w:jc w:val="both"/>
        <w:rPr>
          <w:rFonts w:hint="default" w:ascii="Calibri" w:hAnsi="Calibri" w:cs="Calibri"/>
          <w:sz w:val="24"/>
          <w:szCs w:val="24"/>
        </w:rPr>
      </w:pPr>
      <w:r>
        <w:rPr>
          <w:rFonts w:hint="eastAsia" w:ascii="黑体" w:hAnsi="宋体" w:eastAsia="黑体" w:cs="黑体"/>
          <w:sz w:val="32"/>
          <w:szCs w:val="32"/>
          <w:shd w:val="clear" w:fill="FFFFFF"/>
        </w:rPr>
        <w:t>四、政府信息公开行政复议、行政诉讼情况</w:t>
      </w:r>
    </w:p>
    <w:tbl>
      <w:tblPr>
        <w:tblStyle w:val="3"/>
        <w:tblW w:w="974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行政复议</w:t>
            </w:r>
          </w:p>
        </w:tc>
        <w:tc>
          <w:tcPr>
            <w:tcW w:w="6503"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结果维持</w:t>
            </w:r>
          </w:p>
        </w:tc>
        <w:tc>
          <w:tcPr>
            <w:tcW w:w="6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结果纠正</w:t>
            </w:r>
          </w:p>
        </w:tc>
        <w:tc>
          <w:tcPr>
            <w:tcW w:w="6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其他结果</w:t>
            </w:r>
          </w:p>
        </w:tc>
        <w:tc>
          <w:tcPr>
            <w:tcW w:w="6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尚未审结</w:t>
            </w:r>
          </w:p>
        </w:tc>
        <w:tc>
          <w:tcPr>
            <w:tcW w:w="6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总计</w:t>
            </w:r>
          </w:p>
        </w:tc>
        <w:tc>
          <w:tcPr>
            <w:tcW w:w="3248"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未经复议直接起诉</w:t>
            </w:r>
          </w:p>
        </w:tc>
        <w:tc>
          <w:tcPr>
            <w:tcW w:w="325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结果维持</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结果纠正</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其他结果</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尚未审结</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总计</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结果维持</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结果纠正</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其他结果</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尚未审结</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firstLine="210"/>
              <w:jc w:val="both"/>
              <w:rPr>
                <w:rFonts w:hint="default" w:ascii="Calibri" w:hAnsi="Calibri" w:cs="Calibri"/>
                <w:sz w:val="21"/>
                <w:szCs w:val="21"/>
              </w:rPr>
            </w:pPr>
            <w:r>
              <w:rPr>
                <w:rFonts w:hint="default" w:ascii="Calibri" w:hAnsi="Calibri" w:cs="Calibri"/>
                <w:sz w:val="21"/>
                <w:szCs w:val="21"/>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firstLine="240"/>
              <w:jc w:val="both"/>
              <w:rPr>
                <w:rFonts w:hint="default" w:ascii="Calibri" w:hAnsi="Calibri" w:cs="Calibri"/>
                <w:sz w:val="21"/>
                <w:szCs w:val="21"/>
              </w:rPr>
            </w:pPr>
            <w:r>
              <w:rPr>
                <w:rFonts w:hint="eastAsia" w:ascii="宋体" w:hAnsi="宋体" w:eastAsia="宋体" w:cs="宋体"/>
                <w:sz w:val="24"/>
                <w:szCs w:val="24"/>
              </w:rPr>
              <w:t>0</w:t>
            </w:r>
          </w:p>
        </w:tc>
      </w:tr>
    </w:tbl>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hd w:val="clear" w:fill="FFFFFF"/>
        <w:ind w:left="0" w:right="0" w:firstLine="420"/>
        <w:jc w:val="both"/>
        <w:rPr>
          <w:rFonts w:hint="default" w:ascii="Calibri" w:hAnsi="Calibri" w:cs="Calibri"/>
          <w:sz w:val="24"/>
          <w:szCs w:val="24"/>
        </w:rPr>
      </w:pPr>
      <w:r>
        <w:rPr>
          <w:rFonts w:hint="eastAsia" w:ascii="黑体" w:hAnsi="宋体" w:eastAsia="黑体" w:cs="黑体"/>
          <w:sz w:val="32"/>
          <w:szCs w:val="32"/>
          <w:shd w:val="clear" w:fill="FFFFFF"/>
        </w:rPr>
        <w:t>五、存在的主要问题及改进情况</w:t>
      </w:r>
    </w:p>
    <w:p>
      <w:pPr>
        <w:pStyle w:val="2"/>
        <w:keepNext w:val="0"/>
        <w:keepLines w:val="0"/>
        <w:widowControl/>
        <w:suppressLineNumbers w:val="0"/>
        <w:shd w:val="clear" w:fill="FFFFFF"/>
        <w:spacing w:line="560" w:lineRule="atLeast"/>
        <w:ind w:left="0" w:right="0" w:firstLine="643"/>
        <w:jc w:val="both"/>
        <w:rPr>
          <w:rFonts w:hint="default" w:ascii="Calibri" w:hAnsi="Calibri" w:cs="Calibri"/>
          <w:sz w:val="24"/>
          <w:szCs w:val="24"/>
        </w:rPr>
      </w:pPr>
      <w:r>
        <w:rPr>
          <w:rFonts w:hint="eastAsia" w:ascii="仿宋" w:hAnsi="仿宋" w:eastAsia="仿宋" w:cs="仿宋"/>
          <w:b/>
          <w:bCs/>
          <w:sz w:val="32"/>
          <w:szCs w:val="32"/>
          <w:shd w:val="clear" w:fill="FFFFFF"/>
        </w:rPr>
        <w:t>（一）主要问题</w:t>
      </w:r>
    </w:p>
    <w:p>
      <w:pPr>
        <w:pStyle w:val="2"/>
        <w:keepNext w:val="0"/>
        <w:keepLines w:val="0"/>
        <w:widowControl/>
        <w:suppressLineNumbers w:val="0"/>
        <w:shd w:val="clear" w:fill="FFFFFF"/>
        <w:spacing w:before="0" w:beforeAutospacing="0" w:after="0" w:afterAutospacing="0" w:line="560" w:lineRule="atLeast"/>
        <w:ind w:left="0" w:right="0" w:firstLine="640"/>
        <w:jc w:val="both"/>
        <w:rPr>
          <w:rFonts w:hint="default" w:ascii="Calibri" w:hAnsi="Calibri" w:cs="Calibri"/>
          <w:sz w:val="21"/>
          <w:szCs w:val="21"/>
        </w:rPr>
      </w:pPr>
      <w:r>
        <w:rPr>
          <w:rFonts w:hint="eastAsia" w:ascii="仿宋" w:hAnsi="仿宋" w:eastAsia="仿宋" w:cs="仿宋"/>
          <w:sz w:val="32"/>
          <w:szCs w:val="32"/>
          <w:shd w:val="clear" w:fill="FFFFFF"/>
          <w:lang w:eastAsia="zh-CN"/>
        </w:rPr>
        <w:t>2022</w:t>
      </w:r>
      <w:r>
        <w:rPr>
          <w:rFonts w:hint="eastAsia" w:ascii="仿宋" w:hAnsi="仿宋" w:eastAsia="仿宋" w:cs="仿宋"/>
          <w:color w:val="000000"/>
          <w:sz w:val="32"/>
          <w:szCs w:val="32"/>
          <w:shd w:val="clear" w:fill="FFFFFF"/>
        </w:rPr>
        <w:t>年，我中心在政务公开方面虽然取得了一些成绩，但在监督体系方面还存在着部分股室认识不到位、重视不够，信息公开体系不完善，模式较单一等问题。</w:t>
      </w:r>
    </w:p>
    <w:p>
      <w:pPr>
        <w:pStyle w:val="2"/>
        <w:keepNext w:val="0"/>
        <w:keepLines w:val="0"/>
        <w:widowControl/>
        <w:suppressLineNumbers w:val="0"/>
        <w:shd w:val="clear" w:fill="FFFFFF"/>
        <w:spacing w:line="560" w:lineRule="atLeast"/>
        <w:ind w:left="0" w:right="0" w:firstLine="643"/>
        <w:jc w:val="both"/>
        <w:rPr>
          <w:rFonts w:hint="default" w:ascii="Calibri" w:hAnsi="Calibri" w:cs="Calibri"/>
          <w:sz w:val="24"/>
          <w:szCs w:val="24"/>
        </w:rPr>
      </w:pPr>
      <w:r>
        <w:rPr>
          <w:rFonts w:hint="eastAsia" w:ascii="仿宋" w:hAnsi="仿宋" w:eastAsia="仿宋" w:cs="仿宋"/>
          <w:b/>
          <w:bCs/>
          <w:color w:val="000000"/>
          <w:sz w:val="32"/>
          <w:szCs w:val="32"/>
          <w:shd w:val="clear" w:fill="FFFFFF"/>
        </w:rPr>
        <w:t>（二）202</w:t>
      </w:r>
      <w:r>
        <w:rPr>
          <w:rFonts w:hint="eastAsia" w:ascii="仿宋" w:hAnsi="仿宋" w:eastAsia="仿宋" w:cs="仿宋"/>
          <w:b/>
          <w:bCs/>
          <w:color w:val="000000"/>
          <w:sz w:val="32"/>
          <w:szCs w:val="32"/>
          <w:shd w:val="clear" w:fill="FFFFFF"/>
          <w:lang w:val="en-US" w:eastAsia="zh-CN"/>
        </w:rPr>
        <w:t>3</w:t>
      </w:r>
      <w:r>
        <w:rPr>
          <w:rFonts w:hint="eastAsia" w:ascii="仿宋" w:hAnsi="仿宋" w:eastAsia="仿宋" w:cs="仿宋"/>
          <w:b/>
          <w:bCs/>
          <w:color w:val="000000"/>
          <w:sz w:val="32"/>
          <w:szCs w:val="32"/>
          <w:shd w:val="clear" w:fill="FFFFFF"/>
        </w:rPr>
        <w:t>年改进措施</w:t>
      </w:r>
      <w:r>
        <w:rPr>
          <w:rFonts w:hint="eastAsia" w:ascii="宋体" w:hAnsi="宋体" w:eastAsia="宋体" w:cs="宋体"/>
          <w:color w:val="000000"/>
          <w:sz w:val="32"/>
          <w:szCs w:val="32"/>
          <w:shd w:val="clear" w:fill="FFFFFF"/>
        </w:rPr>
        <w:t> </w:t>
      </w:r>
    </w:p>
    <w:p>
      <w:pPr>
        <w:pStyle w:val="2"/>
        <w:keepNext w:val="0"/>
        <w:keepLines w:val="0"/>
        <w:widowControl/>
        <w:suppressLineNumbers w:val="0"/>
        <w:shd w:val="clear" w:fill="FFFFFF"/>
        <w:spacing w:before="0" w:beforeAutospacing="0" w:after="0" w:afterAutospacing="0" w:line="560" w:lineRule="atLeast"/>
        <w:ind w:left="0" w:right="0" w:firstLine="640"/>
        <w:jc w:val="both"/>
        <w:rPr>
          <w:rFonts w:hint="default" w:ascii="Calibri" w:hAnsi="Calibri" w:cs="Calibri"/>
          <w:sz w:val="21"/>
          <w:szCs w:val="21"/>
        </w:rPr>
      </w:pPr>
      <w:r>
        <w:rPr>
          <w:rFonts w:hint="eastAsia" w:ascii="仿宋" w:hAnsi="仿宋" w:eastAsia="仿宋" w:cs="仿宋"/>
          <w:color w:val="000000"/>
          <w:sz w:val="32"/>
          <w:szCs w:val="32"/>
          <w:shd w:val="clear" w:fill="FFFFFF"/>
        </w:rPr>
        <w:t>202</w:t>
      </w:r>
      <w:r>
        <w:rPr>
          <w:rFonts w:hint="eastAsia" w:ascii="仿宋" w:hAnsi="仿宋" w:eastAsia="仿宋" w:cs="仿宋"/>
          <w:color w:val="000000"/>
          <w:sz w:val="32"/>
          <w:szCs w:val="32"/>
          <w:shd w:val="clear" w:fill="FFFFFF"/>
          <w:lang w:val="en-US" w:eastAsia="zh-CN"/>
        </w:rPr>
        <w:t>3</w:t>
      </w:r>
      <w:r>
        <w:rPr>
          <w:rFonts w:hint="eastAsia" w:ascii="仿宋" w:hAnsi="仿宋" w:eastAsia="仿宋" w:cs="仿宋"/>
          <w:color w:val="000000"/>
          <w:sz w:val="32"/>
          <w:szCs w:val="32"/>
          <w:shd w:val="clear" w:fill="FFFFFF"/>
        </w:rPr>
        <w:t>年，县</w:t>
      </w:r>
      <w:r>
        <w:rPr>
          <w:rFonts w:hint="eastAsia" w:ascii="仿宋" w:hAnsi="仿宋" w:eastAsia="仿宋" w:cs="仿宋"/>
          <w:color w:val="000000"/>
          <w:sz w:val="32"/>
          <w:szCs w:val="32"/>
          <w:shd w:val="clear" w:fill="FFFFFF"/>
          <w:lang w:eastAsia="zh-CN"/>
        </w:rPr>
        <w:t>水产</w:t>
      </w:r>
      <w:r>
        <w:rPr>
          <w:rFonts w:hint="eastAsia" w:ascii="仿宋" w:hAnsi="仿宋" w:eastAsia="仿宋" w:cs="仿宋"/>
          <w:color w:val="000000"/>
          <w:sz w:val="32"/>
          <w:szCs w:val="32"/>
          <w:shd w:val="clear" w:fill="FFFFFF"/>
        </w:rPr>
        <w:t>中心将进一步推动政府信息公开法规、规定贯彻实施。一是加强股室信息报送工作力度，使信息公开业务更加有序、便民、高效，确保</w:t>
      </w:r>
      <w:r>
        <w:rPr>
          <w:rFonts w:hint="eastAsia" w:ascii="仿宋" w:hAnsi="仿宋" w:eastAsia="仿宋" w:cs="仿宋"/>
          <w:sz w:val="32"/>
          <w:szCs w:val="32"/>
          <w:shd w:val="clear" w:fill="FFFFFF"/>
        </w:rPr>
        <w:t>广大人民群众的知情权、参与权、表达权和监督权。二是加强我中心监督体系，健全责任追究制度，层层落实责任，采取多种方式监督，定期检查和不定期检查相结合的模式，全面筛查，逐条整改，在现有的基础上加大检查力度，力求做到尽善尽美，确保把政务公开工作落到实处。</w:t>
      </w:r>
    </w:p>
    <w:p>
      <w:pPr>
        <w:pStyle w:val="2"/>
        <w:keepNext w:val="0"/>
        <w:keepLines w:val="0"/>
        <w:widowControl/>
        <w:suppressLineNumbers w:val="0"/>
        <w:shd w:val="clear" w:fill="FFFFFF"/>
        <w:ind w:left="0" w:right="0" w:firstLine="640"/>
        <w:jc w:val="both"/>
        <w:rPr>
          <w:rFonts w:hint="default" w:ascii="Calibri" w:hAnsi="Calibri" w:cs="Calibri"/>
          <w:sz w:val="24"/>
          <w:szCs w:val="24"/>
        </w:rPr>
      </w:pPr>
      <w:r>
        <w:rPr>
          <w:rFonts w:hint="eastAsia" w:ascii="黑体" w:hAnsi="宋体" w:eastAsia="黑体" w:cs="黑体"/>
          <w:sz w:val="32"/>
          <w:szCs w:val="32"/>
          <w:shd w:val="clear" w:fill="FFFFFF"/>
        </w:rPr>
        <w:t>六、其他需要报告的事项</w:t>
      </w:r>
    </w:p>
    <w:p>
      <w:pPr>
        <w:pStyle w:val="2"/>
        <w:keepNext w:val="0"/>
        <w:keepLines w:val="0"/>
        <w:widowControl/>
        <w:suppressLineNumbers w:val="0"/>
        <w:shd w:val="clear" w:fill="FFFFFF"/>
        <w:spacing w:line="560" w:lineRule="atLeast"/>
        <w:ind w:left="0" w:right="0" w:firstLine="640"/>
        <w:jc w:val="left"/>
        <w:rPr>
          <w:rFonts w:hint="default" w:ascii="Calibri" w:hAnsi="Calibri" w:cs="Calibri"/>
          <w:sz w:val="24"/>
          <w:szCs w:val="24"/>
        </w:rPr>
      </w:pPr>
      <w:r>
        <w:rPr>
          <w:rFonts w:hint="eastAsia" w:ascii="仿宋" w:hAnsi="仿宋" w:eastAsia="仿宋" w:cs="仿宋"/>
          <w:sz w:val="32"/>
          <w:szCs w:val="32"/>
          <w:shd w:val="clear" w:fill="FFFFFF"/>
        </w:rPr>
        <w:t>按照《国务院办公厅关于印发&lt;政府信息公开信息处理费管理办法&gt;的通知》（国办函【2020】109号）规定的按件、按量收费标准，本年度没有产生信息公开处理费。</w:t>
      </w:r>
    </w:p>
    <w:p>
      <w:pPr>
        <w:keepNext w:val="0"/>
        <w:keepLines w:val="0"/>
        <w:pageBreakBefore w:val="0"/>
        <w:widowControl/>
        <w:shd w:val="clear" w:color="auto" w:fill="FFFFFF"/>
        <w:kinsoku/>
        <w:wordWrap/>
        <w:overflowPunct/>
        <w:topLinePunct w:val="0"/>
        <w:autoSpaceDE/>
        <w:autoSpaceDN/>
        <w:bidi w:val="0"/>
        <w:adjustRightInd/>
        <w:snapToGrid/>
        <w:spacing w:line="480" w:lineRule="atLeast"/>
        <w:ind w:firstLine="480"/>
        <w:textAlignment w:val="auto"/>
        <w:rPr>
          <w:rFonts w:hint="eastAsia" w:asciiTheme="minorEastAsia" w:hAnsiTheme="minorEastAsia" w:eastAsiaTheme="minorEastAsia" w:cstheme="minorEastAsia"/>
          <w:b/>
          <w:bCs/>
          <w:color w:val="333333"/>
          <w:kern w:val="0"/>
          <w:sz w:val="24"/>
          <w:szCs w:val="24"/>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line="480" w:lineRule="atLeast"/>
        <w:ind w:firstLine="480"/>
        <w:textAlignment w:val="auto"/>
        <w:rPr>
          <w:rFonts w:hint="eastAsia" w:asciiTheme="minorEastAsia" w:hAnsiTheme="minorEastAsia" w:eastAsiaTheme="minorEastAsia" w:cstheme="minorEastAsia"/>
          <w:b/>
          <w:bCs/>
          <w:color w:val="333333"/>
          <w:kern w:val="0"/>
          <w:sz w:val="24"/>
          <w:szCs w:val="24"/>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line="480" w:lineRule="atLeast"/>
        <w:ind w:firstLine="480"/>
        <w:textAlignment w:val="auto"/>
        <w:rPr>
          <w:rFonts w:hint="eastAsia" w:asciiTheme="minorEastAsia" w:hAnsiTheme="minorEastAsia" w:eastAsiaTheme="minorEastAsia" w:cstheme="minorEastAsia"/>
          <w:b/>
          <w:bCs/>
          <w:color w:val="333333"/>
          <w:kern w:val="0"/>
          <w:sz w:val="24"/>
          <w:szCs w:val="24"/>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line="480" w:lineRule="atLeast"/>
        <w:ind w:firstLine="480"/>
        <w:textAlignment w:val="auto"/>
        <w:rPr>
          <w:rFonts w:hint="eastAsia" w:asciiTheme="minorEastAsia" w:hAnsiTheme="minorEastAsia" w:eastAsiaTheme="minorEastAsia" w:cstheme="minorEastAsia"/>
          <w:b/>
          <w:bCs/>
          <w:color w:val="333333"/>
          <w:kern w:val="0"/>
          <w:sz w:val="24"/>
          <w:szCs w:val="24"/>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line="480" w:lineRule="atLeast"/>
        <w:ind w:firstLine="480"/>
        <w:textAlignment w:val="auto"/>
        <w:rPr>
          <w:rFonts w:hint="eastAsia" w:asciiTheme="minorEastAsia" w:hAnsiTheme="minorEastAsia" w:eastAsiaTheme="minorEastAsia" w:cstheme="minorEastAsia"/>
          <w:b/>
          <w:bCs/>
          <w:color w:val="333333"/>
          <w:kern w:val="0"/>
          <w:sz w:val="24"/>
          <w:szCs w:val="24"/>
          <w:shd w:val="clear" w:color="auto" w:fill="FFFFFF"/>
          <w:lang w:bidi="ar"/>
        </w:rPr>
      </w:pPr>
    </w:p>
    <w:p>
      <w:pPr>
        <w:rPr>
          <w:rFonts w:hint="default" w:eastAsia="宋体"/>
          <w:lang w:val="en-US" w:eastAsia="zh-CN"/>
        </w:rPr>
      </w:pPr>
      <w:r>
        <w:rPr>
          <w:rFonts w:hint="eastAsia"/>
          <w:lang w:val="en-US" w:eastAsia="zh-CN"/>
        </w:rPr>
        <w:t xml:space="preserve">                     </w:t>
      </w:r>
      <w:bookmarkStart w:id="0" w:name="_GoBack"/>
      <w:bookmarkEnd w:id="0"/>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jMzRmYTk1MzZkNDMxNDZlZmZlODE5NjM1NjVjZjgifQ=="/>
    <w:docVar w:name="KSO_WPS_MARK_KEY" w:val="e6756922-3853-4b11-95d6-df4b8caa8084"/>
  </w:docVars>
  <w:rsids>
    <w:rsidRoot w:val="6FE27F7B"/>
    <w:rsid w:val="090A2CE8"/>
    <w:rsid w:val="12500C0A"/>
    <w:rsid w:val="1AFD2075"/>
    <w:rsid w:val="1C2D7AFA"/>
    <w:rsid w:val="1DC444D4"/>
    <w:rsid w:val="1F672950"/>
    <w:rsid w:val="219A609D"/>
    <w:rsid w:val="2C0734F1"/>
    <w:rsid w:val="305303D5"/>
    <w:rsid w:val="323F1C36"/>
    <w:rsid w:val="3CAA4150"/>
    <w:rsid w:val="43994F1E"/>
    <w:rsid w:val="45CD2F28"/>
    <w:rsid w:val="5FE07D05"/>
    <w:rsid w:val="66132750"/>
    <w:rsid w:val="6BD05F87"/>
    <w:rsid w:val="6FE27F7B"/>
    <w:rsid w:val="7AB83901"/>
    <w:rsid w:val="7ACF47A6"/>
    <w:rsid w:val="7FBF0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2585</Words>
  <Characters>2678</Characters>
  <Lines>0</Lines>
  <Paragraphs>0</Paragraphs>
  <TotalTime>96</TotalTime>
  <ScaleCrop>false</ScaleCrop>
  <LinksUpToDate>false</LinksUpToDate>
  <CharactersWithSpaces>2764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2023-01-06T00:34:00Z</dcterms:created>
  <dc:creator>WPS_1668067031</dc:creator>
  <cp:lastModifiedBy>WPS_1668067031</cp:lastModifiedBy>
  <dcterms:modified xsi:type="dcterms:W3CDTF">2023-01-20T00:55:11Z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DD754CC56836467D925932D8FABE6C65</vt:lpwstr>
  </property>
</Properties>
</file>