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华文中宋" w:hAnsi="华文中宋" w:eastAsia="华文中宋" w:cs="华文中宋"/>
          <w:i w:val="0"/>
          <w:iCs w:val="0"/>
          <w:caps w:val="0"/>
          <w:color w:val="333333"/>
          <w:spacing w:val="0"/>
          <w:sz w:val="44"/>
          <w:szCs w:val="44"/>
          <w:shd w:val="clear" w:fill="FFFFFF"/>
          <w:lang w:val="en-US" w:eastAsia="zh-CN"/>
        </w:rPr>
      </w:pPr>
      <w:r>
        <w:rPr>
          <w:rFonts w:hint="eastAsia" w:ascii="华文中宋" w:hAnsi="华文中宋" w:eastAsia="华文中宋" w:cs="华文中宋"/>
          <w:i w:val="0"/>
          <w:iCs w:val="0"/>
          <w:caps w:val="0"/>
          <w:color w:val="333333"/>
          <w:spacing w:val="0"/>
          <w:sz w:val="44"/>
          <w:szCs w:val="44"/>
          <w:shd w:val="clear" w:fill="FFFFFF"/>
          <w:lang w:eastAsia="zh-CN"/>
        </w:rPr>
        <w:t>霍邱县农业机械化发展中心</w:t>
      </w:r>
      <w:r>
        <w:rPr>
          <w:rFonts w:hint="eastAsia" w:ascii="华文中宋" w:hAnsi="华文中宋" w:eastAsia="华文中宋" w:cs="华文中宋"/>
          <w:i w:val="0"/>
          <w:iCs w:val="0"/>
          <w:caps w:val="0"/>
          <w:color w:val="333333"/>
          <w:spacing w:val="0"/>
          <w:sz w:val="44"/>
          <w:szCs w:val="44"/>
          <w:shd w:val="clear" w:fill="FFFFFF"/>
          <w:lang w:val="en-US" w:eastAsia="zh-CN"/>
        </w:rPr>
        <w:t>2022年度</w:t>
      </w: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华文中宋" w:hAnsi="华文中宋" w:eastAsia="华文中宋" w:cs="华文中宋"/>
          <w:i w:val="0"/>
          <w:iCs w:val="0"/>
          <w:caps w:val="0"/>
          <w:color w:val="333333"/>
          <w:spacing w:val="0"/>
          <w:sz w:val="44"/>
          <w:szCs w:val="44"/>
          <w:shd w:val="clear" w:fill="FFFFFF"/>
          <w:lang w:eastAsia="zh-CN"/>
        </w:rPr>
      </w:pPr>
      <w:r>
        <w:rPr>
          <w:rFonts w:hint="eastAsia" w:ascii="华文中宋" w:hAnsi="华文中宋" w:eastAsia="华文中宋" w:cs="华文中宋"/>
          <w:i w:val="0"/>
          <w:iCs w:val="0"/>
          <w:caps w:val="0"/>
          <w:color w:val="333333"/>
          <w:spacing w:val="0"/>
          <w:sz w:val="44"/>
          <w:szCs w:val="44"/>
          <w:shd w:val="clear" w:fill="FFFFFF"/>
          <w:lang w:eastAsia="zh-CN"/>
        </w:rPr>
        <w:t>政府信息公开工作年度报告</w:t>
      </w:r>
    </w:p>
    <w:p>
      <w:pPr>
        <w:keepNext w:val="0"/>
        <w:keepLines w:val="0"/>
        <w:pageBreakBefore w:val="0"/>
        <w:widowControl/>
        <w:kinsoku/>
        <w:wordWrap/>
        <w:overflowPunct/>
        <w:topLinePunct w:val="0"/>
        <w:autoSpaceDE/>
        <w:autoSpaceDN/>
        <w:bidi w:val="0"/>
        <w:adjustRightInd w:val="0"/>
        <w:snapToGrid/>
        <w:ind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本报告依据《中华人民共和国政府信息公开条例》（国务院第711号）《六安市公开办公室关于做好政府信息公开年度报告编制和发布工作的通知》（六政务公开办[2022]53号）要求，霍邱县农业机械化发展中心结合统计数据编制而成。报告的全文主要包括：主动公开、依申请公开、政府信息管理、政府信息公开平台建设、监督保障等内容，本报告中使用数据统计期限为</w:t>
      </w:r>
      <w:r>
        <w:rPr>
          <w:rFonts w:hint="default" w:ascii="仿宋_GB2312" w:hAnsi="仿宋_GB2312" w:eastAsia="仿宋_GB2312" w:cs="仿宋_GB2312"/>
          <w:i w:val="0"/>
          <w:iCs w:val="0"/>
          <w:caps w:val="0"/>
          <w:color w:val="333333"/>
          <w:spacing w:val="0"/>
          <w:sz w:val="32"/>
          <w:szCs w:val="32"/>
          <w:shd w:val="clear" w:fill="FFFFFF"/>
          <w:lang w:val="en-US" w:eastAsia="zh-CN"/>
        </w:rPr>
        <w:t>202</w:t>
      </w:r>
      <w:r>
        <w:rPr>
          <w:rFonts w:hint="eastAsia" w:ascii="仿宋_GB2312" w:hAnsi="仿宋_GB2312" w:eastAsia="仿宋_GB2312" w:cs="仿宋_GB2312"/>
          <w:i w:val="0"/>
          <w:iCs w:val="0"/>
          <w:caps w:val="0"/>
          <w:color w:val="333333"/>
          <w:spacing w:val="0"/>
          <w:sz w:val="32"/>
          <w:szCs w:val="32"/>
          <w:shd w:val="clear" w:fill="FFFFFF"/>
          <w:lang w:val="en-US" w:eastAsia="zh-CN"/>
        </w:rPr>
        <w:t>2年</w:t>
      </w:r>
      <w:r>
        <w:rPr>
          <w:rFonts w:hint="default" w:ascii="仿宋_GB2312" w:hAnsi="仿宋_GB2312" w:eastAsia="仿宋_GB2312" w:cs="仿宋_GB2312"/>
          <w:i w:val="0"/>
          <w:iCs w:val="0"/>
          <w:caps w:val="0"/>
          <w:color w:val="333333"/>
          <w:spacing w:val="0"/>
          <w:sz w:val="32"/>
          <w:szCs w:val="32"/>
          <w:shd w:val="clear" w:fill="FFFFFF"/>
          <w:lang w:val="en-US" w:eastAsia="zh-CN"/>
        </w:rPr>
        <w:t>1</w:t>
      </w:r>
      <w:r>
        <w:rPr>
          <w:rFonts w:hint="eastAsia" w:ascii="仿宋_GB2312" w:hAnsi="仿宋_GB2312" w:eastAsia="仿宋_GB2312" w:cs="仿宋_GB2312"/>
          <w:i w:val="0"/>
          <w:iCs w:val="0"/>
          <w:caps w:val="0"/>
          <w:color w:val="333333"/>
          <w:spacing w:val="0"/>
          <w:sz w:val="32"/>
          <w:szCs w:val="32"/>
          <w:shd w:val="clear" w:fill="FFFFFF"/>
          <w:lang w:val="en-US" w:eastAsia="zh-CN"/>
        </w:rPr>
        <w:t>月</w:t>
      </w:r>
      <w:r>
        <w:rPr>
          <w:rFonts w:hint="default" w:ascii="仿宋_GB2312" w:hAnsi="仿宋_GB2312" w:eastAsia="仿宋_GB2312" w:cs="仿宋_GB2312"/>
          <w:i w:val="0"/>
          <w:iCs w:val="0"/>
          <w:caps w:val="0"/>
          <w:color w:val="333333"/>
          <w:spacing w:val="0"/>
          <w:sz w:val="32"/>
          <w:szCs w:val="32"/>
          <w:shd w:val="clear" w:fill="FFFFFF"/>
          <w:lang w:val="en-US" w:eastAsia="zh-CN"/>
        </w:rPr>
        <w:t>1</w:t>
      </w:r>
      <w:r>
        <w:rPr>
          <w:rFonts w:hint="eastAsia" w:ascii="仿宋_GB2312" w:hAnsi="仿宋_GB2312" w:eastAsia="仿宋_GB2312" w:cs="仿宋_GB2312"/>
          <w:i w:val="0"/>
          <w:iCs w:val="0"/>
          <w:caps w:val="0"/>
          <w:color w:val="333333"/>
          <w:spacing w:val="0"/>
          <w:sz w:val="32"/>
          <w:szCs w:val="32"/>
          <w:shd w:val="clear" w:fill="FFFFFF"/>
          <w:lang w:val="en-US" w:eastAsia="zh-CN"/>
        </w:rPr>
        <w:t>日至</w:t>
      </w:r>
      <w:r>
        <w:rPr>
          <w:rFonts w:hint="default" w:ascii="仿宋_GB2312" w:hAnsi="仿宋_GB2312" w:eastAsia="仿宋_GB2312" w:cs="仿宋_GB2312"/>
          <w:i w:val="0"/>
          <w:iCs w:val="0"/>
          <w:caps w:val="0"/>
          <w:color w:val="333333"/>
          <w:spacing w:val="0"/>
          <w:sz w:val="32"/>
          <w:szCs w:val="32"/>
          <w:shd w:val="clear" w:fill="FFFFFF"/>
          <w:lang w:val="en-US" w:eastAsia="zh-CN"/>
        </w:rPr>
        <w:t>202</w:t>
      </w:r>
      <w:r>
        <w:rPr>
          <w:rFonts w:hint="eastAsia" w:ascii="仿宋_GB2312" w:hAnsi="仿宋_GB2312" w:eastAsia="仿宋_GB2312" w:cs="仿宋_GB2312"/>
          <w:i w:val="0"/>
          <w:iCs w:val="0"/>
          <w:caps w:val="0"/>
          <w:color w:val="333333"/>
          <w:spacing w:val="0"/>
          <w:sz w:val="32"/>
          <w:szCs w:val="32"/>
          <w:shd w:val="clear" w:fill="FFFFFF"/>
          <w:lang w:val="en-US" w:eastAsia="zh-CN"/>
        </w:rPr>
        <w:t>2年</w:t>
      </w:r>
      <w:r>
        <w:rPr>
          <w:rFonts w:hint="default" w:ascii="仿宋_GB2312" w:hAnsi="仿宋_GB2312" w:eastAsia="仿宋_GB2312" w:cs="仿宋_GB2312"/>
          <w:i w:val="0"/>
          <w:iCs w:val="0"/>
          <w:caps w:val="0"/>
          <w:color w:val="333333"/>
          <w:spacing w:val="0"/>
          <w:sz w:val="32"/>
          <w:szCs w:val="32"/>
          <w:shd w:val="clear" w:fill="FFFFFF"/>
          <w:lang w:val="en-US" w:eastAsia="zh-CN"/>
        </w:rPr>
        <w:t>12</w:t>
      </w:r>
      <w:r>
        <w:rPr>
          <w:rFonts w:hint="eastAsia" w:ascii="仿宋_GB2312" w:hAnsi="仿宋_GB2312" w:eastAsia="仿宋_GB2312" w:cs="仿宋_GB2312"/>
          <w:i w:val="0"/>
          <w:iCs w:val="0"/>
          <w:caps w:val="0"/>
          <w:color w:val="333333"/>
          <w:spacing w:val="0"/>
          <w:sz w:val="32"/>
          <w:szCs w:val="32"/>
          <w:shd w:val="clear" w:fill="FFFFFF"/>
          <w:lang w:val="en-US" w:eastAsia="zh-CN"/>
        </w:rPr>
        <w:t>月</w:t>
      </w:r>
      <w:r>
        <w:rPr>
          <w:rFonts w:hint="default" w:ascii="仿宋_GB2312" w:hAnsi="仿宋_GB2312" w:eastAsia="仿宋_GB2312" w:cs="仿宋_GB2312"/>
          <w:i w:val="0"/>
          <w:iCs w:val="0"/>
          <w:caps w:val="0"/>
          <w:color w:val="333333"/>
          <w:spacing w:val="0"/>
          <w:sz w:val="32"/>
          <w:szCs w:val="32"/>
          <w:shd w:val="clear" w:fill="FFFFFF"/>
          <w:lang w:val="en-US" w:eastAsia="zh-CN"/>
        </w:rPr>
        <w:t>31</w:t>
      </w:r>
      <w:r>
        <w:rPr>
          <w:rFonts w:hint="eastAsia" w:ascii="仿宋_GB2312" w:hAnsi="仿宋_GB2312" w:eastAsia="仿宋_GB2312" w:cs="仿宋_GB2312"/>
          <w:i w:val="0"/>
          <w:iCs w:val="0"/>
          <w:caps w:val="0"/>
          <w:color w:val="333333"/>
          <w:spacing w:val="0"/>
          <w:sz w:val="32"/>
          <w:szCs w:val="32"/>
          <w:shd w:val="clear" w:fill="FFFFFF"/>
          <w:lang w:val="en-US" w:eastAsia="zh-CN"/>
        </w:rPr>
        <w:t>日，报告的电子版可在霍邱县农业机械化发展中心政府信息公开网（地址：</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begin"/>
      </w:r>
      <w:r>
        <w:rPr>
          <w:rFonts w:hint="eastAsia" w:ascii="仿宋_GB2312" w:hAnsi="仿宋_GB2312" w:eastAsia="仿宋_GB2312" w:cs="仿宋_GB2312"/>
          <w:i w:val="0"/>
          <w:iCs w:val="0"/>
          <w:caps w:val="0"/>
          <w:color w:val="333333"/>
          <w:spacing w:val="0"/>
          <w:sz w:val="32"/>
          <w:szCs w:val="32"/>
          <w:shd w:val="clear" w:fill="FFFFFF"/>
          <w:lang w:val="en-US" w:eastAsia="zh-CN"/>
        </w:rPr>
        <w:instrText xml:space="preserve"> HYPERLINK "https://www.huoqiu.gov.cn/public/column/6600881?type=4&amp;action=list" </w:instrTex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separate"/>
      </w:r>
      <w:r>
        <w:rPr>
          <w:rStyle w:val="8"/>
          <w:rFonts w:hint="eastAsia" w:ascii="仿宋_GB2312" w:hAnsi="仿宋_GB2312" w:eastAsia="仿宋_GB2312" w:cs="仿宋_GB2312"/>
          <w:i w:val="0"/>
          <w:iCs w:val="0"/>
          <w:caps w:val="0"/>
          <w:color w:val="333333"/>
          <w:spacing w:val="0"/>
          <w:sz w:val="32"/>
          <w:szCs w:val="32"/>
          <w:shd w:val="clear" w:fill="FFFFFF"/>
          <w:lang w:val="en-US" w:eastAsia="zh-CN"/>
        </w:rPr>
        <w:t>https://www.huoqiu.gov.cn/public/column/6600881?type=4&amp;action=list</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end"/>
      </w:r>
      <w:r>
        <w:rPr>
          <w:rFonts w:hint="eastAsia" w:ascii="仿宋_GB2312" w:hAnsi="仿宋_GB2312" w:eastAsia="仿宋_GB2312" w:cs="仿宋_GB2312"/>
          <w:i w:val="0"/>
          <w:iCs w:val="0"/>
          <w:caps w:val="0"/>
          <w:color w:val="333333"/>
          <w:spacing w:val="0"/>
          <w:sz w:val="32"/>
          <w:szCs w:val="32"/>
          <w:shd w:val="clear" w:fill="FFFFFF"/>
          <w:lang w:val="en-US" w:eastAsia="zh-CN"/>
        </w:rPr>
        <w:t>）下载，如对本报告有疑问，请与霍邱县农业机械化发展中心联系（地址：城关镇蓼中路霍邱县农机化发展中心，邮编：</w:t>
      </w:r>
      <w:r>
        <w:rPr>
          <w:rFonts w:hint="default" w:ascii="仿宋_GB2312" w:hAnsi="仿宋_GB2312" w:eastAsia="仿宋_GB2312" w:cs="仿宋_GB2312"/>
          <w:i w:val="0"/>
          <w:iCs w:val="0"/>
          <w:caps w:val="0"/>
          <w:color w:val="333333"/>
          <w:spacing w:val="0"/>
          <w:sz w:val="32"/>
          <w:szCs w:val="32"/>
          <w:shd w:val="clear" w:fill="FFFFFF"/>
          <w:lang w:val="en-US" w:eastAsia="zh-CN"/>
        </w:rPr>
        <w:t>237400</w:t>
      </w:r>
      <w:r>
        <w:rPr>
          <w:rFonts w:hint="eastAsia" w:ascii="仿宋_GB2312" w:hAnsi="仿宋_GB2312" w:eastAsia="仿宋_GB2312" w:cs="仿宋_GB2312"/>
          <w:i w:val="0"/>
          <w:iCs w:val="0"/>
          <w:caps w:val="0"/>
          <w:color w:val="333333"/>
          <w:spacing w:val="0"/>
          <w:sz w:val="32"/>
          <w:szCs w:val="32"/>
          <w:shd w:val="clear" w:fill="FFFFFF"/>
          <w:lang w:val="en-US" w:eastAsia="zh-CN"/>
        </w:rPr>
        <w:t>，联系电话：</w:t>
      </w:r>
      <w:r>
        <w:rPr>
          <w:rFonts w:hint="default" w:ascii="仿宋_GB2312" w:hAnsi="仿宋_GB2312" w:eastAsia="仿宋_GB2312" w:cs="仿宋_GB2312"/>
          <w:i w:val="0"/>
          <w:iCs w:val="0"/>
          <w:caps w:val="0"/>
          <w:color w:val="333333"/>
          <w:spacing w:val="0"/>
          <w:sz w:val="32"/>
          <w:szCs w:val="32"/>
          <w:shd w:val="clear" w:fill="FFFFFF"/>
          <w:lang w:val="en-US" w:eastAsia="zh-CN"/>
        </w:rPr>
        <w:t>0564-6027193</w:t>
      </w:r>
      <w:r>
        <w:rPr>
          <w:rFonts w:hint="eastAsia" w:ascii="仿宋_GB2312" w:hAnsi="仿宋_GB2312" w:eastAsia="仿宋_GB2312" w:cs="仿宋_GB2312"/>
          <w:i w:val="0"/>
          <w:iCs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iCs w:val="0"/>
          <w:caps w:val="0"/>
          <w:color w:val="000000"/>
          <w:spacing w:val="0"/>
          <w:sz w:val="32"/>
          <w:szCs w:val="32"/>
          <w:shd w:val="clear" w:fill="FFFFFF"/>
          <w:lang w:eastAsia="zh-CN"/>
        </w:rPr>
      </w:pPr>
      <w:r>
        <w:rPr>
          <w:rFonts w:hint="eastAsia" w:ascii="黑体" w:hAnsi="黑体" w:eastAsia="黑体" w:cs="黑体"/>
          <w:i w:val="0"/>
          <w:iCs w:val="0"/>
          <w:caps w:val="0"/>
          <w:color w:val="000000"/>
          <w:spacing w:val="0"/>
          <w:sz w:val="32"/>
          <w:szCs w:val="32"/>
          <w:shd w:val="clear" w:fill="FFFFFF"/>
          <w:lang w:eastAsia="zh-CN"/>
        </w:rPr>
        <w:t>一、总体情况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2022年来，在县委、县政府的坚强领导下，霍邱县农业机械化发展中心积极借助互联网问政于民，紧紧围绕政府信息公开重点工作有关要求，重点关注当前农机中心工作和回应社会关切热点，加大主动公开力度，做好政策解读，持续深化重点领域信息公开，加强公开平台的建设力度，完善好信息公开的透明机制，不断提高政务公开的工作能力，有力推动了中心农机各项工作的开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华文楷体" w:hAnsi="华文楷体" w:eastAsia="华文楷体" w:cs="华文楷体"/>
          <w:b w:val="0"/>
          <w:bCs w:val="0"/>
          <w:i w:val="0"/>
          <w:iCs w:val="0"/>
          <w:caps w:val="0"/>
          <w:color w:val="333333"/>
          <w:spacing w:val="0"/>
          <w:sz w:val="32"/>
          <w:szCs w:val="32"/>
          <w:shd w:val="clear" w:fill="FFFFFF"/>
          <w:lang w:val="en-US" w:eastAsia="zh-CN"/>
        </w:rPr>
        <w:t>（一）主动公开。</w:t>
      </w:r>
      <w:r>
        <w:rPr>
          <w:rFonts w:hint="eastAsia" w:ascii="仿宋_GB2312" w:hAnsi="仿宋_GB2312" w:eastAsia="仿宋_GB2312" w:cs="仿宋_GB2312"/>
          <w:i w:val="0"/>
          <w:iCs w:val="0"/>
          <w:caps w:val="0"/>
          <w:color w:val="333333"/>
          <w:spacing w:val="0"/>
          <w:sz w:val="32"/>
          <w:szCs w:val="32"/>
          <w:shd w:val="clear" w:fill="FFFFFF"/>
          <w:lang w:val="en-US" w:eastAsia="zh-CN"/>
        </w:rPr>
        <w:t>2022年，主动公开政府信息159条。其中工作动态信息更新量21条，信息公开目录信息更新量138 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华文楷体" w:hAnsi="华文楷体" w:eastAsia="华文楷体" w:cs="华文楷体"/>
          <w:b w:val="0"/>
          <w:bCs w:val="0"/>
          <w:i w:val="0"/>
          <w:iCs w:val="0"/>
          <w:caps w:val="0"/>
          <w:color w:val="333333"/>
          <w:spacing w:val="0"/>
          <w:sz w:val="32"/>
          <w:szCs w:val="32"/>
          <w:shd w:val="clear" w:fill="FFFFFF"/>
          <w:lang w:val="en-US" w:eastAsia="zh-CN"/>
        </w:rPr>
        <w:t>（二）依申请公开。</w:t>
      </w:r>
      <w:r>
        <w:rPr>
          <w:rFonts w:hint="eastAsia" w:ascii="仿宋_GB2312" w:hAnsi="仿宋_GB2312" w:eastAsia="仿宋_GB2312" w:cs="仿宋_GB2312"/>
          <w:i w:val="0"/>
          <w:iCs w:val="0"/>
          <w:caps w:val="0"/>
          <w:color w:val="333333"/>
          <w:spacing w:val="0"/>
          <w:sz w:val="32"/>
          <w:szCs w:val="32"/>
          <w:shd w:val="clear" w:fill="FFFFFF"/>
          <w:lang w:val="en-US" w:eastAsia="zh-CN"/>
        </w:rPr>
        <w:t>2022年，我中心未收到线上线下等方式的依申请公开信息。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华文楷体" w:hAnsi="华文楷体" w:eastAsia="华文楷体" w:cs="华文楷体"/>
          <w:b w:val="0"/>
          <w:bCs w:val="0"/>
          <w:i w:val="0"/>
          <w:iCs w:val="0"/>
          <w:caps w:val="0"/>
          <w:color w:val="333333"/>
          <w:spacing w:val="0"/>
          <w:sz w:val="32"/>
          <w:szCs w:val="32"/>
          <w:shd w:val="clear" w:fill="FFFFFF"/>
          <w:lang w:val="en-US" w:eastAsia="zh-CN"/>
        </w:rPr>
        <w:t>（三）政府信息管理。</w:t>
      </w:r>
      <w:r>
        <w:rPr>
          <w:rFonts w:hint="eastAsia" w:ascii="仿宋_GB2312" w:hAnsi="仿宋_GB2312" w:eastAsia="仿宋_GB2312" w:cs="仿宋_GB2312"/>
          <w:i w:val="0"/>
          <w:iCs w:val="0"/>
          <w:caps w:val="0"/>
          <w:color w:val="333333"/>
          <w:spacing w:val="0"/>
          <w:sz w:val="32"/>
          <w:szCs w:val="32"/>
          <w:shd w:val="clear" w:fill="FFFFFF"/>
          <w:lang w:val="en-US" w:eastAsia="zh-CN"/>
        </w:rPr>
        <w:t>县农机中心成立了由中心主要负责人任组长、分管负责人任副组长，各科室负责人为成员的政府信息公开工作领导小组，办公室负责日常事务。发布信息严格执行“三审”制度，确保信息内容安全。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华文楷体" w:hAnsi="华文楷体" w:eastAsia="华文楷体" w:cs="华文楷体"/>
          <w:b w:val="0"/>
          <w:bCs w:val="0"/>
          <w:i w:val="0"/>
          <w:iCs w:val="0"/>
          <w:caps w:val="0"/>
          <w:color w:val="333333"/>
          <w:spacing w:val="0"/>
          <w:sz w:val="32"/>
          <w:szCs w:val="32"/>
          <w:shd w:val="clear" w:fill="FFFFFF"/>
          <w:lang w:val="en-US" w:eastAsia="zh-CN"/>
        </w:rPr>
        <w:t>（四）平台建设情况。</w:t>
      </w:r>
      <w:r>
        <w:rPr>
          <w:rFonts w:hint="eastAsia" w:ascii="仿宋_GB2312" w:hAnsi="仿宋_GB2312" w:eastAsia="仿宋_GB2312" w:cs="仿宋_GB2312"/>
          <w:i w:val="0"/>
          <w:iCs w:val="0"/>
          <w:caps w:val="0"/>
          <w:color w:val="333333"/>
          <w:spacing w:val="0"/>
          <w:sz w:val="32"/>
          <w:szCs w:val="32"/>
          <w:shd w:val="clear" w:fill="FFFFFF"/>
          <w:lang w:val="en-US" w:eastAsia="zh-CN"/>
        </w:rPr>
        <w:t>严格按照上级工作要求，及时调整政府信息公开目录，全年开展表述错误、个人隐私泄露专项排查12次，有力提升信息内容安全。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华文楷体" w:hAnsi="华文楷体" w:eastAsia="华文楷体" w:cs="华文楷体"/>
          <w:b w:val="0"/>
          <w:bCs w:val="0"/>
          <w:i w:val="0"/>
          <w:iCs w:val="0"/>
          <w:caps w:val="0"/>
          <w:color w:val="333333"/>
          <w:spacing w:val="0"/>
          <w:sz w:val="32"/>
          <w:szCs w:val="32"/>
          <w:shd w:val="clear" w:fill="FFFFFF"/>
          <w:lang w:val="en-US" w:eastAsia="zh-CN"/>
        </w:rPr>
        <w:t>（五）监督保障。</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进一步</w:t>
      </w:r>
      <w:r>
        <w:rPr>
          <w:rFonts w:hint="eastAsia" w:ascii="仿宋_GB2312" w:hAnsi="仿宋_GB2312" w:eastAsia="仿宋_GB2312" w:cs="仿宋_GB2312"/>
          <w:i w:val="0"/>
          <w:iCs w:val="0"/>
          <w:caps w:val="0"/>
          <w:color w:val="333333"/>
          <w:spacing w:val="0"/>
          <w:sz w:val="32"/>
          <w:szCs w:val="32"/>
          <w:shd w:val="clear" w:fill="FFFFFF"/>
          <w:lang w:val="en-US" w:eastAsia="zh-CN"/>
        </w:rPr>
        <w:t>健全政府信息公开工作考核制度，定期对政府信息公开工作进行考核、评议，积极安排经办人员参加相关工作培训。</w:t>
      </w:r>
    </w:p>
    <w:p>
      <w:pPr>
        <w:spacing w:line="60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二、主动公开政府信息情况</w:t>
      </w:r>
    </w:p>
    <w:tbl>
      <w:tblPr>
        <w:tblStyle w:val="6"/>
        <w:tblW w:w="8140" w:type="dxa"/>
        <w:jc w:val="center"/>
        <w:shd w:val="clear" w:color="auto" w:fill="auto"/>
        <w:tblLayout w:type="fixed"/>
        <w:tblCellMar>
          <w:top w:w="0" w:type="dxa"/>
          <w:left w:w="108" w:type="dxa"/>
          <w:bottom w:w="0" w:type="dxa"/>
          <w:right w:w="108" w:type="dxa"/>
        </w:tblCellMar>
      </w:tblPr>
      <w:tblGrid>
        <w:gridCol w:w="2953"/>
        <w:gridCol w:w="1830"/>
        <w:gridCol w:w="1476"/>
        <w:gridCol w:w="1881"/>
      </w:tblGrid>
      <w:tr>
        <w:tblPrEx>
          <w:shd w:val="clear" w:color="auto" w:fill="auto"/>
          <w:tblCellMar>
            <w:top w:w="0" w:type="dxa"/>
            <w:left w:w="108" w:type="dxa"/>
            <w:bottom w:w="0" w:type="dxa"/>
            <w:right w:w="108" w:type="dxa"/>
          </w:tblCellMar>
        </w:tblPrEx>
        <w:trPr>
          <w:trHeight w:val="495" w:hRule="atLeas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C6D9F1"/>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108" w:type="dxa"/>
            <w:bottom w:w="0" w:type="dxa"/>
            <w:right w:w="108" w:type="dxa"/>
          </w:tblCellMar>
        </w:tblPrEx>
        <w:trPr>
          <w:trHeight w:val="612" w:hRule="atLeast"/>
          <w:jc w:val="center"/>
        </w:trPr>
        <w:tc>
          <w:tcPr>
            <w:tcW w:w="295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宋体" w:hAnsi="宋体" w:eastAsia="宋体" w:cs="宋体"/>
                <w:color w:val="000000"/>
                <w:kern w:val="0"/>
                <w:sz w:val="20"/>
                <w:szCs w:val="20"/>
                <w:lang w:val="en-US" w:eastAsia="zh-CN" w:bidi="ar"/>
              </w:rPr>
              <w:t>信息内容</w:t>
            </w:r>
          </w:p>
        </w:tc>
        <w:tc>
          <w:tcPr>
            <w:tcW w:w="183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宋体" w:hAnsi="宋体" w:eastAsia="宋体" w:cs="宋体"/>
                <w:color w:val="000000"/>
                <w:kern w:val="0"/>
                <w:sz w:val="20"/>
                <w:szCs w:val="20"/>
                <w:lang w:val="en-US" w:eastAsia="zh-CN" w:bidi="ar"/>
              </w:rPr>
              <w:t>本年制发件数</w:t>
            </w:r>
          </w:p>
        </w:tc>
        <w:tc>
          <w:tcPr>
            <w:tcW w:w="14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宋体" w:hAnsi="宋体" w:eastAsia="宋体" w:cs="宋体"/>
                <w:color w:val="000000"/>
                <w:kern w:val="0"/>
                <w:sz w:val="20"/>
                <w:szCs w:val="20"/>
                <w:lang w:val="en-US" w:eastAsia="zh-CN" w:bidi="ar"/>
              </w:rPr>
              <w:t>本年废止件数</w:t>
            </w:r>
          </w:p>
        </w:tc>
        <w:tc>
          <w:tcPr>
            <w:tcW w:w="188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宋体" w:hAnsi="宋体" w:eastAsia="宋体" w:cs="宋体"/>
                <w:color w:val="000000"/>
                <w:kern w:val="0"/>
                <w:sz w:val="20"/>
                <w:szCs w:val="20"/>
                <w:lang w:val="en-US" w:eastAsia="zh-CN" w:bidi="ar"/>
              </w:rPr>
              <w:t>现行有效件数</w:t>
            </w:r>
          </w:p>
        </w:tc>
      </w:tr>
      <w:tr>
        <w:tblPrEx>
          <w:tblCellMar>
            <w:top w:w="0" w:type="dxa"/>
            <w:left w:w="108" w:type="dxa"/>
            <w:bottom w:w="0" w:type="dxa"/>
            <w:right w:w="108" w:type="dxa"/>
          </w:tblCellMar>
        </w:tblPrEx>
        <w:trPr>
          <w:trHeight w:val="523" w:hRule="atLeast"/>
          <w:jc w:val="center"/>
        </w:trPr>
        <w:tc>
          <w:tcPr>
            <w:tcW w:w="295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宋体" w:hAnsi="宋体" w:eastAsia="宋体" w:cs="宋体"/>
                <w:color w:val="000000"/>
                <w:kern w:val="0"/>
                <w:sz w:val="20"/>
                <w:szCs w:val="20"/>
                <w:lang w:val="en-US" w:eastAsia="zh-CN" w:bidi="ar"/>
              </w:rPr>
              <w:t>规章</w:t>
            </w:r>
          </w:p>
        </w:tc>
        <w:tc>
          <w:tcPr>
            <w:tcW w:w="183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14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宋体" w:hAnsi="Calibri" w:eastAsia="宋体" w:cs="Times New Roman"/>
                <w:color w:val="000000"/>
                <w:kern w:val="0"/>
                <w:sz w:val="20"/>
                <w:szCs w:val="20"/>
                <w:lang w:val="en-US" w:eastAsia="zh-CN" w:bidi="ar"/>
              </w:rPr>
              <w:t>0</w:t>
            </w:r>
          </w:p>
        </w:tc>
        <w:tc>
          <w:tcPr>
            <w:tcW w:w="188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CellMar>
            <w:top w:w="0" w:type="dxa"/>
            <w:left w:w="108" w:type="dxa"/>
            <w:bottom w:w="0" w:type="dxa"/>
            <w:right w:w="108" w:type="dxa"/>
          </w:tblCellMar>
        </w:tblPrEx>
        <w:trPr>
          <w:trHeight w:val="471" w:hRule="atLeast"/>
          <w:jc w:val="center"/>
        </w:trPr>
        <w:tc>
          <w:tcPr>
            <w:tcW w:w="295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宋体" w:hAnsi="宋体" w:eastAsia="宋体" w:cs="宋体"/>
                <w:color w:val="000000"/>
                <w:kern w:val="0"/>
                <w:sz w:val="20"/>
                <w:szCs w:val="20"/>
                <w:lang w:val="en-US" w:eastAsia="zh-CN" w:bidi="ar"/>
              </w:rPr>
              <w:t>规范性文件</w:t>
            </w:r>
          </w:p>
        </w:tc>
        <w:tc>
          <w:tcPr>
            <w:tcW w:w="18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eastAsia" w:eastAsiaTheme="minorEastAsia"/>
                <w:lang w:val="en-US" w:eastAsia="zh-CN"/>
              </w:rPr>
            </w:pPr>
            <w:r>
              <w:rPr>
                <w:rFonts w:hint="eastAsia"/>
                <w:lang w:val="en-US" w:eastAsia="zh-CN"/>
              </w:rPr>
              <w:t>0</w:t>
            </w:r>
          </w:p>
        </w:tc>
        <w:tc>
          <w:tcPr>
            <w:tcW w:w="14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eastAsia" w:eastAsiaTheme="minorEastAsia"/>
                <w:lang w:val="en-US" w:eastAsia="zh-CN"/>
              </w:rPr>
            </w:pPr>
            <w:r>
              <w:rPr>
                <w:rFonts w:hint="eastAsia"/>
                <w:lang w:val="en-US" w:eastAsia="zh-CN"/>
              </w:rPr>
              <w:t>0</w:t>
            </w:r>
          </w:p>
        </w:tc>
        <w:tc>
          <w:tcPr>
            <w:tcW w:w="188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default"/>
                <w:lang w:val="en-US"/>
              </w:rPr>
            </w:pPr>
            <w:r>
              <w:rPr>
                <w:rFonts w:hint="eastAsia" w:ascii="宋体" w:hAnsi="宋体" w:eastAsia="宋体" w:cs="宋体"/>
                <w:color w:val="000000"/>
                <w:kern w:val="0"/>
                <w:sz w:val="20"/>
                <w:szCs w:val="20"/>
                <w:lang w:val="en-US" w:eastAsia="zh-CN" w:bidi="ar"/>
              </w:rPr>
              <w:t>1</w:t>
            </w:r>
            <w:bookmarkStart w:id="0" w:name="_GoBack"/>
            <w:bookmarkEnd w:id="0"/>
          </w:p>
        </w:tc>
      </w:tr>
      <w:tr>
        <w:tblPrEx>
          <w:tblCellMar>
            <w:top w:w="0" w:type="dxa"/>
            <w:left w:w="108" w:type="dxa"/>
            <w:bottom w:w="0" w:type="dxa"/>
            <w:right w:w="108" w:type="dxa"/>
          </w:tblCellMar>
        </w:tblPrEx>
        <w:trPr>
          <w:trHeight w:val="480" w:hRule="atLeas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C6D9F1"/>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108" w:type="dxa"/>
            <w:bottom w:w="0" w:type="dxa"/>
            <w:right w:w="108" w:type="dxa"/>
          </w:tblCellMar>
        </w:tblPrEx>
        <w:trPr>
          <w:trHeight w:val="634" w:hRule="atLeast"/>
          <w:jc w:val="center"/>
        </w:trPr>
        <w:tc>
          <w:tcPr>
            <w:tcW w:w="295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宋体" w:hAnsi="宋体" w:eastAsia="宋体" w:cs="宋体"/>
                <w:color w:val="000000"/>
                <w:kern w:val="0"/>
                <w:sz w:val="20"/>
                <w:szCs w:val="20"/>
                <w:lang w:val="en-US" w:eastAsia="zh-CN" w:bidi="ar"/>
              </w:rPr>
              <w:t>信息内容</w:t>
            </w:r>
          </w:p>
        </w:tc>
        <w:tc>
          <w:tcPr>
            <w:tcW w:w="5187"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108" w:type="dxa"/>
            <w:bottom w:w="0" w:type="dxa"/>
            <w:right w:w="108" w:type="dxa"/>
          </w:tblCellMar>
        </w:tblPrEx>
        <w:trPr>
          <w:trHeight w:val="528" w:hRule="atLeast"/>
          <w:jc w:val="center"/>
        </w:trPr>
        <w:tc>
          <w:tcPr>
            <w:tcW w:w="295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宋体" w:hAnsi="宋体" w:eastAsia="宋体" w:cs="宋体"/>
                <w:color w:val="000000"/>
                <w:kern w:val="0"/>
                <w:sz w:val="20"/>
                <w:szCs w:val="20"/>
                <w:lang w:val="en-US" w:eastAsia="zh-CN" w:bidi="ar"/>
              </w:rPr>
              <w:t>行政许可</w:t>
            </w:r>
          </w:p>
        </w:tc>
        <w:tc>
          <w:tcPr>
            <w:tcW w:w="5187"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宋体" w:hAnsi="宋体" w:eastAsia="宋体" w:cs="宋体"/>
                <w:color w:val="000000"/>
                <w:kern w:val="0"/>
                <w:sz w:val="20"/>
                <w:szCs w:val="20"/>
                <w:lang w:val="en-US" w:eastAsia="zh-CN" w:bidi="ar"/>
              </w:rPr>
              <w:t>0</w:t>
            </w:r>
          </w:p>
        </w:tc>
      </w:tr>
      <w:tr>
        <w:tblPrEx>
          <w:tblCellMar>
            <w:top w:w="0" w:type="dxa"/>
            <w:left w:w="108" w:type="dxa"/>
            <w:bottom w:w="0" w:type="dxa"/>
            <w:right w:w="108" w:type="dxa"/>
          </w:tblCellMar>
        </w:tblPrEx>
        <w:trPr>
          <w:trHeight w:val="406" w:hRule="atLeas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C6D9F1"/>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108" w:type="dxa"/>
            <w:bottom w:w="0" w:type="dxa"/>
            <w:right w:w="108" w:type="dxa"/>
          </w:tblCellMar>
        </w:tblPrEx>
        <w:trPr>
          <w:trHeight w:val="634" w:hRule="atLeast"/>
          <w:jc w:val="center"/>
        </w:trPr>
        <w:tc>
          <w:tcPr>
            <w:tcW w:w="295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宋体" w:hAnsi="宋体" w:eastAsia="宋体" w:cs="宋体"/>
                <w:color w:val="000000"/>
                <w:kern w:val="0"/>
                <w:sz w:val="20"/>
                <w:szCs w:val="20"/>
                <w:lang w:val="en-US" w:eastAsia="zh-CN" w:bidi="ar"/>
              </w:rPr>
              <w:t>信息内容</w:t>
            </w:r>
          </w:p>
        </w:tc>
        <w:tc>
          <w:tcPr>
            <w:tcW w:w="5187"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108" w:type="dxa"/>
            <w:bottom w:w="0" w:type="dxa"/>
            <w:right w:w="108" w:type="dxa"/>
          </w:tblCellMar>
        </w:tblPrEx>
        <w:trPr>
          <w:trHeight w:val="445" w:hRule="atLeast"/>
          <w:jc w:val="center"/>
        </w:trPr>
        <w:tc>
          <w:tcPr>
            <w:tcW w:w="295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宋体" w:hAnsi="宋体" w:eastAsia="宋体" w:cs="宋体"/>
                <w:color w:val="000000"/>
                <w:kern w:val="0"/>
                <w:sz w:val="20"/>
                <w:szCs w:val="20"/>
                <w:lang w:val="en-US" w:eastAsia="zh-CN" w:bidi="ar"/>
              </w:rPr>
              <w:t>行政处罚</w:t>
            </w:r>
          </w:p>
        </w:tc>
        <w:tc>
          <w:tcPr>
            <w:tcW w:w="5187"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eastAsia" w:eastAsiaTheme="minorEastAsia"/>
                <w:lang w:val="en-US" w:eastAsia="zh-CN"/>
              </w:rPr>
            </w:pPr>
            <w:r>
              <w:rPr>
                <w:rFonts w:hint="eastAsia"/>
                <w:lang w:val="en-US" w:eastAsia="zh-CN"/>
              </w:rPr>
              <w:t>0</w:t>
            </w:r>
          </w:p>
        </w:tc>
      </w:tr>
      <w:tr>
        <w:tblPrEx>
          <w:tblCellMar>
            <w:top w:w="0" w:type="dxa"/>
            <w:left w:w="108" w:type="dxa"/>
            <w:bottom w:w="0" w:type="dxa"/>
            <w:right w:w="108" w:type="dxa"/>
          </w:tblCellMar>
        </w:tblPrEx>
        <w:trPr>
          <w:trHeight w:val="409" w:hRule="atLeast"/>
          <w:jc w:val="center"/>
        </w:trPr>
        <w:tc>
          <w:tcPr>
            <w:tcW w:w="295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宋体" w:hAnsi="宋体" w:eastAsia="宋体" w:cs="宋体"/>
                <w:color w:val="000000"/>
                <w:kern w:val="0"/>
                <w:sz w:val="20"/>
                <w:szCs w:val="20"/>
                <w:lang w:val="en-US" w:eastAsia="zh-CN" w:bidi="ar"/>
              </w:rPr>
              <w:t>行政强制</w:t>
            </w:r>
          </w:p>
        </w:tc>
        <w:tc>
          <w:tcPr>
            <w:tcW w:w="5187"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eastAsia" w:eastAsiaTheme="minorEastAsia"/>
                <w:lang w:val="en-US" w:eastAsia="zh-CN"/>
              </w:rPr>
            </w:pPr>
            <w:r>
              <w:rPr>
                <w:rFonts w:hint="eastAsia"/>
                <w:lang w:val="en-US" w:eastAsia="zh-CN"/>
              </w:rPr>
              <w:t>0</w:t>
            </w:r>
          </w:p>
        </w:tc>
      </w:tr>
      <w:tr>
        <w:tblPrEx>
          <w:tblCellMar>
            <w:top w:w="0" w:type="dxa"/>
            <w:left w:w="108" w:type="dxa"/>
            <w:bottom w:w="0" w:type="dxa"/>
            <w:right w:w="108" w:type="dxa"/>
          </w:tblCellMar>
        </w:tblPrEx>
        <w:trPr>
          <w:trHeight w:val="474" w:hRule="atLeas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C6D9F1"/>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108" w:type="dxa"/>
            <w:bottom w:w="0" w:type="dxa"/>
            <w:right w:w="108" w:type="dxa"/>
          </w:tblCellMar>
        </w:tblPrEx>
        <w:trPr>
          <w:trHeight w:val="552" w:hRule="atLeast"/>
          <w:jc w:val="center"/>
        </w:trPr>
        <w:tc>
          <w:tcPr>
            <w:tcW w:w="295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宋体" w:hAnsi="宋体" w:eastAsia="宋体" w:cs="宋体"/>
                <w:color w:val="000000"/>
                <w:kern w:val="0"/>
                <w:sz w:val="20"/>
                <w:szCs w:val="20"/>
                <w:lang w:val="en-US" w:eastAsia="zh-CN" w:bidi="ar"/>
              </w:rPr>
              <w:t>信息内容</w:t>
            </w:r>
          </w:p>
        </w:tc>
        <w:tc>
          <w:tcPr>
            <w:tcW w:w="5187" w:type="dxa"/>
            <w:gridSpan w:val="3"/>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rFonts w:hint="eastAsia" w:eastAsiaTheme="minorEastAsia"/>
                <w:lang w:eastAsia="zh-CN"/>
              </w:rPr>
            </w:pPr>
            <w:r>
              <w:rPr>
                <w:rFonts w:hint="eastAsia"/>
                <w:sz w:val="20"/>
                <w:szCs w:val="22"/>
                <w:lang w:eastAsia="zh-CN"/>
              </w:rPr>
              <w:t>本年收费金额（单位：万元）</w:t>
            </w:r>
          </w:p>
        </w:tc>
      </w:tr>
      <w:tr>
        <w:tblPrEx>
          <w:tblCellMar>
            <w:top w:w="0" w:type="dxa"/>
            <w:left w:w="108" w:type="dxa"/>
            <w:bottom w:w="0" w:type="dxa"/>
            <w:right w:w="108" w:type="dxa"/>
          </w:tblCellMar>
        </w:tblPrEx>
        <w:trPr>
          <w:trHeight w:val="724" w:hRule="atLeast"/>
          <w:jc w:val="center"/>
        </w:trPr>
        <w:tc>
          <w:tcPr>
            <w:tcW w:w="295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pPr>
            <w:r>
              <w:rPr>
                <w:rFonts w:hint="eastAsia" w:ascii="宋体" w:hAnsi="宋体" w:eastAsia="宋体" w:cs="宋体"/>
                <w:color w:val="000000"/>
                <w:kern w:val="0"/>
                <w:sz w:val="20"/>
                <w:szCs w:val="20"/>
                <w:lang w:val="en-US" w:eastAsia="zh-CN" w:bidi="ar"/>
              </w:rPr>
              <w:t>行政事业性收费</w:t>
            </w:r>
          </w:p>
        </w:tc>
        <w:tc>
          <w:tcPr>
            <w:tcW w:w="5187" w:type="dxa"/>
            <w:gridSpan w:val="3"/>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pPr>
            <w:r>
              <w:rPr>
                <w:rFonts w:hint="eastAsia" w:ascii="宋体" w:hAnsi="宋体" w:eastAsia="宋体" w:cs="宋体"/>
                <w:color w:val="000000"/>
                <w:kern w:val="0"/>
                <w:sz w:val="20"/>
                <w:szCs w:val="20"/>
                <w:lang w:val="en-US" w:eastAsia="zh-CN" w:bidi="ar"/>
              </w:rPr>
              <w:t>0</w:t>
            </w:r>
            <w:r>
              <w:rPr>
                <w:rFonts w:hint="eastAsia" w:ascii="宋体" w:hAnsi="Calibri" w:eastAsia="宋体" w:cs="Times New Roman"/>
                <w:color w:val="000000"/>
                <w:kern w:val="0"/>
                <w:sz w:val="20"/>
                <w:szCs w:val="20"/>
                <w:lang w:val="en-US" w:eastAsia="zh-CN" w:bidi="ar"/>
              </w:rPr>
              <w:t> </w:t>
            </w:r>
          </w:p>
        </w:tc>
      </w:tr>
    </w:tbl>
    <w:p>
      <w:pPr>
        <w:spacing w:line="60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三、收到和处理政府信息公开申请情况</w:t>
      </w:r>
    </w:p>
    <w:tbl>
      <w:tblPr>
        <w:tblStyle w:val="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94"/>
        <w:gridCol w:w="855"/>
        <w:gridCol w:w="2130"/>
        <w:gridCol w:w="825"/>
        <w:gridCol w:w="765"/>
        <w:gridCol w:w="765"/>
        <w:gridCol w:w="825"/>
        <w:gridCol w:w="990"/>
        <w:gridCol w:w="720"/>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3479"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（本列数据的勾稽关系为：第一项加第二项之和，等于第三项加第四项之和）</w:t>
            </w:r>
          </w:p>
        </w:tc>
        <w:tc>
          <w:tcPr>
            <w:tcW w:w="5592"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000000" w:themeColor="text1"/>
                <w:sz w:val="21"/>
                <w:szCs w:val="21"/>
                <w14:textFill>
                  <w14:solidFill>
                    <w14:schemeClr w14:val="tx1"/>
                  </w14:solidFill>
                </w14:textFill>
              </w:rPr>
            </w:pPr>
          </w:p>
        </w:tc>
        <w:tc>
          <w:tcPr>
            <w:tcW w:w="825"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自然人</w:t>
            </w:r>
          </w:p>
        </w:tc>
        <w:tc>
          <w:tcPr>
            <w:tcW w:w="4065"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法人或其他组织</w:t>
            </w:r>
          </w:p>
        </w:tc>
        <w:tc>
          <w:tcPr>
            <w:tcW w:w="702"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000000" w:themeColor="text1"/>
                <w:sz w:val="21"/>
                <w:szCs w:val="21"/>
                <w14:textFill>
                  <w14:solidFill>
                    <w14:schemeClr w14:val="tx1"/>
                  </w14:solidFill>
                </w14:textFill>
              </w:rPr>
            </w:pPr>
          </w:p>
        </w:tc>
        <w:tc>
          <w:tcPr>
            <w:tcW w:w="825" w:type="dxa"/>
            <w:vMerge w:val="continue"/>
            <w:tcBorders>
              <w:top w:val="nil"/>
              <w:left w:val="nil"/>
              <w:bottom w:val="single" w:color="auto" w:sz="4" w:space="0"/>
              <w:right w:val="single" w:color="auto" w:sz="4" w:space="0"/>
            </w:tcBorders>
            <w:shd w:val="clear" w:color="auto" w:fill="auto"/>
            <w:vAlign w:val="center"/>
          </w:tcPr>
          <w:p>
            <w:pPr>
              <w:jc w:val="left"/>
              <w:rPr>
                <w:rFonts w:hint="eastAsia" w:ascii="宋体" w:hAnsi="宋体" w:eastAsia="宋体" w:cs="宋体"/>
                <w:color w:val="000000" w:themeColor="text1"/>
                <w:sz w:val="21"/>
                <w:szCs w:val="21"/>
                <w14:textFill>
                  <w14:solidFill>
                    <w14:schemeClr w14:val="tx1"/>
                  </w14:solidFill>
                </w14:textFill>
              </w:rPr>
            </w:pP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商业企业</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科研机构</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社会公益组织</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法律服务机构</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其他</w:t>
            </w:r>
          </w:p>
        </w:tc>
        <w:tc>
          <w:tcPr>
            <w:tcW w:w="702" w:type="dxa"/>
            <w:vMerge w:val="continue"/>
            <w:tcBorders>
              <w:top w:val="single" w:color="auto" w:sz="4" w:space="0"/>
              <w:left w:val="nil"/>
              <w:bottom w:val="single" w:color="auto" w:sz="4" w:space="0"/>
              <w:right w:val="single" w:color="auto" w:sz="4" w:space="0"/>
            </w:tcBorders>
            <w:shd w:val="clear" w:color="auto" w:fill="auto"/>
            <w:vAlign w:val="center"/>
          </w:tcPr>
          <w:p>
            <w:pPr>
              <w:jc w:val="left"/>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一、本年新收政府信息公开申请数量</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二、上年结转政府信息公开申请数量</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三、本年度办理结果</w:t>
            </w:r>
          </w:p>
        </w:tc>
        <w:tc>
          <w:tcPr>
            <w:tcW w:w="29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rPr>
                <w:color w:val="000000" w:themeColor="text1"/>
                <w14:textFill>
                  <w14:solidFill>
                    <w14:schemeClr w14:val="tx1"/>
                  </w14:solidFill>
                </w14:textFill>
              </w:rPr>
            </w:pPr>
            <w:r>
              <w:rPr>
                <w:rFonts w:ascii="楷体" w:hAnsi="楷体" w:eastAsia="楷体" w:cs="楷体"/>
                <w:color w:val="000000" w:themeColor="text1"/>
                <w:kern w:val="2"/>
                <w:sz w:val="20"/>
                <w:szCs w:val="20"/>
                <w:lang w:val="en-US" w:eastAsia="zh-CN" w:bidi="ar"/>
                <w14:textFill>
                  <w14:solidFill>
                    <w14:schemeClr w14:val="tx1"/>
                  </w14:solidFill>
                </w14:textFill>
              </w:rPr>
              <w:t>（一）予以公开</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000000" w:themeColor="text1"/>
                <w:sz w:val="21"/>
                <w:szCs w:val="21"/>
                <w14:textFill>
                  <w14:solidFill>
                    <w14:schemeClr w14:val="tx1"/>
                  </w14:solidFill>
                </w14:textFill>
              </w:rPr>
            </w:pPr>
          </w:p>
        </w:tc>
        <w:tc>
          <w:tcPr>
            <w:tcW w:w="29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rPr>
                <w:color w:val="000000" w:themeColor="text1"/>
                <w14:textFill>
                  <w14:solidFill>
                    <w14:schemeClr w14:val="tx1"/>
                  </w14:solidFill>
                </w14:textFill>
              </w:rPr>
            </w:pPr>
            <w:r>
              <w:rPr>
                <w:rFonts w:hint="eastAsia" w:ascii="楷体" w:hAnsi="楷体" w:eastAsia="楷体" w:cs="楷体"/>
                <w:color w:val="000000" w:themeColor="text1"/>
                <w:kern w:val="2"/>
                <w:sz w:val="20"/>
                <w:szCs w:val="20"/>
                <w:lang w:val="en-US" w:eastAsia="zh-CN" w:bidi="ar"/>
                <w14:textFill>
                  <w14:solidFill>
                    <w14:schemeClr w14:val="tx1"/>
                  </w14:solidFill>
                </w14:textFill>
              </w:rPr>
              <w:t>（二）部分公开（区分处理的，只计这一情形，不计其他情形）</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000000" w:themeColor="text1"/>
                <w:sz w:val="21"/>
                <w:szCs w:val="21"/>
                <w14:textFill>
                  <w14:solidFill>
                    <w14:schemeClr w14:val="tx1"/>
                  </w14:solidFill>
                </w14:textFill>
              </w:rPr>
            </w:pPr>
          </w:p>
        </w:tc>
        <w:tc>
          <w:tcPr>
            <w:tcW w:w="855"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rPr>
                <w:color w:val="000000" w:themeColor="text1"/>
                <w14:textFill>
                  <w14:solidFill>
                    <w14:schemeClr w14:val="tx1"/>
                  </w14:solidFill>
                </w14:textFill>
              </w:rPr>
            </w:pPr>
            <w:r>
              <w:rPr>
                <w:rFonts w:hint="eastAsia" w:ascii="楷体" w:hAnsi="楷体" w:eastAsia="楷体" w:cs="楷体"/>
                <w:color w:val="000000" w:themeColor="text1"/>
                <w:kern w:val="2"/>
                <w:sz w:val="20"/>
                <w:szCs w:val="20"/>
                <w:lang w:val="en-US" w:eastAsia="zh-CN" w:bidi="ar"/>
                <w14:textFill>
                  <w14:solidFill>
                    <w14:schemeClr w14:val="tx1"/>
                  </w14:solidFill>
                </w14:textFill>
              </w:rPr>
              <w:t>（三）不予公开</w:t>
            </w: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rPr>
                <w:color w:val="000000" w:themeColor="text1"/>
                <w14:textFill>
                  <w14:solidFill>
                    <w14:schemeClr w14:val="tx1"/>
                  </w14:solidFill>
                </w14:textFill>
              </w:rPr>
            </w:pPr>
            <w:r>
              <w:rPr>
                <w:rFonts w:hint="eastAsia" w:ascii="楷体" w:hAnsi="楷体" w:eastAsia="楷体" w:cs="楷体"/>
                <w:color w:val="000000" w:themeColor="text1"/>
                <w:kern w:val="2"/>
                <w:sz w:val="20"/>
                <w:szCs w:val="20"/>
                <w:lang w:val="en-US" w:eastAsia="zh-CN" w:bidi="ar"/>
                <w14:textFill>
                  <w14:solidFill>
                    <w14:schemeClr w14:val="tx1"/>
                  </w14:solidFill>
                </w14:textFill>
              </w:rPr>
              <w:t>1.属于国家秘密</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000000" w:themeColor="text1"/>
                <w:sz w:val="21"/>
                <w:szCs w:val="21"/>
                <w14:textFill>
                  <w14:solidFill>
                    <w14:schemeClr w14:val="tx1"/>
                  </w14:solidFill>
                </w14:textFill>
              </w:rPr>
            </w:pPr>
          </w:p>
        </w:tc>
        <w:tc>
          <w:tcPr>
            <w:tcW w:w="855" w:type="dxa"/>
            <w:vMerge w:val="continue"/>
            <w:tcBorders>
              <w:top w:val="nil"/>
              <w:left w:val="nil"/>
              <w:bottom w:val="single" w:color="auto" w:sz="4" w:space="0"/>
              <w:right w:val="single" w:color="auto" w:sz="4" w:space="0"/>
            </w:tcBorders>
            <w:shd w:val="clear" w:color="auto" w:fill="auto"/>
            <w:vAlign w:val="center"/>
          </w:tcPr>
          <w:p>
            <w:pPr>
              <w:jc w:val="left"/>
              <w:rPr>
                <w:rFonts w:hint="eastAsia" w:ascii="宋体" w:hAnsi="宋体" w:eastAsia="宋体" w:cs="宋体"/>
                <w:color w:val="000000" w:themeColor="text1"/>
                <w:sz w:val="21"/>
                <w:szCs w:val="21"/>
                <w14:textFill>
                  <w14:solidFill>
                    <w14:schemeClr w14:val="tx1"/>
                  </w14:solidFill>
                </w14:textFill>
              </w:rPr>
            </w:pP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rPr>
                <w:color w:val="000000" w:themeColor="text1"/>
                <w14:textFill>
                  <w14:solidFill>
                    <w14:schemeClr w14:val="tx1"/>
                  </w14:solidFill>
                </w14:textFill>
              </w:rPr>
            </w:pPr>
            <w:r>
              <w:rPr>
                <w:rFonts w:hint="eastAsia" w:ascii="楷体" w:hAnsi="楷体" w:eastAsia="楷体" w:cs="楷体"/>
                <w:color w:val="000000" w:themeColor="text1"/>
                <w:kern w:val="2"/>
                <w:sz w:val="20"/>
                <w:szCs w:val="20"/>
                <w:lang w:val="en-US" w:eastAsia="zh-CN" w:bidi="ar"/>
                <w14:textFill>
                  <w14:solidFill>
                    <w14:schemeClr w14:val="tx1"/>
                  </w14:solidFill>
                </w14:textFill>
              </w:rPr>
              <w:t>2.其他法律行政法规禁止公开</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000000" w:themeColor="text1"/>
                <w:sz w:val="21"/>
                <w:szCs w:val="21"/>
                <w14:textFill>
                  <w14:solidFill>
                    <w14:schemeClr w14:val="tx1"/>
                  </w14:solidFill>
                </w14:textFill>
              </w:rPr>
            </w:pPr>
          </w:p>
        </w:tc>
        <w:tc>
          <w:tcPr>
            <w:tcW w:w="855" w:type="dxa"/>
            <w:vMerge w:val="continue"/>
            <w:tcBorders>
              <w:top w:val="nil"/>
              <w:left w:val="nil"/>
              <w:bottom w:val="single" w:color="auto" w:sz="4" w:space="0"/>
              <w:right w:val="single" w:color="auto" w:sz="4" w:space="0"/>
            </w:tcBorders>
            <w:shd w:val="clear" w:color="auto" w:fill="auto"/>
            <w:vAlign w:val="center"/>
          </w:tcPr>
          <w:p>
            <w:pPr>
              <w:jc w:val="left"/>
              <w:rPr>
                <w:rFonts w:hint="eastAsia" w:ascii="宋体" w:hAnsi="宋体" w:eastAsia="宋体" w:cs="宋体"/>
                <w:color w:val="000000" w:themeColor="text1"/>
                <w:sz w:val="21"/>
                <w:szCs w:val="21"/>
                <w14:textFill>
                  <w14:solidFill>
                    <w14:schemeClr w14:val="tx1"/>
                  </w14:solidFill>
                </w14:textFill>
              </w:rPr>
            </w:pP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rPr>
                <w:color w:val="000000" w:themeColor="text1"/>
                <w14:textFill>
                  <w14:solidFill>
                    <w14:schemeClr w14:val="tx1"/>
                  </w14:solidFill>
                </w14:textFill>
              </w:rPr>
            </w:pPr>
            <w:r>
              <w:rPr>
                <w:rFonts w:hint="eastAsia" w:ascii="楷体" w:hAnsi="楷体" w:eastAsia="楷体" w:cs="楷体"/>
                <w:color w:val="000000" w:themeColor="text1"/>
                <w:kern w:val="2"/>
                <w:sz w:val="20"/>
                <w:szCs w:val="20"/>
                <w:lang w:val="en-US" w:eastAsia="zh-CN" w:bidi="ar"/>
                <w14:textFill>
                  <w14:solidFill>
                    <w14:schemeClr w14:val="tx1"/>
                  </w14:solidFill>
                </w14:textFill>
              </w:rPr>
              <w:t>3.危及“三安全一稳定”</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000000" w:themeColor="text1"/>
                <w:sz w:val="21"/>
                <w:szCs w:val="21"/>
                <w14:textFill>
                  <w14:solidFill>
                    <w14:schemeClr w14:val="tx1"/>
                  </w14:solidFill>
                </w14:textFill>
              </w:rPr>
            </w:pPr>
          </w:p>
        </w:tc>
        <w:tc>
          <w:tcPr>
            <w:tcW w:w="855" w:type="dxa"/>
            <w:vMerge w:val="continue"/>
            <w:tcBorders>
              <w:top w:val="nil"/>
              <w:left w:val="nil"/>
              <w:bottom w:val="single" w:color="auto" w:sz="4" w:space="0"/>
              <w:right w:val="single" w:color="auto" w:sz="4" w:space="0"/>
            </w:tcBorders>
            <w:shd w:val="clear" w:color="auto" w:fill="auto"/>
            <w:vAlign w:val="center"/>
          </w:tcPr>
          <w:p>
            <w:pPr>
              <w:jc w:val="left"/>
              <w:rPr>
                <w:rFonts w:hint="eastAsia" w:ascii="宋体" w:hAnsi="宋体" w:eastAsia="宋体" w:cs="宋体"/>
                <w:color w:val="000000" w:themeColor="text1"/>
                <w:sz w:val="21"/>
                <w:szCs w:val="21"/>
                <w14:textFill>
                  <w14:solidFill>
                    <w14:schemeClr w14:val="tx1"/>
                  </w14:solidFill>
                </w14:textFill>
              </w:rPr>
            </w:pP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rPr>
                <w:color w:val="000000" w:themeColor="text1"/>
                <w14:textFill>
                  <w14:solidFill>
                    <w14:schemeClr w14:val="tx1"/>
                  </w14:solidFill>
                </w14:textFill>
              </w:rPr>
            </w:pPr>
            <w:r>
              <w:rPr>
                <w:rFonts w:hint="eastAsia" w:ascii="楷体" w:hAnsi="楷体" w:eastAsia="楷体" w:cs="楷体"/>
                <w:color w:val="000000" w:themeColor="text1"/>
                <w:kern w:val="2"/>
                <w:sz w:val="20"/>
                <w:szCs w:val="20"/>
                <w:lang w:val="en-US" w:eastAsia="zh-CN" w:bidi="ar"/>
                <w14:textFill>
                  <w14:solidFill>
                    <w14:schemeClr w14:val="tx1"/>
                  </w14:solidFill>
                </w14:textFill>
              </w:rPr>
              <w:t>4.保护第三方合法权益</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000000" w:themeColor="text1"/>
                <w:sz w:val="21"/>
                <w:szCs w:val="21"/>
                <w14:textFill>
                  <w14:solidFill>
                    <w14:schemeClr w14:val="tx1"/>
                  </w14:solidFill>
                </w14:textFill>
              </w:rPr>
            </w:pPr>
          </w:p>
        </w:tc>
        <w:tc>
          <w:tcPr>
            <w:tcW w:w="855" w:type="dxa"/>
            <w:vMerge w:val="continue"/>
            <w:tcBorders>
              <w:top w:val="nil"/>
              <w:left w:val="nil"/>
              <w:bottom w:val="single" w:color="auto" w:sz="4" w:space="0"/>
              <w:right w:val="single" w:color="auto" w:sz="4" w:space="0"/>
            </w:tcBorders>
            <w:shd w:val="clear" w:color="auto" w:fill="auto"/>
            <w:vAlign w:val="center"/>
          </w:tcPr>
          <w:p>
            <w:pPr>
              <w:jc w:val="left"/>
              <w:rPr>
                <w:rFonts w:hint="eastAsia" w:ascii="宋体" w:hAnsi="宋体" w:eastAsia="宋体" w:cs="宋体"/>
                <w:color w:val="000000" w:themeColor="text1"/>
                <w:sz w:val="21"/>
                <w:szCs w:val="21"/>
                <w14:textFill>
                  <w14:solidFill>
                    <w14:schemeClr w14:val="tx1"/>
                  </w14:solidFill>
                </w14:textFill>
              </w:rPr>
            </w:pP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rPr>
                <w:color w:val="000000" w:themeColor="text1"/>
                <w14:textFill>
                  <w14:solidFill>
                    <w14:schemeClr w14:val="tx1"/>
                  </w14:solidFill>
                </w14:textFill>
              </w:rPr>
            </w:pPr>
            <w:r>
              <w:rPr>
                <w:rFonts w:hint="eastAsia" w:ascii="楷体" w:hAnsi="楷体" w:eastAsia="楷体" w:cs="楷体"/>
                <w:color w:val="000000" w:themeColor="text1"/>
                <w:kern w:val="2"/>
                <w:sz w:val="20"/>
                <w:szCs w:val="20"/>
                <w:lang w:val="en-US" w:eastAsia="zh-CN" w:bidi="ar"/>
                <w14:textFill>
                  <w14:solidFill>
                    <w14:schemeClr w14:val="tx1"/>
                  </w14:solidFill>
                </w14:textFill>
              </w:rPr>
              <w:t>5.属于三类内部事务信息</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000000" w:themeColor="text1"/>
                <w:sz w:val="21"/>
                <w:szCs w:val="21"/>
                <w14:textFill>
                  <w14:solidFill>
                    <w14:schemeClr w14:val="tx1"/>
                  </w14:solidFill>
                </w14:textFill>
              </w:rPr>
            </w:pPr>
          </w:p>
        </w:tc>
        <w:tc>
          <w:tcPr>
            <w:tcW w:w="855" w:type="dxa"/>
            <w:vMerge w:val="continue"/>
            <w:tcBorders>
              <w:top w:val="nil"/>
              <w:left w:val="nil"/>
              <w:bottom w:val="single" w:color="auto" w:sz="4" w:space="0"/>
              <w:right w:val="single" w:color="auto" w:sz="4" w:space="0"/>
            </w:tcBorders>
            <w:shd w:val="clear" w:color="auto" w:fill="auto"/>
            <w:vAlign w:val="center"/>
          </w:tcPr>
          <w:p>
            <w:pPr>
              <w:jc w:val="left"/>
              <w:rPr>
                <w:rFonts w:hint="eastAsia" w:ascii="宋体" w:hAnsi="宋体" w:eastAsia="宋体" w:cs="宋体"/>
                <w:color w:val="000000" w:themeColor="text1"/>
                <w:sz w:val="21"/>
                <w:szCs w:val="21"/>
                <w14:textFill>
                  <w14:solidFill>
                    <w14:schemeClr w14:val="tx1"/>
                  </w14:solidFill>
                </w14:textFill>
              </w:rPr>
            </w:pP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rPr>
                <w:color w:val="000000" w:themeColor="text1"/>
                <w14:textFill>
                  <w14:solidFill>
                    <w14:schemeClr w14:val="tx1"/>
                  </w14:solidFill>
                </w14:textFill>
              </w:rPr>
            </w:pPr>
            <w:r>
              <w:rPr>
                <w:rFonts w:hint="eastAsia" w:ascii="楷体" w:hAnsi="楷体" w:eastAsia="楷体" w:cs="楷体"/>
                <w:color w:val="000000" w:themeColor="text1"/>
                <w:kern w:val="2"/>
                <w:sz w:val="20"/>
                <w:szCs w:val="20"/>
                <w:lang w:val="en-US" w:eastAsia="zh-CN" w:bidi="ar"/>
                <w14:textFill>
                  <w14:solidFill>
                    <w14:schemeClr w14:val="tx1"/>
                  </w14:solidFill>
                </w14:textFill>
              </w:rPr>
              <w:t>6.属于四类过程性信息</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000000" w:themeColor="text1"/>
                <w:sz w:val="21"/>
                <w:szCs w:val="21"/>
                <w14:textFill>
                  <w14:solidFill>
                    <w14:schemeClr w14:val="tx1"/>
                  </w14:solidFill>
                </w14:textFill>
              </w:rPr>
            </w:pPr>
          </w:p>
        </w:tc>
        <w:tc>
          <w:tcPr>
            <w:tcW w:w="855" w:type="dxa"/>
            <w:vMerge w:val="continue"/>
            <w:tcBorders>
              <w:top w:val="nil"/>
              <w:left w:val="nil"/>
              <w:bottom w:val="single" w:color="auto" w:sz="4" w:space="0"/>
              <w:right w:val="single" w:color="auto" w:sz="4" w:space="0"/>
            </w:tcBorders>
            <w:shd w:val="clear" w:color="auto" w:fill="auto"/>
            <w:vAlign w:val="center"/>
          </w:tcPr>
          <w:p>
            <w:pPr>
              <w:jc w:val="left"/>
              <w:rPr>
                <w:rFonts w:hint="eastAsia" w:ascii="宋体" w:hAnsi="宋体" w:eastAsia="宋体" w:cs="宋体"/>
                <w:color w:val="000000" w:themeColor="text1"/>
                <w:sz w:val="21"/>
                <w:szCs w:val="21"/>
                <w14:textFill>
                  <w14:solidFill>
                    <w14:schemeClr w14:val="tx1"/>
                  </w14:solidFill>
                </w14:textFill>
              </w:rPr>
            </w:pP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rPr>
                <w:color w:val="000000" w:themeColor="text1"/>
                <w14:textFill>
                  <w14:solidFill>
                    <w14:schemeClr w14:val="tx1"/>
                  </w14:solidFill>
                </w14:textFill>
              </w:rPr>
            </w:pPr>
            <w:r>
              <w:rPr>
                <w:rFonts w:hint="eastAsia" w:ascii="楷体" w:hAnsi="楷体" w:eastAsia="楷体" w:cs="楷体"/>
                <w:color w:val="000000" w:themeColor="text1"/>
                <w:kern w:val="2"/>
                <w:sz w:val="20"/>
                <w:szCs w:val="20"/>
                <w:lang w:val="en-US" w:eastAsia="zh-CN" w:bidi="ar"/>
                <w14:textFill>
                  <w14:solidFill>
                    <w14:schemeClr w14:val="tx1"/>
                  </w14:solidFill>
                </w14:textFill>
              </w:rPr>
              <w:t>7.属于行政执法案卷</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000000" w:themeColor="text1"/>
                <w:sz w:val="21"/>
                <w:szCs w:val="21"/>
                <w14:textFill>
                  <w14:solidFill>
                    <w14:schemeClr w14:val="tx1"/>
                  </w14:solidFill>
                </w14:textFill>
              </w:rPr>
            </w:pPr>
          </w:p>
        </w:tc>
        <w:tc>
          <w:tcPr>
            <w:tcW w:w="855" w:type="dxa"/>
            <w:vMerge w:val="continue"/>
            <w:tcBorders>
              <w:top w:val="nil"/>
              <w:left w:val="nil"/>
              <w:bottom w:val="single" w:color="auto" w:sz="4" w:space="0"/>
              <w:right w:val="single" w:color="auto" w:sz="4" w:space="0"/>
            </w:tcBorders>
            <w:shd w:val="clear" w:color="auto" w:fill="auto"/>
            <w:vAlign w:val="center"/>
          </w:tcPr>
          <w:p>
            <w:pPr>
              <w:jc w:val="left"/>
              <w:rPr>
                <w:rFonts w:hint="eastAsia" w:ascii="宋体" w:hAnsi="宋体" w:eastAsia="宋体" w:cs="宋体"/>
                <w:color w:val="000000" w:themeColor="text1"/>
                <w:sz w:val="21"/>
                <w:szCs w:val="21"/>
                <w14:textFill>
                  <w14:solidFill>
                    <w14:schemeClr w14:val="tx1"/>
                  </w14:solidFill>
                </w14:textFill>
              </w:rPr>
            </w:pP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rPr>
                <w:color w:val="000000" w:themeColor="text1"/>
                <w14:textFill>
                  <w14:solidFill>
                    <w14:schemeClr w14:val="tx1"/>
                  </w14:solidFill>
                </w14:textFill>
              </w:rPr>
            </w:pPr>
            <w:r>
              <w:rPr>
                <w:rFonts w:hint="eastAsia" w:ascii="楷体" w:hAnsi="楷体" w:eastAsia="楷体" w:cs="楷体"/>
                <w:color w:val="000000" w:themeColor="text1"/>
                <w:kern w:val="2"/>
                <w:sz w:val="20"/>
                <w:szCs w:val="20"/>
                <w:lang w:val="en-US" w:eastAsia="zh-CN" w:bidi="ar"/>
                <w14:textFill>
                  <w14:solidFill>
                    <w14:schemeClr w14:val="tx1"/>
                  </w14:solidFill>
                </w14:textFill>
              </w:rPr>
              <w:t>8.属于行政查询事项</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000000" w:themeColor="text1"/>
                <w:sz w:val="21"/>
                <w:szCs w:val="21"/>
                <w14:textFill>
                  <w14:solidFill>
                    <w14:schemeClr w14:val="tx1"/>
                  </w14:solidFill>
                </w14:textFill>
              </w:rPr>
            </w:pPr>
          </w:p>
        </w:tc>
        <w:tc>
          <w:tcPr>
            <w:tcW w:w="855"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rPr>
                <w:color w:val="000000" w:themeColor="text1"/>
                <w14:textFill>
                  <w14:solidFill>
                    <w14:schemeClr w14:val="tx1"/>
                  </w14:solidFill>
                </w14:textFill>
              </w:rPr>
            </w:pPr>
            <w:r>
              <w:rPr>
                <w:rFonts w:hint="eastAsia" w:ascii="楷体" w:hAnsi="楷体" w:eastAsia="楷体" w:cs="楷体"/>
                <w:color w:val="000000" w:themeColor="text1"/>
                <w:kern w:val="2"/>
                <w:sz w:val="20"/>
                <w:szCs w:val="20"/>
                <w:lang w:val="en-US" w:eastAsia="zh-CN" w:bidi="ar"/>
                <w14:textFill>
                  <w14:solidFill>
                    <w14:schemeClr w14:val="tx1"/>
                  </w14:solidFill>
                </w14:textFill>
              </w:rPr>
              <w:t>（四）无法提供</w:t>
            </w: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rPr>
                <w:color w:val="000000" w:themeColor="text1"/>
                <w14:textFill>
                  <w14:solidFill>
                    <w14:schemeClr w14:val="tx1"/>
                  </w14:solidFill>
                </w14:textFill>
              </w:rPr>
            </w:pPr>
            <w:r>
              <w:rPr>
                <w:rFonts w:hint="eastAsia" w:ascii="楷体" w:hAnsi="楷体" w:eastAsia="楷体" w:cs="楷体"/>
                <w:color w:val="000000" w:themeColor="text1"/>
                <w:kern w:val="2"/>
                <w:sz w:val="20"/>
                <w:szCs w:val="20"/>
                <w:lang w:val="en-US" w:eastAsia="zh-CN" w:bidi="ar"/>
                <w14:textFill>
                  <w14:solidFill>
                    <w14:schemeClr w14:val="tx1"/>
                  </w14:solidFill>
                </w14:textFill>
              </w:rPr>
              <w:t>1.本机关不掌握相关政府信息</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000000" w:themeColor="text1"/>
                <w:sz w:val="21"/>
                <w:szCs w:val="21"/>
                <w14:textFill>
                  <w14:solidFill>
                    <w14:schemeClr w14:val="tx1"/>
                  </w14:solidFill>
                </w14:textFill>
              </w:rPr>
            </w:pPr>
          </w:p>
        </w:tc>
        <w:tc>
          <w:tcPr>
            <w:tcW w:w="855" w:type="dxa"/>
            <w:vMerge w:val="continue"/>
            <w:tcBorders>
              <w:top w:val="nil"/>
              <w:left w:val="nil"/>
              <w:bottom w:val="single" w:color="auto" w:sz="4" w:space="0"/>
              <w:right w:val="single" w:color="auto" w:sz="4" w:space="0"/>
            </w:tcBorders>
            <w:shd w:val="clear" w:color="auto" w:fill="auto"/>
            <w:vAlign w:val="center"/>
          </w:tcPr>
          <w:p>
            <w:pPr>
              <w:jc w:val="left"/>
              <w:rPr>
                <w:rFonts w:hint="eastAsia" w:ascii="宋体" w:hAnsi="宋体" w:eastAsia="宋体" w:cs="宋体"/>
                <w:color w:val="000000" w:themeColor="text1"/>
                <w:sz w:val="21"/>
                <w:szCs w:val="21"/>
                <w14:textFill>
                  <w14:solidFill>
                    <w14:schemeClr w14:val="tx1"/>
                  </w14:solidFill>
                </w14:textFill>
              </w:rPr>
            </w:pP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rPr>
                <w:color w:val="000000" w:themeColor="text1"/>
                <w14:textFill>
                  <w14:solidFill>
                    <w14:schemeClr w14:val="tx1"/>
                  </w14:solidFill>
                </w14:textFill>
              </w:rPr>
            </w:pPr>
            <w:r>
              <w:rPr>
                <w:rFonts w:hint="eastAsia" w:ascii="楷体" w:hAnsi="楷体" w:eastAsia="楷体" w:cs="楷体"/>
                <w:color w:val="000000" w:themeColor="text1"/>
                <w:kern w:val="2"/>
                <w:sz w:val="20"/>
                <w:szCs w:val="20"/>
                <w:lang w:val="en-US" w:eastAsia="zh-CN" w:bidi="ar"/>
                <w14:textFill>
                  <w14:solidFill>
                    <w14:schemeClr w14:val="tx1"/>
                  </w14:solidFill>
                </w14:textFill>
              </w:rPr>
              <w:t>2.没有现成信息需要另行制作</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000000" w:themeColor="text1"/>
                <w:sz w:val="21"/>
                <w:szCs w:val="21"/>
                <w14:textFill>
                  <w14:solidFill>
                    <w14:schemeClr w14:val="tx1"/>
                  </w14:solidFill>
                </w14:textFill>
              </w:rPr>
            </w:pPr>
          </w:p>
        </w:tc>
        <w:tc>
          <w:tcPr>
            <w:tcW w:w="855" w:type="dxa"/>
            <w:vMerge w:val="continue"/>
            <w:tcBorders>
              <w:top w:val="nil"/>
              <w:left w:val="nil"/>
              <w:bottom w:val="single" w:color="auto" w:sz="4" w:space="0"/>
              <w:right w:val="single" w:color="auto" w:sz="4" w:space="0"/>
            </w:tcBorders>
            <w:shd w:val="clear" w:color="auto" w:fill="auto"/>
            <w:vAlign w:val="center"/>
          </w:tcPr>
          <w:p>
            <w:pPr>
              <w:jc w:val="left"/>
              <w:rPr>
                <w:rFonts w:hint="eastAsia" w:ascii="宋体" w:hAnsi="宋体" w:eastAsia="宋体" w:cs="宋体"/>
                <w:color w:val="000000" w:themeColor="text1"/>
                <w:sz w:val="21"/>
                <w:szCs w:val="21"/>
                <w14:textFill>
                  <w14:solidFill>
                    <w14:schemeClr w14:val="tx1"/>
                  </w14:solidFill>
                </w14:textFill>
              </w:rPr>
            </w:pP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rPr>
                <w:color w:val="000000" w:themeColor="text1"/>
                <w14:textFill>
                  <w14:solidFill>
                    <w14:schemeClr w14:val="tx1"/>
                  </w14:solidFill>
                </w14:textFill>
              </w:rPr>
            </w:pPr>
            <w:r>
              <w:rPr>
                <w:rFonts w:hint="eastAsia" w:ascii="楷体" w:hAnsi="楷体" w:eastAsia="楷体" w:cs="楷体"/>
                <w:color w:val="000000" w:themeColor="text1"/>
                <w:kern w:val="2"/>
                <w:sz w:val="20"/>
                <w:szCs w:val="20"/>
                <w:lang w:val="en-US" w:eastAsia="zh-CN" w:bidi="ar"/>
                <w14:textFill>
                  <w14:solidFill>
                    <w14:schemeClr w14:val="tx1"/>
                  </w14:solidFill>
                </w14:textFill>
              </w:rPr>
              <w:t>3.补正后申请内容仍不明确</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000000" w:themeColor="text1"/>
                <w:sz w:val="21"/>
                <w:szCs w:val="21"/>
                <w14:textFill>
                  <w14:solidFill>
                    <w14:schemeClr w14:val="tx1"/>
                  </w14:solidFill>
                </w14:textFill>
              </w:rPr>
            </w:pPr>
          </w:p>
        </w:tc>
        <w:tc>
          <w:tcPr>
            <w:tcW w:w="855"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rPr>
                <w:color w:val="000000" w:themeColor="text1"/>
                <w14:textFill>
                  <w14:solidFill>
                    <w14:schemeClr w14:val="tx1"/>
                  </w14:solidFill>
                </w14:textFill>
              </w:rPr>
            </w:pPr>
            <w:r>
              <w:rPr>
                <w:rFonts w:hint="eastAsia" w:ascii="楷体" w:hAnsi="楷体" w:eastAsia="楷体" w:cs="楷体"/>
                <w:color w:val="000000" w:themeColor="text1"/>
                <w:kern w:val="2"/>
                <w:sz w:val="20"/>
                <w:szCs w:val="20"/>
                <w:lang w:val="en-US" w:eastAsia="zh-CN" w:bidi="ar"/>
                <w14:textFill>
                  <w14:solidFill>
                    <w14:schemeClr w14:val="tx1"/>
                  </w14:solidFill>
                </w14:textFill>
              </w:rPr>
              <w:t>（五）不予处理</w:t>
            </w: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rPr>
                <w:color w:val="000000" w:themeColor="text1"/>
                <w14:textFill>
                  <w14:solidFill>
                    <w14:schemeClr w14:val="tx1"/>
                  </w14:solidFill>
                </w14:textFill>
              </w:rPr>
            </w:pPr>
            <w:r>
              <w:rPr>
                <w:rFonts w:hint="eastAsia" w:ascii="楷体" w:hAnsi="楷体" w:eastAsia="楷体" w:cs="楷体"/>
                <w:color w:val="000000" w:themeColor="text1"/>
                <w:kern w:val="2"/>
                <w:sz w:val="20"/>
                <w:szCs w:val="20"/>
                <w:lang w:val="en-US" w:eastAsia="zh-CN" w:bidi="ar"/>
                <w14:textFill>
                  <w14:solidFill>
                    <w14:schemeClr w14:val="tx1"/>
                  </w14:solidFill>
                </w14:textFill>
              </w:rPr>
              <w:t>1.信访举报投诉类申请</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000000" w:themeColor="text1"/>
                <w:sz w:val="21"/>
                <w:szCs w:val="21"/>
                <w14:textFill>
                  <w14:solidFill>
                    <w14:schemeClr w14:val="tx1"/>
                  </w14:solidFill>
                </w14:textFill>
              </w:rPr>
            </w:pPr>
          </w:p>
        </w:tc>
        <w:tc>
          <w:tcPr>
            <w:tcW w:w="855" w:type="dxa"/>
            <w:vMerge w:val="continue"/>
            <w:tcBorders>
              <w:top w:val="nil"/>
              <w:left w:val="nil"/>
              <w:bottom w:val="single" w:color="auto" w:sz="4" w:space="0"/>
              <w:right w:val="single" w:color="auto" w:sz="4" w:space="0"/>
            </w:tcBorders>
            <w:shd w:val="clear" w:color="auto" w:fill="auto"/>
            <w:vAlign w:val="center"/>
          </w:tcPr>
          <w:p>
            <w:pPr>
              <w:jc w:val="left"/>
              <w:rPr>
                <w:rFonts w:hint="eastAsia" w:ascii="宋体" w:hAnsi="宋体" w:eastAsia="宋体" w:cs="宋体"/>
                <w:color w:val="000000" w:themeColor="text1"/>
                <w:sz w:val="21"/>
                <w:szCs w:val="21"/>
                <w14:textFill>
                  <w14:solidFill>
                    <w14:schemeClr w14:val="tx1"/>
                  </w14:solidFill>
                </w14:textFill>
              </w:rPr>
            </w:pP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rPr>
                <w:color w:val="000000" w:themeColor="text1"/>
                <w14:textFill>
                  <w14:solidFill>
                    <w14:schemeClr w14:val="tx1"/>
                  </w14:solidFill>
                </w14:textFill>
              </w:rPr>
            </w:pPr>
            <w:r>
              <w:rPr>
                <w:rFonts w:hint="eastAsia" w:ascii="楷体" w:hAnsi="楷体" w:eastAsia="楷体" w:cs="楷体"/>
                <w:color w:val="000000" w:themeColor="text1"/>
                <w:kern w:val="2"/>
                <w:sz w:val="20"/>
                <w:szCs w:val="20"/>
                <w:lang w:val="en-US" w:eastAsia="zh-CN" w:bidi="ar"/>
                <w14:textFill>
                  <w14:solidFill>
                    <w14:schemeClr w14:val="tx1"/>
                  </w14:solidFill>
                </w14:textFill>
              </w:rPr>
              <w:t>2.重复申请</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000000" w:themeColor="text1"/>
                <w:sz w:val="21"/>
                <w:szCs w:val="21"/>
                <w14:textFill>
                  <w14:solidFill>
                    <w14:schemeClr w14:val="tx1"/>
                  </w14:solidFill>
                </w14:textFill>
              </w:rPr>
            </w:pPr>
          </w:p>
        </w:tc>
        <w:tc>
          <w:tcPr>
            <w:tcW w:w="855" w:type="dxa"/>
            <w:vMerge w:val="continue"/>
            <w:tcBorders>
              <w:top w:val="nil"/>
              <w:left w:val="nil"/>
              <w:bottom w:val="single" w:color="auto" w:sz="4" w:space="0"/>
              <w:right w:val="single" w:color="auto" w:sz="4" w:space="0"/>
            </w:tcBorders>
            <w:shd w:val="clear" w:color="auto" w:fill="auto"/>
            <w:vAlign w:val="center"/>
          </w:tcPr>
          <w:p>
            <w:pPr>
              <w:jc w:val="left"/>
              <w:rPr>
                <w:rFonts w:hint="eastAsia" w:ascii="宋体" w:hAnsi="宋体" w:eastAsia="宋体" w:cs="宋体"/>
                <w:color w:val="000000" w:themeColor="text1"/>
                <w:sz w:val="21"/>
                <w:szCs w:val="21"/>
                <w14:textFill>
                  <w14:solidFill>
                    <w14:schemeClr w14:val="tx1"/>
                  </w14:solidFill>
                </w14:textFill>
              </w:rPr>
            </w:pP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rPr>
                <w:color w:val="000000" w:themeColor="text1"/>
                <w14:textFill>
                  <w14:solidFill>
                    <w14:schemeClr w14:val="tx1"/>
                  </w14:solidFill>
                </w14:textFill>
              </w:rPr>
            </w:pPr>
            <w:r>
              <w:rPr>
                <w:rFonts w:hint="eastAsia" w:ascii="楷体" w:hAnsi="楷体" w:eastAsia="楷体" w:cs="楷体"/>
                <w:color w:val="000000" w:themeColor="text1"/>
                <w:kern w:val="2"/>
                <w:sz w:val="20"/>
                <w:szCs w:val="20"/>
                <w:lang w:val="en-US" w:eastAsia="zh-CN" w:bidi="ar"/>
                <w14:textFill>
                  <w14:solidFill>
                    <w14:schemeClr w14:val="tx1"/>
                  </w14:solidFill>
                </w14:textFill>
              </w:rPr>
              <w:t>3.要求提供公开出版物</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000000" w:themeColor="text1"/>
                <w:sz w:val="21"/>
                <w:szCs w:val="21"/>
                <w14:textFill>
                  <w14:solidFill>
                    <w14:schemeClr w14:val="tx1"/>
                  </w14:solidFill>
                </w14:textFill>
              </w:rPr>
            </w:pPr>
          </w:p>
        </w:tc>
        <w:tc>
          <w:tcPr>
            <w:tcW w:w="855" w:type="dxa"/>
            <w:vMerge w:val="continue"/>
            <w:tcBorders>
              <w:top w:val="nil"/>
              <w:left w:val="nil"/>
              <w:bottom w:val="single" w:color="auto" w:sz="4" w:space="0"/>
              <w:right w:val="single" w:color="auto" w:sz="4" w:space="0"/>
            </w:tcBorders>
            <w:shd w:val="clear" w:color="auto" w:fill="auto"/>
            <w:vAlign w:val="center"/>
          </w:tcPr>
          <w:p>
            <w:pPr>
              <w:jc w:val="left"/>
              <w:rPr>
                <w:rFonts w:hint="eastAsia" w:ascii="宋体" w:hAnsi="宋体" w:eastAsia="宋体" w:cs="宋体"/>
                <w:color w:val="000000" w:themeColor="text1"/>
                <w:sz w:val="21"/>
                <w:szCs w:val="21"/>
                <w14:textFill>
                  <w14:solidFill>
                    <w14:schemeClr w14:val="tx1"/>
                  </w14:solidFill>
                </w14:textFill>
              </w:rPr>
            </w:pP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rPr>
                <w:color w:val="000000" w:themeColor="text1"/>
                <w14:textFill>
                  <w14:solidFill>
                    <w14:schemeClr w14:val="tx1"/>
                  </w14:solidFill>
                </w14:textFill>
              </w:rPr>
            </w:pPr>
            <w:r>
              <w:rPr>
                <w:rFonts w:hint="eastAsia" w:ascii="楷体" w:hAnsi="楷体" w:eastAsia="楷体" w:cs="楷体"/>
                <w:color w:val="000000" w:themeColor="text1"/>
                <w:kern w:val="2"/>
                <w:sz w:val="20"/>
                <w:szCs w:val="20"/>
                <w:lang w:val="en-US" w:eastAsia="zh-CN" w:bidi="ar"/>
                <w14:textFill>
                  <w14:solidFill>
                    <w14:schemeClr w14:val="tx1"/>
                  </w14:solidFill>
                </w14:textFill>
              </w:rPr>
              <w:t>4.无正当理由大量反复申请</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000000" w:themeColor="text1"/>
                <w:sz w:val="21"/>
                <w:szCs w:val="21"/>
                <w14:textFill>
                  <w14:solidFill>
                    <w14:schemeClr w14:val="tx1"/>
                  </w14:solidFill>
                </w14:textFill>
              </w:rPr>
            </w:pPr>
          </w:p>
        </w:tc>
        <w:tc>
          <w:tcPr>
            <w:tcW w:w="855" w:type="dxa"/>
            <w:vMerge w:val="continue"/>
            <w:tcBorders>
              <w:top w:val="nil"/>
              <w:left w:val="nil"/>
              <w:bottom w:val="single" w:color="auto" w:sz="4" w:space="0"/>
              <w:right w:val="single" w:color="auto" w:sz="4" w:space="0"/>
            </w:tcBorders>
            <w:shd w:val="clear" w:color="auto" w:fill="auto"/>
            <w:vAlign w:val="center"/>
          </w:tcPr>
          <w:p>
            <w:pPr>
              <w:jc w:val="left"/>
              <w:rPr>
                <w:rFonts w:hint="eastAsia" w:ascii="宋体" w:hAnsi="宋体" w:eastAsia="宋体" w:cs="宋体"/>
                <w:color w:val="000000" w:themeColor="text1"/>
                <w:sz w:val="21"/>
                <w:szCs w:val="21"/>
                <w14:textFill>
                  <w14:solidFill>
                    <w14:schemeClr w14:val="tx1"/>
                  </w14:solidFill>
                </w14:textFill>
              </w:rPr>
            </w:pPr>
          </w:p>
        </w:tc>
        <w:tc>
          <w:tcPr>
            <w:tcW w:w="21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rPr>
                <w:color w:val="000000" w:themeColor="text1"/>
                <w14:textFill>
                  <w14:solidFill>
                    <w14:schemeClr w14:val="tx1"/>
                  </w14:solidFill>
                </w14:textFill>
              </w:rPr>
            </w:pPr>
            <w:r>
              <w:rPr>
                <w:rFonts w:hint="eastAsia" w:ascii="楷体" w:hAnsi="楷体" w:eastAsia="楷体" w:cs="楷体"/>
                <w:color w:val="000000" w:themeColor="text1"/>
                <w:kern w:val="2"/>
                <w:sz w:val="20"/>
                <w:szCs w:val="20"/>
                <w:lang w:val="en-US" w:eastAsia="zh-CN" w:bidi="ar"/>
                <w14:textFill>
                  <w14:solidFill>
                    <w14:schemeClr w14:val="tx1"/>
                  </w14:solidFill>
                </w14:textFill>
              </w:rPr>
              <w:t>5.要求行政机关确认或重新出具已获取信息</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000000" w:themeColor="text1"/>
                <w:sz w:val="21"/>
                <w:szCs w:val="21"/>
                <w14:textFill>
                  <w14:solidFill>
                    <w14:schemeClr w14:val="tx1"/>
                  </w14:solidFill>
                </w14:textFill>
              </w:rPr>
            </w:pPr>
          </w:p>
        </w:tc>
        <w:tc>
          <w:tcPr>
            <w:tcW w:w="29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rPr>
                <w:color w:val="000000" w:themeColor="text1"/>
                <w14:textFill>
                  <w14:solidFill>
                    <w14:schemeClr w14:val="tx1"/>
                  </w14:solidFill>
                </w14:textFill>
              </w:rPr>
            </w:pPr>
            <w:r>
              <w:rPr>
                <w:rFonts w:hint="eastAsia" w:ascii="楷体" w:hAnsi="楷体" w:eastAsia="楷体" w:cs="楷体"/>
                <w:color w:val="000000" w:themeColor="text1"/>
                <w:kern w:val="2"/>
                <w:sz w:val="20"/>
                <w:szCs w:val="20"/>
                <w:lang w:val="en-US" w:eastAsia="zh-CN" w:bidi="ar"/>
                <w14:textFill>
                  <w14:solidFill>
                    <w14:schemeClr w14:val="tx1"/>
                  </w14:solidFill>
                </w14:textFill>
              </w:rPr>
              <w:t>（六）其他处理</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000000" w:themeColor="text1"/>
                <w:sz w:val="21"/>
                <w:szCs w:val="21"/>
                <w14:textFill>
                  <w14:solidFill>
                    <w14:schemeClr w14:val="tx1"/>
                  </w14:solidFill>
                </w14:textFill>
              </w:rPr>
            </w:pPr>
          </w:p>
        </w:tc>
        <w:tc>
          <w:tcPr>
            <w:tcW w:w="29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rPr>
                <w:color w:val="000000" w:themeColor="text1"/>
                <w14:textFill>
                  <w14:solidFill>
                    <w14:schemeClr w14:val="tx1"/>
                  </w14:solidFill>
                </w14:textFill>
              </w:rPr>
            </w:pPr>
            <w:r>
              <w:rPr>
                <w:rFonts w:hint="eastAsia" w:ascii="楷体" w:hAnsi="楷体" w:eastAsia="楷体" w:cs="楷体"/>
                <w:color w:val="000000" w:themeColor="text1"/>
                <w:kern w:val="2"/>
                <w:sz w:val="20"/>
                <w:szCs w:val="20"/>
                <w:lang w:val="en-US" w:eastAsia="zh-CN" w:bidi="ar"/>
                <w14:textFill>
                  <w14:solidFill>
                    <w14:schemeClr w14:val="tx1"/>
                  </w14:solidFill>
                </w14:textFill>
              </w:rPr>
              <w:t>（七）总计</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right="0"/>
              <w:jc w:val="left"/>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四、结转下年度继续办理</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color w:val="000000" w:themeColor="text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c>
          <w:tcPr>
            <w:tcW w:w="7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Autospacing="1" w:line="30" w:lineRule="atLeast"/>
              <w:ind w:left="0" w:leftChars="0" w:right="0" w:rightChars="0"/>
              <w:jc w:val="center"/>
              <w:rPr>
                <w:rFonts w:hint="eastAsia" w:ascii="宋体" w:hAnsi="宋体" w:eastAsia="宋体" w:cs="宋体"/>
                <w:color w:val="000000" w:themeColor="text1"/>
                <w:sz w:val="21"/>
                <w:szCs w:val="21"/>
                <w14:textFill>
                  <w14:solidFill>
                    <w14:schemeClr w14:val="tx1"/>
                  </w14:solidFill>
                </w14:textFill>
              </w:rPr>
            </w:pPr>
            <w:r>
              <w:rPr>
                <w:rFonts w:hint="eastAsia" w:ascii="Calibri" w:hAnsi="Calibri" w:eastAsia="宋体" w:cs="Times New Roman"/>
                <w:color w:val="000000" w:themeColor="text1"/>
                <w:kern w:val="2"/>
                <w:sz w:val="20"/>
                <w:szCs w:val="20"/>
                <w:lang w:val="en-US" w:eastAsia="zh-CN" w:bidi="ar"/>
                <w14:textFill>
                  <w14:solidFill>
                    <w14:schemeClr w14:val="tx1"/>
                  </w14:solidFill>
                </w14:textFill>
              </w:rPr>
              <w:t>0</w:t>
            </w:r>
          </w:p>
        </w:tc>
      </w:tr>
    </w:tbl>
    <w:p>
      <w:pPr>
        <w:spacing w:line="60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四、政府信息公开行政复议、行政诉讼情况</w:t>
      </w:r>
    </w:p>
    <w:tbl>
      <w:tblPr>
        <w:tblStyle w:val="6"/>
        <w:tblW w:w="9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22"/>
        <w:gridCol w:w="600"/>
        <w:gridCol w:w="615"/>
        <w:gridCol w:w="600"/>
        <w:gridCol w:w="630"/>
        <w:gridCol w:w="600"/>
        <w:gridCol w:w="668"/>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5" w:hRule="atLeast"/>
          <w:jc w:val="center"/>
        </w:trPr>
        <w:tc>
          <w:tcPr>
            <w:tcW w:w="306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ind w:firstLine="400" w:firstLineChars="200"/>
              <w:jc w:val="cente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行政复议</w:t>
            </w:r>
          </w:p>
        </w:tc>
        <w:tc>
          <w:tcPr>
            <w:tcW w:w="6110" w:type="dxa"/>
            <w:gridSpan w:val="10"/>
            <w:tcBorders>
              <w:top w:val="single" w:color="auto" w:sz="4" w:space="0"/>
              <w:left w:val="nil"/>
              <w:bottom w:val="single" w:color="auto" w:sz="4" w:space="0"/>
              <w:right w:val="single" w:color="auto" w:sz="4" w:space="0"/>
            </w:tcBorders>
            <w:shd w:val="clear" w:color="auto" w:fill="auto"/>
            <w:vAlign w:val="center"/>
          </w:tcPr>
          <w:p>
            <w:pPr>
              <w:spacing w:line="600" w:lineRule="exact"/>
              <w:ind w:firstLine="400" w:firstLineChars="200"/>
              <w:jc w:val="cente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2" w:type="dxa"/>
            <w:vMerge w:val="restart"/>
            <w:tcBorders>
              <w:top w:val="nil"/>
              <w:left w:val="single" w:color="auto" w:sz="4" w:space="0"/>
              <w:bottom w:val="single" w:color="auto" w:sz="4" w:space="0"/>
              <w:right w:val="single" w:color="auto" w:sz="4" w:space="0"/>
            </w:tcBorders>
            <w:shd w:val="clear" w:color="auto" w:fill="auto"/>
            <w:vAlign w:val="center"/>
          </w:tcPr>
          <w:p>
            <w:pPr>
              <w:spacing w:line="600" w:lineRule="exact"/>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18"/>
                <w:szCs w:val="18"/>
                <w:lang w:val="en-US" w:eastAsia="zh-CN"/>
                <w14:textFill>
                  <w14:solidFill>
                    <w14:schemeClr w14:val="tx1"/>
                  </w14:solidFill>
                </w14:textFill>
              </w:rPr>
              <w:t>结果维持</w:t>
            </w:r>
          </w:p>
        </w:tc>
        <w:tc>
          <w:tcPr>
            <w:tcW w:w="600" w:type="dxa"/>
            <w:vMerge w:val="restart"/>
            <w:tcBorders>
              <w:top w:val="nil"/>
              <w:left w:val="nil"/>
              <w:bottom w:val="single" w:color="auto" w:sz="4" w:space="0"/>
              <w:right w:val="single" w:color="auto" w:sz="4" w:space="0"/>
            </w:tcBorders>
            <w:shd w:val="clear" w:color="auto" w:fill="auto"/>
            <w:vAlign w:val="center"/>
          </w:tcPr>
          <w:p>
            <w:pPr>
              <w:spacing w:line="600" w:lineRule="exact"/>
              <w:rPr>
                <w:rFonts w:hint="eastAsia" w:ascii="Times New Roman" w:hAnsi="Times New Roman" w:eastAsia="仿宋_GB2312" w:cs="Times New Roman"/>
                <w:color w:val="000000" w:themeColor="text1"/>
                <w:sz w:val="18"/>
                <w:szCs w:val="18"/>
                <w:lang w:val="en-US" w:eastAsia="zh-CN"/>
                <w14:textFill>
                  <w14:solidFill>
                    <w14:schemeClr w14:val="tx1"/>
                  </w14:solidFill>
                </w14:textFill>
              </w:rPr>
            </w:pPr>
            <w:r>
              <w:rPr>
                <w:rFonts w:hint="eastAsia" w:ascii="Times New Roman" w:hAnsi="Times New Roman" w:eastAsia="仿宋_GB2312" w:cs="Times New Roman"/>
                <w:color w:val="000000" w:themeColor="text1"/>
                <w:sz w:val="18"/>
                <w:szCs w:val="18"/>
                <w:lang w:val="en-US" w:eastAsia="zh-CN"/>
                <w14:textFill>
                  <w14:solidFill>
                    <w14:schemeClr w14:val="tx1"/>
                  </w14:solidFill>
                </w14:textFill>
              </w:rPr>
              <w:t>结果纠正</w:t>
            </w:r>
          </w:p>
        </w:tc>
        <w:tc>
          <w:tcPr>
            <w:tcW w:w="615" w:type="dxa"/>
            <w:vMerge w:val="restart"/>
            <w:tcBorders>
              <w:top w:val="single" w:color="auto" w:sz="4" w:space="0"/>
              <w:left w:val="nil"/>
              <w:bottom w:val="single" w:color="auto" w:sz="4" w:space="0"/>
              <w:right w:val="single" w:color="auto" w:sz="4" w:space="0"/>
            </w:tcBorders>
            <w:shd w:val="clear" w:color="auto" w:fill="auto"/>
            <w:vAlign w:val="center"/>
          </w:tcPr>
          <w:p>
            <w:pPr>
              <w:spacing w:line="600" w:lineRule="exact"/>
              <w:rPr>
                <w:rFonts w:hint="eastAsia" w:ascii="Times New Roman" w:hAnsi="Times New Roman" w:eastAsia="仿宋_GB2312" w:cs="Times New Roman"/>
                <w:color w:val="000000" w:themeColor="text1"/>
                <w:sz w:val="18"/>
                <w:szCs w:val="18"/>
                <w:lang w:val="en-US" w:eastAsia="zh-CN"/>
                <w14:textFill>
                  <w14:solidFill>
                    <w14:schemeClr w14:val="tx1"/>
                  </w14:solidFill>
                </w14:textFill>
              </w:rPr>
            </w:pPr>
            <w:r>
              <w:rPr>
                <w:rFonts w:hint="eastAsia" w:ascii="Times New Roman" w:hAnsi="Times New Roman" w:eastAsia="仿宋_GB2312" w:cs="Times New Roman"/>
                <w:color w:val="000000" w:themeColor="text1"/>
                <w:sz w:val="18"/>
                <w:szCs w:val="18"/>
                <w:lang w:val="en-US" w:eastAsia="zh-CN"/>
                <w14:textFill>
                  <w14:solidFill>
                    <w14:schemeClr w14:val="tx1"/>
                  </w14:solidFill>
                </w14:textFill>
              </w:rPr>
              <w:t>其他结果</w:t>
            </w:r>
          </w:p>
        </w:tc>
        <w:tc>
          <w:tcPr>
            <w:tcW w:w="600" w:type="dxa"/>
            <w:vMerge w:val="restart"/>
            <w:tcBorders>
              <w:top w:val="single" w:color="auto" w:sz="4" w:space="0"/>
              <w:left w:val="nil"/>
              <w:bottom w:val="single" w:color="auto" w:sz="4" w:space="0"/>
              <w:right w:val="single" w:color="auto" w:sz="4" w:space="0"/>
            </w:tcBorders>
            <w:shd w:val="clear" w:color="auto" w:fill="auto"/>
            <w:vAlign w:val="center"/>
          </w:tcPr>
          <w:p>
            <w:pPr>
              <w:spacing w:line="600" w:lineRule="exact"/>
              <w:rPr>
                <w:rFonts w:hint="eastAsia" w:ascii="Times New Roman" w:hAnsi="Times New Roman" w:eastAsia="仿宋_GB2312" w:cs="Times New Roman"/>
                <w:color w:val="000000" w:themeColor="text1"/>
                <w:sz w:val="18"/>
                <w:szCs w:val="18"/>
                <w:lang w:val="en-US" w:eastAsia="zh-CN"/>
                <w14:textFill>
                  <w14:solidFill>
                    <w14:schemeClr w14:val="tx1"/>
                  </w14:solidFill>
                </w14:textFill>
              </w:rPr>
            </w:pPr>
            <w:r>
              <w:rPr>
                <w:rFonts w:hint="eastAsia" w:ascii="Times New Roman" w:hAnsi="Times New Roman" w:eastAsia="仿宋_GB2312" w:cs="Times New Roman"/>
                <w:color w:val="000000" w:themeColor="text1"/>
                <w:sz w:val="18"/>
                <w:szCs w:val="18"/>
                <w:lang w:val="en-US" w:eastAsia="zh-CN"/>
                <w14:textFill>
                  <w14:solidFill>
                    <w14:schemeClr w14:val="tx1"/>
                  </w14:solidFill>
                </w14:textFill>
              </w:rPr>
              <w:t>尚未审结</w:t>
            </w:r>
          </w:p>
        </w:tc>
        <w:tc>
          <w:tcPr>
            <w:tcW w:w="630" w:type="dxa"/>
            <w:vMerge w:val="restart"/>
            <w:tcBorders>
              <w:top w:val="single" w:color="auto" w:sz="4" w:space="0"/>
              <w:left w:val="nil"/>
              <w:bottom w:val="single" w:color="auto" w:sz="4" w:space="0"/>
              <w:right w:val="single" w:color="auto" w:sz="4" w:space="0"/>
            </w:tcBorders>
            <w:shd w:val="clear" w:color="auto" w:fill="auto"/>
            <w:vAlign w:val="center"/>
          </w:tcPr>
          <w:p>
            <w:pPr>
              <w:spacing w:line="600" w:lineRule="exact"/>
              <w:rPr>
                <w:rFonts w:hint="eastAsia" w:ascii="Times New Roman" w:hAnsi="Times New Roman" w:eastAsia="仿宋_GB2312" w:cs="Times New Roman"/>
                <w:color w:val="000000" w:themeColor="text1"/>
                <w:sz w:val="18"/>
                <w:szCs w:val="18"/>
                <w:lang w:val="en-US" w:eastAsia="zh-CN"/>
                <w14:textFill>
                  <w14:solidFill>
                    <w14:schemeClr w14:val="tx1"/>
                  </w14:solidFill>
                </w14:textFill>
              </w:rPr>
            </w:pPr>
            <w:r>
              <w:rPr>
                <w:rFonts w:hint="eastAsia" w:ascii="Times New Roman" w:hAnsi="Times New Roman" w:eastAsia="仿宋_GB2312" w:cs="Times New Roman"/>
                <w:color w:val="000000" w:themeColor="text1"/>
                <w:sz w:val="18"/>
                <w:szCs w:val="18"/>
                <w:lang w:val="en-US" w:eastAsia="zh-CN"/>
                <w14:textFill>
                  <w14:solidFill>
                    <w14:schemeClr w14:val="tx1"/>
                  </w14:solidFill>
                </w14:textFill>
              </w:rPr>
              <w:t>总计</w:t>
            </w:r>
          </w:p>
        </w:tc>
        <w:tc>
          <w:tcPr>
            <w:tcW w:w="3083" w:type="dxa"/>
            <w:gridSpan w:val="5"/>
            <w:tcBorders>
              <w:top w:val="single" w:color="auto" w:sz="4" w:space="0"/>
              <w:left w:val="nil"/>
              <w:bottom w:val="single" w:color="auto" w:sz="4" w:space="0"/>
              <w:right w:val="single" w:color="auto" w:sz="4" w:space="0"/>
            </w:tcBorders>
            <w:shd w:val="clear" w:color="auto" w:fill="auto"/>
            <w:vAlign w:val="center"/>
          </w:tcPr>
          <w:p>
            <w:pPr>
              <w:spacing w:line="600" w:lineRule="exact"/>
              <w:ind w:firstLine="360" w:firstLineChars="200"/>
              <w:jc w:val="center"/>
              <w:rPr>
                <w:rFonts w:hint="eastAsia" w:ascii="Times New Roman" w:hAnsi="Times New Roman" w:eastAsia="仿宋_GB2312" w:cs="Times New Roman"/>
                <w:color w:val="000000" w:themeColor="text1"/>
                <w:sz w:val="18"/>
                <w:szCs w:val="18"/>
                <w:lang w:val="en-US" w:eastAsia="zh-CN"/>
                <w14:textFill>
                  <w14:solidFill>
                    <w14:schemeClr w14:val="tx1"/>
                  </w14:solidFill>
                </w14:textFill>
              </w:rPr>
            </w:pPr>
            <w:r>
              <w:rPr>
                <w:rFonts w:hint="eastAsia" w:ascii="Times New Roman" w:hAnsi="Times New Roman" w:eastAsia="仿宋_GB2312" w:cs="Times New Roman"/>
                <w:color w:val="000000" w:themeColor="text1"/>
                <w:sz w:val="18"/>
                <w:szCs w:val="18"/>
                <w:lang w:val="en-US" w:eastAsia="zh-CN"/>
                <w14:textFill>
                  <w14:solidFill>
                    <w14:schemeClr w14:val="tx1"/>
                  </w14:solidFill>
                </w14:textFill>
              </w:rPr>
              <w:t>未经复议直接起诉</w:t>
            </w:r>
          </w:p>
        </w:tc>
        <w:tc>
          <w:tcPr>
            <w:tcW w:w="3027" w:type="dxa"/>
            <w:gridSpan w:val="5"/>
            <w:tcBorders>
              <w:top w:val="single" w:color="auto" w:sz="4" w:space="0"/>
              <w:left w:val="nil"/>
              <w:bottom w:val="single" w:color="auto" w:sz="4" w:space="0"/>
              <w:right w:val="single" w:color="auto" w:sz="4" w:space="0"/>
            </w:tcBorders>
            <w:shd w:val="clear" w:color="auto" w:fill="auto"/>
            <w:vAlign w:val="center"/>
          </w:tcPr>
          <w:p>
            <w:pPr>
              <w:spacing w:line="600" w:lineRule="exact"/>
              <w:ind w:firstLine="360" w:firstLineChars="200"/>
              <w:jc w:val="center"/>
              <w:rPr>
                <w:rFonts w:hint="eastAsia" w:ascii="Times New Roman" w:hAnsi="Times New Roman" w:eastAsia="仿宋_GB2312" w:cs="Times New Roman"/>
                <w:color w:val="000000" w:themeColor="text1"/>
                <w:sz w:val="18"/>
                <w:szCs w:val="18"/>
                <w:lang w:val="en-US" w:eastAsia="zh-CN"/>
                <w14:textFill>
                  <w14:solidFill>
                    <w14:schemeClr w14:val="tx1"/>
                  </w14:solidFill>
                </w14:textFill>
              </w:rPr>
            </w:pPr>
            <w:r>
              <w:rPr>
                <w:rFonts w:hint="eastAsia" w:ascii="Times New Roman" w:hAnsi="Times New Roman" w:eastAsia="仿宋_GB2312" w:cs="Times New Roman"/>
                <w:color w:val="000000" w:themeColor="text1"/>
                <w:sz w:val="18"/>
                <w:szCs w:val="18"/>
                <w:lang w:val="en-US" w:eastAsia="zh-CN"/>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22" w:type="dxa"/>
            <w:vMerge w:val="continue"/>
            <w:tcBorders>
              <w:top w:val="nil"/>
              <w:left w:val="single" w:color="auto" w:sz="4" w:space="0"/>
              <w:bottom w:val="single" w:color="auto" w:sz="4" w:space="0"/>
              <w:right w:val="single" w:color="auto" w:sz="4" w:space="0"/>
            </w:tcBorders>
            <w:shd w:val="clear" w:color="auto" w:fill="auto"/>
            <w:vAlign w:val="center"/>
          </w:tcPr>
          <w:p>
            <w:pPr>
              <w:spacing w:line="600" w:lineRule="exact"/>
              <w:ind w:firstLine="400" w:firstLineChars="200"/>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p>
        </w:tc>
        <w:tc>
          <w:tcPr>
            <w:tcW w:w="600" w:type="dxa"/>
            <w:vMerge w:val="continue"/>
            <w:tcBorders>
              <w:top w:val="nil"/>
              <w:left w:val="nil"/>
              <w:bottom w:val="single" w:color="auto" w:sz="4" w:space="0"/>
              <w:right w:val="single" w:color="auto" w:sz="4" w:space="0"/>
            </w:tcBorders>
            <w:shd w:val="clear" w:color="auto" w:fill="auto"/>
            <w:vAlign w:val="center"/>
          </w:tcPr>
          <w:p>
            <w:pPr>
              <w:spacing w:line="600" w:lineRule="exact"/>
              <w:ind w:firstLine="360" w:firstLineChars="200"/>
              <w:rPr>
                <w:rFonts w:hint="eastAsia" w:ascii="Times New Roman" w:hAnsi="Times New Roman" w:eastAsia="仿宋_GB2312" w:cs="Times New Roman"/>
                <w:color w:val="000000" w:themeColor="text1"/>
                <w:sz w:val="18"/>
                <w:szCs w:val="18"/>
                <w:lang w:val="en-US" w:eastAsia="zh-CN"/>
                <w14:textFill>
                  <w14:solidFill>
                    <w14:schemeClr w14:val="tx1"/>
                  </w14:solidFill>
                </w14:textFill>
              </w:rPr>
            </w:pPr>
          </w:p>
        </w:tc>
        <w:tc>
          <w:tcPr>
            <w:tcW w:w="615" w:type="dxa"/>
            <w:vMerge w:val="continue"/>
            <w:tcBorders>
              <w:top w:val="single" w:color="auto" w:sz="4" w:space="0"/>
              <w:left w:val="nil"/>
              <w:bottom w:val="single" w:color="auto" w:sz="4" w:space="0"/>
              <w:right w:val="single" w:color="auto" w:sz="4" w:space="0"/>
            </w:tcBorders>
            <w:shd w:val="clear" w:color="auto" w:fill="auto"/>
            <w:vAlign w:val="center"/>
          </w:tcPr>
          <w:p>
            <w:pPr>
              <w:spacing w:line="600" w:lineRule="exact"/>
              <w:ind w:firstLine="360" w:firstLineChars="200"/>
              <w:rPr>
                <w:rFonts w:hint="eastAsia" w:ascii="Times New Roman" w:hAnsi="Times New Roman" w:eastAsia="仿宋_GB2312" w:cs="Times New Roman"/>
                <w:color w:val="000000" w:themeColor="text1"/>
                <w:sz w:val="18"/>
                <w:szCs w:val="18"/>
                <w:lang w:val="en-US" w:eastAsia="zh-CN"/>
                <w14:textFill>
                  <w14:solidFill>
                    <w14:schemeClr w14:val="tx1"/>
                  </w14:solidFill>
                </w14:textFill>
              </w:rPr>
            </w:pPr>
          </w:p>
        </w:tc>
        <w:tc>
          <w:tcPr>
            <w:tcW w:w="600" w:type="dxa"/>
            <w:vMerge w:val="continue"/>
            <w:tcBorders>
              <w:top w:val="single" w:color="auto" w:sz="4" w:space="0"/>
              <w:left w:val="nil"/>
              <w:bottom w:val="single" w:color="auto" w:sz="4" w:space="0"/>
              <w:right w:val="single" w:color="auto" w:sz="4" w:space="0"/>
            </w:tcBorders>
            <w:shd w:val="clear" w:color="auto" w:fill="auto"/>
            <w:vAlign w:val="center"/>
          </w:tcPr>
          <w:p>
            <w:pPr>
              <w:spacing w:line="600" w:lineRule="exact"/>
              <w:ind w:firstLine="360" w:firstLineChars="200"/>
              <w:rPr>
                <w:rFonts w:hint="eastAsia" w:ascii="Times New Roman" w:hAnsi="Times New Roman" w:eastAsia="仿宋_GB2312" w:cs="Times New Roman"/>
                <w:color w:val="000000" w:themeColor="text1"/>
                <w:sz w:val="18"/>
                <w:szCs w:val="18"/>
                <w:lang w:val="en-US" w:eastAsia="zh-CN"/>
                <w14:textFill>
                  <w14:solidFill>
                    <w14:schemeClr w14:val="tx1"/>
                  </w14:solidFill>
                </w14:textFill>
              </w:rPr>
            </w:pPr>
          </w:p>
        </w:tc>
        <w:tc>
          <w:tcPr>
            <w:tcW w:w="630" w:type="dxa"/>
            <w:vMerge w:val="continue"/>
            <w:tcBorders>
              <w:top w:val="single" w:color="auto" w:sz="4" w:space="0"/>
              <w:left w:val="nil"/>
              <w:bottom w:val="single" w:color="auto" w:sz="4" w:space="0"/>
              <w:right w:val="single" w:color="auto" w:sz="4" w:space="0"/>
            </w:tcBorders>
            <w:shd w:val="clear" w:color="auto" w:fill="auto"/>
            <w:vAlign w:val="center"/>
          </w:tcPr>
          <w:p>
            <w:pPr>
              <w:spacing w:line="600" w:lineRule="exact"/>
              <w:ind w:firstLine="360" w:firstLineChars="200"/>
              <w:rPr>
                <w:rFonts w:hint="eastAsia" w:ascii="Times New Roman" w:hAnsi="Times New Roman" w:eastAsia="仿宋_GB2312" w:cs="Times New Roman"/>
                <w:color w:val="000000" w:themeColor="text1"/>
                <w:sz w:val="18"/>
                <w:szCs w:val="18"/>
                <w:lang w:val="en-US" w:eastAsia="zh-CN"/>
                <w14:textFill>
                  <w14:solidFill>
                    <w14:schemeClr w14:val="tx1"/>
                  </w14:solidFill>
                </w14:textFill>
              </w:rPr>
            </w:pPr>
          </w:p>
        </w:tc>
        <w:tc>
          <w:tcPr>
            <w:tcW w:w="600" w:type="dxa"/>
            <w:tcBorders>
              <w:top w:val="single" w:color="auto" w:sz="4" w:space="0"/>
              <w:left w:val="nil"/>
              <w:bottom w:val="single" w:color="auto" w:sz="4" w:space="0"/>
              <w:right w:val="single" w:color="auto" w:sz="4" w:space="0"/>
            </w:tcBorders>
            <w:shd w:val="clear" w:color="auto" w:fill="auto"/>
            <w:vAlign w:val="center"/>
          </w:tcPr>
          <w:p>
            <w:pPr>
              <w:spacing w:line="600" w:lineRule="exact"/>
              <w:rPr>
                <w:rFonts w:hint="eastAsia" w:ascii="Times New Roman" w:hAnsi="Times New Roman" w:eastAsia="仿宋_GB2312" w:cs="Times New Roman"/>
                <w:color w:val="000000" w:themeColor="text1"/>
                <w:sz w:val="18"/>
                <w:szCs w:val="18"/>
                <w:lang w:val="en-US" w:eastAsia="zh-CN"/>
                <w14:textFill>
                  <w14:solidFill>
                    <w14:schemeClr w14:val="tx1"/>
                  </w14:solidFill>
                </w14:textFill>
              </w:rPr>
            </w:pPr>
            <w:r>
              <w:rPr>
                <w:rFonts w:hint="eastAsia" w:ascii="Times New Roman" w:hAnsi="Times New Roman" w:eastAsia="仿宋_GB2312" w:cs="Times New Roman"/>
                <w:color w:val="000000" w:themeColor="text1"/>
                <w:sz w:val="18"/>
                <w:szCs w:val="18"/>
                <w:lang w:val="en-US" w:eastAsia="zh-CN"/>
                <w14:textFill>
                  <w14:solidFill>
                    <w14:schemeClr w14:val="tx1"/>
                  </w14:solidFill>
                </w14:textFill>
              </w:rPr>
              <w:t>结果维持</w:t>
            </w:r>
          </w:p>
        </w:tc>
        <w:tc>
          <w:tcPr>
            <w:tcW w:w="668" w:type="dxa"/>
            <w:tcBorders>
              <w:top w:val="single" w:color="auto" w:sz="4" w:space="0"/>
              <w:left w:val="nil"/>
              <w:bottom w:val="single" w:color="auto" w:sz="4" w:space="0"/>
              <w:right w:val="single" w:color="auto" w:sz="4" w:space="0"/>
            </w:tcBorders>
            <w:shd w:val="clear" w:color="auto" w:fill="auto"/>
            <w:vAlign w:val="center"/>
          </w:tcPr>
          <w:p>
            <w:pPr>
              <w:spacing w:line="600" w:lineRule="exact"/>
              <w:rPr>
                <w:rFonts w:hint="eastAsia" w:ascii="Times New Roman" w:hAnsi="Times New Roman" w:eastAsia="仿宋_GB2312" w:cs="Times New Roman"/>
                <w:color w:val="000000" w:themeColor="text1"/>
                <w:sz w:val="18"/>
                <w:szCs w:val="18"/>
                <w:lang w:val="en-US" w:eastAsia="zh-CN"/>
                <w14:textFill>
                  <w14:solidFill>
                    <w14:schemeClr w14:val="tx1"/>
                  </w14:solidFill>
                </w14:textFill>
              </w:rPr>
            </w:pPr>
            <w:r>
              <w:rPr>
                <w:rFonts w:hint="eastAsia" w:ascii="Times New Roman" w:hAnsi="Times New Roman" w:eastAsia="仿宋_GB2312" w:cs="Times New Roman"/>
                <w:color w:val="000000" w:themeColor="text1"/>
                <w:sz w:val="18"/>
                <w:szCs w:val="18"/>
                <w:lang w:val="en-US" w:eastAsia="zh-CN"/>
                <w14:textFill>
                  <w14:solidFill>
                    <w14:schemeClr w14:val="tx1"/>
                  </w14:solidFill>
                </w14:textFill>
              </w:rPr>
              <w:t>结果纠正</w:t>
            </w:r>
          </w:p>
        </w:tc>
        <w:tc>
          <w:tcPr>
            <w:tcW w:w="605" w:type="dxa"/>
            <w:tcBorders>
              <w:top w:val="single" w:color="auto" w:sz="4" w:space="0"/>
              <w:left w:val="nil"/>
              <w:bottom w:val="single" w:color="auto" w:sz="4" w:space="0"/>
              <w:right w:val="single" w:color="auto" w:sz="4" w:space="0"/>
            </w:tcBorders>
            <w:shd w:val="clear" w:color="auto" w:fill="auto"/>
            <w:vAlign w:val="center"/>
          </w:tcPr>
          <w:p>
            <w:pPr>
              <w:spacing w:line="600" w:lineRule="exact"/>
              <w:rPr>
                <w:rFonts w:hint="eastAsia" w:ascii="Times New Roman" w:hAnsi="Times New Roman" w:eastAsia="仿宋_GB2312" w:cs="Times New Roman"/>
                <w:color w:val="000000" w:themeColor="text1"/>
                <w:sz w:val="18"/>
                <w:szCs w:val="18"/>
                <w:lang w:val="en-US" w:eastAsia="zh-CN"/>
                <w14:textFill>
                  <w14:solidFill>
                    <w14:schemeClr w14:val="tx1"/>
                  </w14:solidFill>
                </w14:textFill>
              </w:rPr>
            </w:pPr>
            <w:r>
              <w:rPr>
                <w:rFonts w:hint="eastAsia" w:ascii="Times New Roman" w:hAnsi="Times New Roman" w:eastAsia="仿宋_GB2312" w:cs="Times New Roman"/>
                <w:color w:val="000000" w:themeColor="text1"/>
                <w:sz w:val="18"/>
                <w:szCs w:val="18"/>
                <w:lang w:val="en-US" w:eastAsia="zh-CN"/>
                <w14:textFill>
                  <w14:solidFill>
                    <w14:schemeClr w14:val="tx1"/>
                  </w14:solidFill>
                </w14:textFill>
              </w:rPr>
              <w:t>其他结果</w:t>
            </w:r>
          </w:p>
        </w:tc>
        <w:tc>
          <w:tcPr>
            <w:tcW w:w="605" w:type="dxa"/>
            <w:tcBorders>
              <w:top w:val="single" w:color="auto" w:sz="4" w:space="0"/>
              <w:left w:val="nil"/>
              <w:bottom w:val="single" w:color="auto" w:sz="4" w:space="0"/>
              <w:right w:val="single" w:color="auto" w:sz="4" w:space="0"/>
            </w:tcBorders>
            <w:shd w:val="clear" w:color="auto" w:fill="auto"/>
            <w:vAlign w:val="center"/>
          </w:tcPr>
          <w:p>
            <w:pPr>
              <w:spacing w:line="600" w:lineRule="exact"/>
              <w:rPr>
                <w:rFonts w:hint="eastAsia" w:ascii="Times New Roman" w:hAnsi="Times New Roman" w:eastAsia="仿宋_GB2312" w:cs="Times New Roman"/>
                <w:color w:val="000000" w:themeColor="text1"/>
                <w:sz w:val="18"/>
                <w:szCs w:val="18"/>
                <w:lang w:val="en-US" w:eastAsia="zh-CN"/>
                <w14:textFill>
                  <w14:solidFill>
                    <w14:schemeClr w14:val="tx1"/>
                  </w14:solidFill>
                </w14:textFill>
              </w:rPr>
            </w:pPr>
            <w:r>
              <w:rPr>
                <w:rFonts w:hint="eastAsia" w:ascii="Times New Roman" w:hAnsi="Times New Roman" w:eastAsia="仿宋_GB2312" w:cs="Times New Roman"/>
                <w:color w:val="000000" w:themeColor="text1"/>
                <w:sz w:val="18"/>
                <w:szCs w:val="18"/>
                <w:lang w:val="en-US" w:eastAsia="zh-CN"/>
                <w14:textFill>
                  <w14:solidFill>
                    <w14:schemeClr w14:val="tx1"/>
                  </w14:solidFill>
                </w14:textFill>
              </w:rPr>
              <w:t>尚未审结</w:t>
            </w:r>
          </w:p>
        </w:tc>
        <w:tc>
          <w:tcPr>
            <w:tcW w:w="605" w:type="dxa"/>
            <w:tcBorders>
              <w:top w:val="single" w:color="auto" w:sz="4" w:space="0"/>
              <w:left w:val="nil"/>
              <w:bottom w:val="single" w:color="auto" w:sz="4" w:space="0"/>
              <w:right w:val="single" w:color="auto" w:sz="4" w:space="0"/>
            </w:tcBorders>
            <w:shd w:val="clear" w:color="auto" w:fill="auto"/>
            <w:vAlign w:val="center"/>
          </w:tcPr>
          <w:p>
            <w:pPr>
              <w:spacing w:line="600" w:lineRule="exact"/>
              <w:rPr>
                <w:rFonts w:hint="eastAsia" w:ascii="Times New Roman" w:hAnsi="Times New Roman" w:eastAsia="仿宋_GB2312" w:cs="Times New Roman"/>
                <w:color w:val="000000" w:themeColor="text1"/>
                <w:sz w:val="18"/>
                <w:szCs w:val="18"/>
                <w:lang w:val="en-US" w:eastAsia="zh-CN"/>
                <w14:textFill>
                  <w14:solidFill>
                    <w14:schemeClr w14:val="tx1"/>
                  </w14:solidFill>
                </w14:textFill>
              </w:rPr>
            </w:pPr>
            <w:r>
              <w:rPr>
                <w:rFonts w:hint="eastAsia" w:ascii="Times New Roman" w:hAnsi="Times New Roman" w:eastAsia="仿宋_GB2312" w:cs="Times New Roman"/>
                <w:color w:val="000000" w:themeColor="text1"/>
                <w:sz w:val="18"/>
                <w:szCs w:val="18"/>
                <w:lang w:val="en-US" w:eastAsia="zh-CN"/>
                <w14:textFill>
                  <w14:solidFill>
                    <w14:schemeClr w14:val="tx1"/>
                  </w14:solidFill>
                </w14:textFill>
              </w:rPr>
              <w:t>总计</w:t>
            </w:r>
          </w:p>
        </w:tc>
        <w:tc>
          <w:tcPr>
            <w:tcW w:w="605" w:type="dxa"/>
            <w:tcBorders>
              <w:top w:val="single" w:color="auto" w:sz="4" w:space="0"/>
              <w:left w:val="nil"/>
              <w:bottom w:val="single" w:color="auto" w:sz="4" w:space="0"/>
              <w:right w:val="single" w:color="auto" w:sz="4" w:space="0"/>
            </w:tcBorders>
            <w:shd w:val="clear" w:color="auto" w:fill="auto"/>
            <w:vAlign w:val="center"/>
          </w:tcPr>
          <w:p>
            <w:pPr>
              <w:spacing w:line="600" w:lineRule="exact"/>
              <w:rPr>
                <w:rFonts w:hint="eastAsia" w:ascii="Times New Roman" w:hAnsi="Times New Roman" w:eastAsia="仿宋_GB2312" w:cs="Times New Roman"/>
                <w:color w:val="000000" w:themeColor="text1"/>
                <w:sz w:val="18"/>
                <w:szCs w:val="18"/>
                <w:lang w:val="en-US" w:eastAsia="zh-CN"/>
                <w14:textFill>
                  <w14:solidFill>
                    <w14:schemeClr w14:val="tx1"/>
                  </w14:solidFill>
                </w14:textFill>
              </w:rPr>
            </w:pPr>
            <w:r>
              <w:rPr>
                <w:rFonts w:hint="eastAsia" w:ascii="Times New Roman" w:hAnsi="Times New Roman" w:eastAsia="仿宋_GB2312" w:cs="Times New Roman"/>
                <w:color w:val="000000" w:themeColor="text1"/>
                <w:sz w:val="18"/>
                <w:szCs w:val="18"/>
                <w:lang w:val="en-US" w:eastAsia="zh-CN"/>
                <w14:textFill>
                  <w14:solidFill>
                    <w14:schemeClr w14:val="tx1"/>
                  </w14:solidFill>
                </w14:textFill>
              </w:rPr>
              <w:t>结果维持</w:t>
            </w:r>
          </w:p>
        </w:tc>
        <w:tc>
          <w:tcPr>
            <w:tcW w:w="605" w:type="dxa"/>
            <w:tcBorders>
              <w:top w:val="single" w:color="auto" w:sz="4" w:space="0"/>
              <w:left w:val="nil"/>
              <w:bottom w:val="single" w:color="auto" w:sz="4" w:space="0"/>
              <w:right w:val="single" w:color="auto" w:sz="4" w:space="0"/>
            </w:tcBorders>
            <w:shd w:val="clear" w:color="auto" w:fill="auto"/>
            <w:vAlign w:val="center"/>
          </w:tcPr>
          <w:p>
            <w:pPr>
              <w:spacing w:line="600" w:lineRule="exact"/>
              <w:rPr>
                <w:rFonts w:hint="eastAsia" w:ascii="Times New Roman" w:hAnsi="Times New Roman" w:eastAsia="仿宋_GB2312" w:cs="Times New Roman"/>
                <w:color w:val="000000" w:themeColor="text1"/>
                <w:sz w:val="18"/>
                <w:szCs w:val="18"/>
                <w:lang w:val="en-US" w:eastAsia="zh-CN"/>
                <w14:textFill>
                  <w14:solidFill>
                    <w14:schemeClr w14:val="tx1"/>
                  </w14:solidFill>
                </w14:textFill>
              </w:rPr>
            </w:pPr>
            <w:r>
              <w:rPr>
                <w:rFonts w:hint="eastAsia" w:ascii="Times New Roman" w:hAnsi="Times New Roman" w:eastAsia="仿宋_GB2312" w:cs="Times New Roman"/>
                <w:color w:val="000000" w:themeColor="text1"/>
                <w:sz w:val="18"/>
                <w:szCs w:val="18"/>
                <w:lang w:val="en-US" w:eastAsia="zh-CN"/>
                <w14:textFill>
                  <w14:solidFill>
                    <w14:schemeClr w14:val="tx1"/>
                  </w14:solidFill>
                </w14:textFill>
              </w:rPr>
              <w:t>结果纠正</w:t>
            </w:r>
          </w:p>
        </w:tc>
        <w:tc>
          <w:tcPr>
            <w:tcW w:w="605" w:type="dxa"/>
            <w:tcBorders>
              <w:top w:val="single" w:color="auto" w:sz="4" w:space="0"/>
              <w:left w:val="nil"/>
              <w:bottom w:val="single" w:color="auto" w:sz="4" w:space="0"/>
              <w:right w:val="single" w:color="auto" w:sz="4" w:space="0"/>
            </w:tcBorders>
            <w:shd w:val="clear" w:color="auto" w:fill="auto"/>
            <w:vAlign w:val="center"/>
          </w:tcPr>
          <w:p>
            <w:pPr>
              <w:spacing w:line="600" w:lineRule="exact"/>
              <w:rPr>
                <w:rFonts w:hint="eastAsia" w:ascii="Times New Roman" w:hAnsi="Times New Roman" w:eastAsia="仿宋_GB2312" w:cs="Times New Roman"/>
                <w:color w:val="000000" w:themeColor="text1"/>
                <w:sz w:val="18"/>
                <w:szCs w:val="18"/>
                <w:lang w:val="en-US" w:eastAsia="zh-CN"/>
                <w14:textFill>
                  <w14:solidFill>
                    <w14:schemeClr w14:val="tx1"/>
                  </w14:solidFill>
                </w14:textFill>
              </w:rPr>
            </w:pPr>
            <w:r>
              <w:rPr>
                <w:rFonts w:hint="eastAsia" w:ascii="Times New Roman" w:hAnsi="Times New Roman" w:eastAsia="仿宋_GB2312" w:cs="Times New Roman"/>
                <w:color w:val="000000" w:themeColor="text1"/>
                <w:sz w:val="18"/>
                <w:szCs w:val="18"/>
                <w:lang w:val="en-US" w:eastAsia="zh-CN"/>
                <w14:textFill>
                  <w14:solidFill>
                    <w14:schemeClr w14:val="tx1"/>
                  </w14:solidFill>
                </w14:textFill>
              </w:rPr>
              <w:t>其他结果</w:t>
            </w:r>
          </w:p>
        </w:tc>
        <w:tc>
          <w:tcPr>
            <w:tcW w:w="606" w:type="dxa"/>
            <w:tcBorders>
              <w:top w:val="single" w:color="auto" w:sz="4" w:space="0"/>
              <w:left w:val="nil"/>
              <w:bottom w:val="single" w:color="auto" w:sz="4" w:space="0"/>
              <w:right w:val="single" w:color="auto" w:sz="4" w:space="0"/>
            </w:tcBorders>
            <w:shd w:val="clear" w:color="auto" w:fill="auto"/>
            <w:vAlign w:val="center"/>
          </w:tcPr>
          <w:p>
            <w:pPr>
              <w:spacing w:line="600" w:lineRule="exact"/>
              <w:rPr>
                <w:rFonts w:hint="eastAsia" w:ascii="Times New Roman" w:hAnsi="Times New Roman" w:eastAsia="仿宋_GB2312" w:cs="Times New Roman"/>
                <w:color w:val="000000" w:themeColor="text1"/>
                <w:sz w:val="18"/>
                <w:szCs w:val="18"/>
                <w:lang w:val="en-US" w:eastAsia="zh-CN"/>
                <w14:textFill>
                  <w14:solidFill>
                    <w14:schemeClr w14:val="tx1"/>
                  </w14:solidFill>
                </w14:textFill>
              </w:rPr>
            </w:pPr>
            <w:r>
              <w:rPr>
                <w:rFonts w:hint="eastAsia" w:ascii="Times New Roman" w:hAnsi="Times New Roman" w:eastAsia="仿宋_GB2312" w:cs="Times New Roman"/>
                <w:color w:val="000000" w:themeColor="text1"/>
                <w:sz w:val="18"/>
                <w:szCs w:val="18"/>
                <w:lang w:val="en-US" w:eastAsia="zh-CN"/>
                <w14:textFill>
                  <w14:solidFill>
                    <w14:schemeClr w14:val="tx1"/>
                  </w14:solidFill>
                </w14:textFill>
              </w:rPr>
              <w:t>尚未审结</w:t>
            </w:r>
          </w:p>
        </w:tc>
        <w:tc>
          <w:tcPr>
            <w:tcW w:w="606" w:type="dxa"/>
            <w:tcBorders>
              <w:top w:val="single" w:color="auto" w:sz="4" w:space="0"/>
              <w:left w:val="nil"/>
              <w:bottom w:val="single" w:color="auto" w:sz="4" w:space="0"/>
              <w:right w:val="single" w:color="auto" w:sz="4" w:space="0"/>
            </w:tcBorders>
            <w:shd w:val="clear" w:color="auto" w:fill="auto"/>
            <w:vAlign w:val="center"/>
          </w:tcPr>
          <w:p>
            <w:pPr>
              <w:spacing w:line="600" w:lineRule="exact"/>
              <w:rPr>
                <w:rFonts w:hint="eastAsia" w:ascii="Times New Roman" w:hAnsi="Times New Roman" w:eastAsia="仿宋_GB2312" w:cs="Times New Roman"/>
                <w:color w:val="000000" w:themeColor="text1"/>
                <w:sz w:val="18"/>
                <w:szCs w:val="18"/>
                <w:lang w:val="en-US" w:eastAsia="zh-CN"/>
                <w14:textFill>
                  <w14:solidFill>
                    <w14:schemeClr w14:val="tx1"/>
                  </w14:solidFill>
                </w14:textFill>
              </w:rPr>
            </w:pPr>
            <w:r>
              <w:rPr>
                <w:rFonts w:hint="eastAsia" w:ascii="Times New Roman" w:hAnsi="Times New Roman" w:eastAsia="仿宋_GB2312" w:cs="Times New Roman"/>
                <w:color w:val="000000" w:themeColor="text1"/>
                <w:sz w:val="18"/>
                <w:szCs w:val="18"/>
                <w:lang w:val="en-US"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0</w:t>
            </w:r>
          </w:p>
        </w:tc>
        <w:tc>
          <w:tcPr>
            <w:tcW w:w="600" w:type="dxa"/>
            <w:tcBorders>
              <w:top w:val="single" w:color="auto" w:sz="4" w:space="0"/>
              <w:left w:val="nil"/>
              <w:bottom w:val="single" w:color="auto" w:sz="4" w:space="0"/>
              <w:right w:val="single" w:color="auto" w:sz="4" w:space="0"/>
            </w:tcBorders>
            <w:shd w:val="clear" w:color="auto" w:fill="auto"/>
            <w:vAlign w:val="center"/>
          </w:tcPr>
          <w:p>
            <w:pPr>
              <w:spacing w:line="600" w:lineRule="exact"/>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0</w:t>
            </w:r>
          </w:p>
        </w:tc>
        <w:tc>
          <w:tcPr>
            <w:tcW w:w="615" w:type="dxa"/>
            <w:tcBorders>
              <w:top w:val="single" w:color="auto" w:sz="4" w:space="0"/>
              <w:left w:val="nil"/>
              <w:bottom w:val="single" w:color="auto" w:sz="4" w:space="0"/>
              <w:right w:val="single" w:color="auto" w:sz="4" w:space="0"/>
            </w:tcBorders>
            <w:shd w:val="clear" w:color="auto" w:fill="auto"/>
            <w:vAlign w:val="center"/>
          </w:tcPr>
          <w:p>
            <w:pPr>
              <w:spacing w:line="600" w:lineRule="exact"/>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0</w:t>
            </w:r>
          </w:p>
        </w:tc>
        <w:tc>
          <w:tcPr>
            <w:tcW w:w="600" w:type="dxa"/>
            <w:tcBorders>
              <w:top w:val="single" w:color="auto" w:sz="4" w:space="0"/>
              <w:left w:val="nil"/>
              <w:bottom w:val="single" w:color="auto" w:sz="4" w:space="0"/>
              <w:right w:val="single" w:color="auto" w:sz="4" w:space="0"/>
            </w:tcBorders>
            <w:shd w:val="clear" w:color="auto" w:fill="auto"/>
            <w:vAlign w:val="center"/>
          </w:tcPr>
          <w:p>
            <w:pPr>
              <w:spacing w:line="600" w:lineRule="exact"/>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0</w:t>
            </w:r>
          </w:p>
        </w:tc>
        <w:tc>
          <w:tcPr>
            <w:tcW w:w="630" w:type="dxa"/>
            <w:tcBorders>
              <w:top w:val="single" w:color="auto" w:sz="4" w:space="0"/>
              <w:left w:val="nil"/>
              <w:bottom w:val="single" w:color="auto" w:sz="4" w:space="0"/>
              <w:right w:val="single" w:color="auto" w:sz="4" w:space="0"/>
            </w:tcBorders>
            <w:shd w:val="clear" w:color="auto" w:fill="auto"/>
            <w:vAlign w:val="center"/>
          </w:tcPr>
          <w:p>
            <w:pPr>
              <w:spacing w:line="600" w:lineRule="exact"/>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0</w:t>
            </w:r>
          </w:p>
        </w:tc>
        <w:tc>
          <w:tcPr>
            <w:tcW w:w="600" w:type="dxa"/>
            <w:tcBorders>
              <w:top w:val="single" w:color="auto" w:sz="4" w:space="0"/>
              <w:left w:val="nil"/>
              <w:bottom w:val="single" w:color="auto" w:sz="4" w:space="0"/>
              <w:right w:val="single" w:color="auto" w:sz="4" w:space="0"/>
            </w:tcBorders>
            <w:shd w:val="clear" w:color="auto" w:fill="auto"/>
            <w:vAlign w:val="center"/>
          </w:tcPr>
          <w:p>
            <w:pPr>
              <w:spacing w:line="600" w:lineRule="exact"/>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0</w:t>
            </w:r>
          </w:p>
        </w:tc>
        <w:tc>
          <w:tcPr>
            <w:tcW w:w="668" w:type="dxa"/>
            <w:tcBorders>
              <w:top w:val="single" w:color="auto" w:sz="4" w:space="0"/>
              <w:left w:val="nil"/>
              <w:bottom w:val="single" w:color="auto" w:sz="4" w:space="0"/>
              <w:right w:val="single" w:color="auto" w:sz="4" w:space="0"/>
            </w:tcBorders>
            <w:shd w:val="clear" w:color="auto" w:fill="auto"/>
            <w:vAlign w:val="center"/>
          </w:tcPr>
          <w:p>
            <w:pPr>
              <w:spacing w:line="600" w:lineRule="exact"/>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0</w:t>
            </w:r>
          </w:p>
        </w:tc>
        <w:tc>
          <w:tcPr>
            <w:tcW w:w="605" w:type="dxa"/>
            <w:tcBorders>
              <w:top w:val="single" w:color="auto" w:sz="4" w:space="0"/>
              <w:left w:val="nil"/>
              <w:bottom w:val="single" w:color="auto" w:sz="4" w:space="0"/>
              <w:right w:val="single" w:color="auto" w:sz="4" w:space="0"/>
            </w:tcBorders>
            <w:shd w:val="clear" w:color="auto" w:fill="auto"/>
            <w:vAlign w:val="center"/>
          </w:tcPr>
          <w:p>
            <w:pPr>
              <w:spacing w:line="600" w:lineRule="exact"/>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0</w:t>
            </w:r>
          </w:p>
        </w:tc>
        <w:tc>
          <w:tcPr>
            <w:tcW w:w="605" w:type="dxa"/>
            <w:tcBorders>
              <w:top w:val="single" w:color="auto" w:sz="4" w:space="0"/>
              <w:left w:val="nil"/>
              <w:bottom w:val="single" w:color="auto" w:sz="4" w:space="0"/>
              <w:right w:val="single" w:color="auto" w:sz="4" w:space="0"/>
            </w:tcBorders>
            <w:shd w:val="clear" w:color="auto" w:fill="auto"/>
            <w:vAlign w:val="center"/>
          </w:tcPr>
          <w:p>
            <w:pPr>
              <w:spacing w:line="600" w:lineRule="exact"/>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0</w:t>
            </w:r>
          </w:p>
        </w:tc>
        <w:tc>
          <w:tcPr>
            <w:tcW w:w="605" w:type="dxa"/>
            <w:tcBorders>
              <w:top w:val="single" w:color="auto" w:sz="4" w:space="0"/>
              <w:left w:val="nil"/>
              <w:bottom w:val="single" w:color="auto" w:sz="4" w:space="0"/>
              <w:right w:val="single" w:color="auto" w:sz="4" w:space="0"/>
            </w:tcBorders>
            <w:shd w:val="clear" w:color="auto" w:fill="auto"/>
            <w:vAlign w:val="center"/>
          </w:tcPr>
          <w:p>
            <w:pPr>
              <w:spacing w:line="600" w:lineRule="exact"/>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0</w:t>
            </w:r>
          </w:p>
        </w:tc>
        <w:tc>
          <w:tcPr>
            <w:tcW w:w="605" w:type="dxa"/>
            <w:tcBorders>
              <w:top w:val="single" w:color="auto" w:sz="4" w:space="0"/>
              <w:left w:val="nil"/>
              <w:bottom w:val="single" w:color="auto" w:sz="4" w:space="0"/>
              <w:right w:val="single" w:color="auto" w:sz="4" w:space="0"/>
            </w:tcBorders>
            <w:shd w:val="clear" w:color="auto" w:fill="auto"/>
            <w:vAlign w:val="center"/>
          </w:tcPr>
          <w:p>
            <w:pPr>
              <w:spacing w:line="600" w:lineRule="exact"/>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0</w:t>
            </w:r>
          </w:p>
        </w:tc>
        <w:tc>
          <w:tcPr>
            <w:tcW w:w="605" w:type="dxa"/>
            <w:tcBorders>
              <w:top w:val="single" w:color="auto" w:sz="4" w:space="0"/>
              <w:left w:val="nil"/>
              <w:bottom w:val="single" w:color="auto" w:sz="4" w:space="0"/>
              <w:right w:val="single" w:color="auto" w:sz="4" w:space="0"/>
            </w:tcBorders>
            <w:shd w:val="clear" w:color="auto" w:fill="auto"/>
            <w:vAlign w:val="center"/>
          </w:tcPr>
          <w:p>
            <w:pPr>
              <w:spacing w:line="600" w:lineRule="exact"/>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0</w:t>
            </w:r>
          </w:p>
        </w:tc>
        <w:tc>
          <w:tcPr>
            <w:tcW w:w="605" w:type="dxa"/>
            <w:tcBorders>
              <w:top w:val="single" w:color="auto" w:sz="4" w:space="0"/>
              <w:left w:val="nil"/>
              <w:bottom w:val="single" w:color="auto" w:sz="4" w:space="0"/>
              <w:right w:val="single" w:color="auto" w:sz="4" w:space="0"/>
            </w:tcBorders>
            <w:shd w:val="clear" w:color="auto" w:fill="auto"/>
            <w:vAlign w:val="center"/>
          </w:tcPr>
          <w:p>
            <w:pPr>
              <w:spacing w:line="600" w:lineRule="exact"/>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0</w:t>
            </w:r>
          </w:p>
        </w:tc>
        <w:tc>
          <w:tcPr>
            <w:tcW w:w="606" w:type="dxa"/>
            <w:tcBorders>
              <w:top w:val="single" w:color="auto" w:sz="4" w:space="0"/>
              <w:left w:val="nil"/>
              <w:bottom w:val="single" w:color="auto" w:sz="4" w:space="0"/>
              <w:right w:val="single" w:color="auto" w:sz="4" w:space="0"/>
            </w:tcBorders>
            <w:shd w:val="clear" w:color="auto" w:fill="auto"/>
            <w:vAlign w:val="center"/>
          </w:tcPr>
          <w:p>
            <w:pPr>
              <w:spacing w:line="600" w:lineRule="exact"/>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0</w:t>
            </w:r>
          </w:p>
        </w:tc>
        <w:tc>
          <w:tcPr>
            <w:tcW w:w="606" w:type="dxa"/>
            <w:tcBorders>
              <w:top w:val="single" w:color="auto" w:sz="4" w:space="0"/>
              <w:left w:val="nil"/>
              <w:bottom w:val="single" w:color="auto" w:sz="4" w:space="0"/>
              <w:right w:val="single" w:color="auto" w:sz="4" w:space="0"/>
            </w:tcBorders>
            <w:shd w:val="clear" w:color="auto" w:fill="auto"/>
            <w:vAlign w:val="center"/>
          </w:tcPr>
          <w:p>
            <w:pPr>
              <w:spacing w:line="600" w:lineRule="exact"/>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t>0</w:t>
            </w:r>
          </w:p>
        </w:tc>
      </w:tr>
    </w:tbl>
    <w:p>
      <w:pPr>
        <w:spacing w:line="600" w:lineRule="exact"/>
        <w:ind w:firstLine="640" w:firstLineChars="200"/>
        <w:rPr>
          <w:rFonts w:hint="eastAsia" w:ascii="黑体" w:hAnsi="黑体" w:eastAsia="黑体" w:cs="黑体"/>
          <w:i w:val="0"/>
          <w:iCs w:val="0"/>
          <w:caps w:val="0"/>
          <w:color w:val="333333"/>
          <w:spacing w:val="0"/>
          <w:sz w:val="32"/>
          <w:szCs w:val="32"/>
          <w:shd w:val="clear" w:fill="FFFFFF"/>
          <w:lang w:val="en-US" w:eastAsia="zh-CN"/>
        </w:rPr>
      </w:pPr>
      <w:r>
        <w:rPr>
          <w:rFonts w:hint="eastAsia" w:ascii="黑体" w:hAnsi="黑体" w:eastAsia="黑体" w:cs="黑体"/>
          <w:i w:val="0"/>
          <w:iCs w:val="0"/>
          <w:caps w:val="0"/>
          <w:color w:val="333333"/>
          <w:spacing w:val="0"/>
          <w:sz w:val="32"/>
          <w:szCs w:val="32"/>
          <w:shd w:val="clear" w:fill="FFFFFF"/>
          <w:lang w:val="en-US" w:eastAsia="zh-CN"/>
        </w:rPr>
        <w:t>五、存在问题及改进情况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我中心政府信息公开存在问题：一是中心干部职工对政府信息公开的认识上还有待进一步提高；二是政府信息公开形式、质量还不够高，政策解读的形式还不够丰富。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下一步，我中心将从以下方面改进：一是加强对中心干部职工政府信息公开工作的培训。进一步提高中心干部职工对政府信息公开的认识，提高信息公开业务水平。二是进一步健全长效工作机制。进一步完善政府信息公开的工作制度，用制度来规范工作行为，严格规范信息发布程序，确保信息的时效性、鲜活性、准确性和全面性。三是进一步丰富信息内容公开形式，加强对政策的多元化解读，使农机各项工作再上一个新的台阶。</w:t>
      </w:r>
    </w:p>
    <w:p>
      <w:pPr>
        <w:spacing w:line="600" w:lineRule="exact"/>
        <w:ind w:firstLine="640" w:firstLineChars="200"/>
        <w:rPr>
          <w:rFonts w:hint="eastAsia" w:ascii="黑体" w:hAnsi="黑体" w:eastAsia="黑体" w:cs="黑体"/>
          <w:i w:val="0"/>
          <w:iCs w:val="0"/>
          <w:caps w:val="0"/>
          <w:color w:val="333333"/>
          <w:spacing w:val="0"/>
          <w:sz w:val="32"/>
          <w:szCs w:val="32"/>
          <w:shd w:val="clear" w:fill="FFFFFF"/>
          <w:lang w:val="en-US" w:eastAsia="zh-CN"/>
        </w:rPr>
      </w:pPr>
      <w:r>
        <w:rPr>
          <w:rFonts w:hint="eastAsia" w:ascii="黑体" w:hAnsi="黑体" w:eastAsia="黑体" w:cs="黑体"/>
          <w:i w:val="0"/>
          <w:iCs w:val="0"/>
          <w:caps w:val="0"/>
          <w:color w:val="333333"/>
          <w:spacing w:val="0"/>
          <w:sz w:val="32"/>
          <w:szCs w:val="32"/>
          <w:shd w:val="clear" w:fill="FFFFFF"/>
          <w:lang w:val="en-US" w:eastAsia="zh-CN"/>
        </w:rPr>
        <w:t>六、其他需要报告的事项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按照《国务院办公厅关于印发＜政府信息公开信息处理费管理办法＞的通知》（国办函[2020]109号）规定的按件、按量收费标准，本年度没有产生信息公开处理费。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120" w:firstLineChars="1600"/>
        <w:textAlignment w:val="auto"/>
        <w:rPr>
          <w:rFonts w:hint="default" w:ascii="仿宋_GB2312" w:hAnsi="仿宋_GB2312" w:eastAsia="仿宋_GB2312" w:cs="仿宋_GB2312"/>
          <w:i w:val="0"/>
          <w:iCs w:val="0"/>
          <w:caps w:val="0"/>
          <w:color w:val="333333"/>
          <w:spacing w:val="0"/>
          <w:sz w:val="32"/>
          <w:szCs w:val="32"/>
          <w:shd w:val="clear" w:fill="FFFFFF"/>
          <w:lang w:val="en-US" w:eastAsia="zh-CN"/>
        </w:rPr>
      </w:pPr>
    </w:p>
    <w:p>
      <w:pPr>
        <w:rPr>
          <w:rFonts w:ascii="微软雅黑" w:hAnsi="微软雅黑" w:eastAsia="微软雅黑" w:cs="微软雅黑"/>
          <w:i w:val="0"/>
          <w:iCs w:val="0"/>
          <w:caps w:val="0"/>
          <w:color w:val="333333"/>
          <w:spacing w:val="0"/>
          <w:sz w:val="21"/>
          <w:szCs w:val="21"/>
          <w:shd w:val="clear"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altName w:val="楷体_GB2312"/>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2YmM3OTg4MzY3ZWMxM2M0ZDJmODE5MzIxN2FmODEifQ=="/>
  </w:docVars>
  <w:rsids>
    <w:rsidRoot w:val="7E936029"/>
    <w:rsid w:val="0FC43BE9"/>
    <w:rsid w:val="1BCB5ABE"/>
    <w:rsid w:val="1C140D54"/>
    <w:rsid w:val="465405CE"/>
    <w:rsid w:val="55BC1BBF"/>
    <w:rsid w:val="59A35986"/>
    <w:rsid w:val="6C1F5711"/>
    <w:rsid w:val="732E5B8B"/>
    <w:rsid w:val="73751AC6"/>
    <w:rsid w:val="7E936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Hyperlink"/>
    <w:basedOn w:val="7"/>
    <w:autoRedefine/>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1935</Words>
  <Characters>2075</Characters>
  <Lines>0</Lines>
  <Paragraphs>0</Paragraphs>
  <TotalTime>27</TotalTime>
  <ScaleCrop>false</ScaleCrop>
  <LinksUpToDate>false</LinksUpToDate>
  <CharactersWithSpaces>2077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2023-01-13T06:41:00Z</dcterms:created>
  <dc:creator>马林</dc:creator>
  <cp:lastModifiedBy>马林</cp:lastModifiedBy>
  <cp:lastPrinted>2023-01-18T01:50:00Z</cp:lastPrinted>
  <dcterms:modified xsi:type="dcterms:W3CDTF">2024-02-21T03:25:55Z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72C96EB09478472299EA30B03356CF3F_13</vt:lpwstr>
  </property>
</Properties>
</file>