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snapToGrid/>
        <w:spacing w:beforeAutospacing="0" w:afterAutospacing="0" w:line="560" w:lineRule="exact"/>
        <w:ind w:firstLine="640" w:firstLineChars="200"/>
        <w:textAlignment w:val="auto"/>
        <w:rPr>
          <w:rFonts w:ascii="宋体" w:hAnsi="宋体" w:eastAsia="宋体" w:cs="宋体"/>
          <w:kern w:val="0"/>
          <w:sz w:val="24"/>
          <w:szCs w:val="24"/>
          <w14:ligatures w14:val="none"/>
        </w:rPr>
      </w:pPr>
      <w:r>
        <w:rPr>
          <w:rFonts w:hint="eastAsia" w:ascii="仿宋_GB2312" w:hAnsi="Times New Roman" w:eastAsia="仿宋_GB2312" w:cs="仿宋"/>
          <w:color w:val="000000"/>
          <w:kern w:val="0"/>
          <w:sz w:val="32"/>
          <w:szCs w:val="32"/>
          <w14:ligatures w14:val="none"/>
        </w:rPr>
        <w:t>本年度报告是根据《中华人民共和国政府信息公开条例》（国务院令</w:t>
      </w:r>
      <w:r>
        <w:rPr>
          <w:rFonts w:hint="eastAsia" w:ascii="Times New Roman" w:hAnsi="Times New Roman" w:eastAsia="仿宋_GB2312" w:cs="Times New Roman"/>
          <w:color w:val="000000"/>
          <w:kern w:val="0"/>
          <w:sz w:val="32"/>
          <w:szCs w:val="32"/>
          <w14:ligatures w14:val="none"/>
        </w:rPr>
        <w:t xml:space="preserve">711 </w:t>
      </w:r>
      <w:r>
        <w:rPr>
          <w:rFonts w:hint="eastAsia" w:ascii="仿宋_GB2312" w:hAnsi="Times New Roman" w:eastAsia="仿宋_GB2312" w:cs="仿宋"/>
          <w:color w:val="000000"/>
          <w:kern w:val="0"/>
          <w:sz w:val="32"/>
          <w:szCs w:val="32"/>
          <w14:ligatures w14:val="none"/>
        </w:rPr>
        <w:t>号）和《六安市政务公开办公室关于做好</w:t>
      </w:r>
      <w:r>
        <w:rPr>
          <w:rFonts w:hint="eastAsia" w:ascii="Times New Roman" w:hAnsi="Times New Roman" w:eastAsia="仿宋_GB2312" w:cs="Times New Roman"/>
          <w:color w:val="000000"/>
          <w:kern w:val="0"/>
          <w:sz w:val="32"/>
          <w:szCs w:val="32"/>
          <w14:ligatures w14:val="none"/>
        </w:rPr>
        <w:t xml:space="preserve">2022 </w:t>
      </w:r>
      <w:r>
        <w:rPr>
          <w:rFonts w:hint="eastAsia" w:ascii="仿宋_GB2312" w:hAnsi="Times New Roman" w:eastAsia="仿宋_GB2312" w:cs="仿宋"/>
          <w:color w:val="000000"/>
          <w:kern w:val="0"/>
          <w:sz w:val="32"/>
          <w:szCs w:val="32"/>
          <w14:ligatures w14:val="none"/>
        </w:rPr>
        <w:t>年度政府信息公开年度报告编制和发布工作的通知》（六政务公开办〔</w:t>
      </w:r>
      <w:r>
        <w:rPr>
          <w:rFonts w:hint="eastAsia" w:ascii="Times New Roman" w:hAnsi="Times New Roman" w:eastAsia="仿宋_GB2312" w:cs="Times New Roman"/>
          <w:color w:val="000000"/>
          <w:kern w:val="0"/>
          <w:sz w:val="32"/>
          <w:szCs w:val="32"/>
          <w14:ligatures w14:val="none"/>
        </w:rPr>
        <w:t>2022</w:t>
      </w:r>
      <w:r>
        <w:rPr>
          <w:rFonts w:hint="eastAsia" w:ascii="仿宋_GB2312" w:hAnsi="Times New Roman" w:eastAsia="仿宋_GB2312" w:cs="仿宋"/>
          <w:color w:val="000000"/>
          <w:kern w:val="0"/>
          <w:sz w:val="32"/>
          <w:szCs w:val="32"/>
          <w14:ligatures w14:val="none"/>
        </w:rPr>
        <w:t>〕</w:t>
      </w:r>
      <w:r>
        <w:rPr>
          <w:rFonts w:hint="eastAsia" w:ascii="Times New Roman" w:hAnsi="Times New Roman" w:eastAsia="仿宋_GB2312" w:cs="Times New Roman"/>
          <w:color w:val="000000"/>
          <w:kern w:val="0"/>
          <w:sz w:val="32"/>
          <w:szCs w:val="32"/>
          <w14:ligatures w14:val="none"/>
        </w:rPr>
        <w:t>53</w:t>
      </w:r>
      <w:r>
        <w:rPr>
          <w:rFonts w:hint="eastAsia" w:ascii="仿宋_GB2312" w:hAnsi="Times New Roman" w:eastAsia="仿宋_GB2312" w:cs="仿宋"/>
          <w:color w:val="000000"/>
          <w:kern w:val="0"/>
          <w:sz w:val="32"/>
          <w:szCs w:val="32"/>
          <w14:ligatures w14:val="none"/>
        </w:rPr>
        <w:t>号）要求，由霍邱县经济和信息化局编制。全文包括总体情况、主动公开政府信息情况、收到和处理政府信息公开申请情况、政府信息公开行政复议、行政诉讼情况，以及存在的主要问题和改进情况、其他需要报告的事项。本年度报告中使用的数据统计期限为</w:t>
      </w:r>
      <w:r>
        <w:rPr>
          <w:rFonts w:hint="eastAsia" w:ascii="Times New Roman" w:hAnsi="Times New Roman" w:eastAsia="仿宋_GB2312" w:cs="Times New Roman"/>
          <w:color w:val="000000"/>
          <w:kern w:val="0"/>
          <w:sz w:val="32"/>
          <w:szCs w:val="32"/>
          <w14:ligatures w14:val="none"/>
        </w:rPr>
        <w:t>2022</w:t>
      </w:r>
      <w:r>
        <w:rPr>
          <w:rFonts w:hint="eastAsia" w:ascii="仿宋_GB2312" w:hAnsi="Times New Roman" w:eastAsia="仿宋_GB2312" w:cs="仿宋"/>
          <w:color w:val="000000"/>
          <w:kern w:val="0"/>
          <w:sz w:val="32"/>
          <w:szCs w:val="32"/>
          <w14:ligatures w14:val="none"/>
        </w:rPr>
        <w:t>年</w:t>
      </w:r>
      <w:r>
        <w:rPr>
          <w:rFonts w:hint="eastAsia" w:ascii="Times New Roman" w:hAnsi="Times New Roman" w:eastAsia="仿宋_GB2312" w:cs="Times New Roman"/>
          <w:color w:val="000000"/>
          <w:kern w:val="0"/>
          <w:sz w:val="32"/>
          <w:szCs w:val="32"/>
          <w14:ligatures w14:val="none"/>
        </w:rPr>
        <w:t>1</w:t>
      </w:r>
      <w:r>
        <w:rPr>
          <w:rFonts w:hint="eastAsia" w:ascii="仿宋_GB2312" w:hAnsi="Times New Roman" w:eastAsia="仿宋_GB2312" w:cs="仿宋"/>
          <w:color w:val="000000"/>
          <w:kern w:val="0"/>
          <w:sz w:val="32"/>
          <w:szCs w:val="32"/>
          <w14:ligatures w14:val="none"/>
        </w:rPr>
        <w:t>月</w:t>
      </w:r>
      <w:r>
        <w:rPr>
          <w:rFonts w:hint="eastAsia" w:ascii="Times New Roman" w:hAnsi="Times New Roman" w:eastAsia="仿宋_GB2312" w:cs="Times New Roman"/>
          <w:color w:val="000000"/>
          <w:kern w:val="0"/>
          <w:sz w:val="32"/>
          <w:szCs w:val="32"/>
          <w14:ligatures w14:val="none"/>
        </w:rPr>
        <w:t>1</w:t>
      </w:r>
      <w:r>
        <w:rPr>
          <w:rFonts w:hint="eastAsia" w:ascii="仿宋_GB2312" w:hAnsi="Times New Roman" w:eastAsia="仿宋_GB2312" w:cs="仿宋"/>
          <w:color w:val="000000"/>
          <w:kern w:val="0"/>
          <w:sz w:val="32"/>
          <w:szCs w:val="32"/>
          <w14:ligatures w14:val="none"/>
        </w:rPr>
        <w:t>日至</w:t>
      </w:r>
      <w:r>
        <w:rPr>
          <w:rFonts w:hint="eastAsia" w:ascii="Times New Roman" w:hAnsi="Times New Roman" w:eastAsia="仿宋_GB2312" w:cs="Times New Roman"/>
          <w:color w:val="000000"/>
          <w:kern w:val="0"/>
          <w:sz w:val="32"/>
          <w:szCs w:val="32"/>
          <w14:ligatures w14:val="none"/>
        </w:rPr>
        <w:t>2022</w:t>
      </w:r>
      <w:r>
        <w:rPr>
          <w:rFonts w:hint="eastAsia" w:ascii="仿宋_GB2312" w:hAnsi="Times New Roman" w:eastAsia="仿宋_GB2312" w:cs="仿宋"/>
          <w:color w:val="000000"/>
          <w:kern w:val="0"/>
          <w:sz w:val="32"/>
          <w:szCs w:val="32"/>
          <w14:ligatures w14:val="none"/>
        </w:rPr>
        <w:t>年</w:t>
      </w:r>
      <w:r>
        <w:rPr>
          <w:rFonts w:hint="eastAsia" w:ascii="Times New Roman" w:hAnsi="Times New Roman" w:eastAsia="仿宋_GB2312" w:cs="Times New Roman"/>
          <w:color w:val="000000"/>
          <w:kern w:val="0"/>
          <w:sz w:val="32"/>
          <w:szCs w:val="32"/>
          <w14:ligatures w14:val="none"/>
        </w:rPr>
        <w:t>12</w:t>
      </w:r>
      <w:r>
        <w:rPr>
          <w:rFonts w:hint="eastAsia" w:ascii="仿宋_GB2312" w:hAnsi="Times New Roman" w:eastAsia="仿宋_GB2312" w:cs="仿宋"/>
          <w:color w:val="000000"/>
          <w:kern w:val="0"/>
          <w:sz w:val="32"/>
          <w:szCs w:val="32"/>
          <w14:ligatures w14:val="none"/>
        </w:rPr>
        <w:t>月</w:t>
      </w:r>
      <w:r>
        <w:rPr>
          <w:rFonts w:hint="eastAsia" w:ascii="Times New Roman" w:hAnsi="Times New Roman" w:eastAsia="仿宋_GB2312" w:cs="Times New Roman"/>
          <w:color w:val="000000"/>
          <w:kern w:val="0"/>
          <w:sz w:val="32"/>
          <w:szCs w:val="32"/>
          <w14:ligatures w14:val="none"/>
        </w:rPr>
        <w:t>31</w:t>
      </w:r>
      <w:r>
        <w:rPr>
          <w:rFonts w:hint="eastAsia" w:ascii="仿宋_GB2312" w:hAnsi="Times New Roman" w:eastAsia="仿宋_GB2312" w:cs="仿宋"/>
          <w:color w:val="000000"/>
          <w:kern w:val="0"/>
          <w:sz w:val="32"/>
          <w:szCs w:val="32"/>
          <w14:ligatures w14:val="none"/>
        </w:rPr>
        <w:t>日，本年度报告电子版可在霍邱县经济和信息化局信息公开平台下载。如对本报告有任何疑问，请与霍邱县经济和信息化局办公室联系（地址：六安市霍邱县城关镇行政服务中心九楼</w:t>
      </w:r>
      <w:r>
        <w:rPr>
          <w:rFonts w:hint="eastAsia" w:ascii="Times New Roman" w:hAnsi="Times New Roman" w:eastAsia="仿宋_GB2312" w:cs="Times New Roman"/>
          <w:color w:val="000000"/>
          <w:kern w:val="0"/>
          <w:sz w:val="32"/>
          <w:szCs w:val="32"/>
          <w14:ligatures w14:val="none"/>
        </w:rPr>
        <w:t>909</w:t>
      </w:r>
      <w:r>
        <w:rPr>
          <w:rFonts w:hint="eastAsia" w:ascii="仿宋_GB2312" w:hAnsi="Times New Roman" w:eastAsia="仿宋_GB2312" w:cs="仿宋"/>
          <w:color w:val="000000"/>
          <w:kern w:val="0"/>
          <w:sz w:val="32"/>
          <w:szCs w:val="32"/>
          <w14:ligatures w14:val="none"/>
        </w:rPr>
        <w:t>室；邮编：</w:t>
      </w:r>
      <w:r>
        <w:rPr>
          <w:rFonts w:hint="eastAsia" w:ascii="Times New Roman" w:hAnsi="Times New Roman" w:eastAsia="仿宋_GB2312" w:cs="Times New Roman"/>
          <w:color w:val="000000"/>
          <w:kern w:val="0"/>
          <w:sz w:val="32"/>
          <w:szCs w:val="32"/>
          <w14:ligatures w14:val="none"/>
        </w:rPr>
        <w:t>237400</w:t>
      </w:r>
      <w:r>
        <w:rPr>
          <w:rFonts w:hint="eastAsia" w:ascii="仿宋_GB2312" w:hAnsi="Times New Roman" w:eastAsia="仿宋_GB2312" w:cs="仿宋"/>
          <w:color w:val="000000"/>
          <w:kern w:val="0"/>
          <w:sz w:val="32"/>
          <w:szCs w:val="32"/>
          <w14:ligatures w14:val="none"/>
        </w:rPr>
        <w:t>；联系电话：</w:t>
      </w:r>
      <w:r>
        <w:rPr>
          <w:rFonts w:hint="eastAsia" w:ascii="Times New Roman" w:hAnsi="Times New Roman" w:eastAsia="仿宋_GB2312" w:cs="Times New Roman"/>
          <w:color w:val="000000"/>
          <w:kern w:val="0"/>
          <w:sz w:val="32"/>
          <w:szCs w:val="32"/>
          <w14:ligatures w14:val="none"/>
        </w:rPr>
        <w:t>0564-6021021</w:t>
      </w:r>
      <w:r>
        <w:rPr>
          <w:rFonts w:hint="eastAsia" w:ascii="仿宋_GB2312" w:hAnsi="Times New Roman" w:eastAsia="仿宋_GB2312" w:cs="仿宋"/>
          <w:color w:val="000000"/>
          <w:kern w:val="0"/>
          <w:sz w:val="32"/>
          <w:szCs w:val="32"/>
          <w14:ligatures w14:val="none"/>
        </w:rPr>
        <w:t>）。</w:t>
      </w:r>
    </w:p>
    <w:p>
      <w:pPr>
        <w:keepNext w:val="0"/>
        <w:keepLines w:val="0"/>
        <w:pageBreakBefore w:val="0"/>
        <w:widowControl/>
        <w:kinsoku/>
        <w:wordWrap/>
        <w:overflowPunct/>
        <w:topLinePunct w:val="0"/>
        <w:autoSpaceDE w:val="0"/>
        <w:autoSpaceDN/>
        <w:bidi w:val="0"/>
        <w:adjustRightInd/>
        <w:snapToGrid/>
        <w:spacing w:beforeAutospacing="0" w:afterAutospacing="0" w:line="560" w:lineRule="exact"/>
        <w:ind w:firstLine="640" w:firstLineChars="200"/>
        <w:jc w:val="left"/>
        <w:textAlignment w:val="auto"/>
        <w:outlineLvl w:val="0"/>
        <w:rPr>
          <w:rFonts w:ascii="宋体" w:hAnsi="宋体" w:eastAsia="宋体" w:cs="宋体"/>
          <w:kern w:val="0"/>
          <w:sz w:val="24"/>
          <w:szCs w:val="24"/>
          <w14:ligatures w14:val="none"/>
        </w:rPr>
      </w:pPr>
      <w:r>
        <w:rPr>
          <w:rFonts w:hint="eastAsia" w:ascii="黑体" w:hAnsi="黑体" w:eastAsia="黑体" w:cs="宋体"/>
          <w:color w:val="000000"/>
          <w:kern w:val="0"/>
          <w:sz w:val="32"/>
          <w:szCs w:val="32"/>
          <w14:ligatures w14:val="none"/>
        </w:rPr>
        <w:t>一、总体情况</w:t>
      </w:r>
    </w:p>
    <w:p>
      <w:pPr>
        <w:keepNext w:val="0"/>
        <w:keepLines w:val="0"/>
        <w:pageBreakBefore w:val="0"/>
        <w:widowControl/>
        <w:kinsoku/>
        <w:wordWrap/>
        <w:overflowPunct/>
        <w:topLinePunct w:val="0"/>
        <w:autoSpaceDE w:val="0"/>
        <w:autoSpaceDN/>
        <w:bidi w:val="0"/>
        <w:adjustRightInd/>
        <w:snapToGrid/>
        <w:spacing w:beforeAutospacing="0" w:afterAutospacing="0" w:line="560" w:lineRule="exact"/>
        <w:ind w:firstLine="420"/>
        <w:textAlignment w:val="auto"/>
        <w:outlineLvl w:val="1"/>
        <w:rPr>
          <w:rFonts w:ascii="宋体" w:hAnsi="宋体" w:eastAsia="宋体" w:cs="宋体"/>
          <w:kern w:val="0"/>
          <w:sz w:val="24"/>
          <w:szCs w:val="24"/>
          <w14:ligatures w14:val="none"/>
        </w:rPr>
      </w:pPr>
      <w:r>
        <w:rPr>
          <w:rFonts w:hint="eastAsia" w:ascii="楷体_GB2312" w:hAnsi="宋体" w:eastAsia="楷体_GB2312" w:cs="宋体"/>
          <w:b/>
          <w:bCs/>
          <w:color w:val="000000"/>
          <w:kern w:val="0"/>
          <w:sz w:val="32"/>
          <w:szCs w:val="32"/>
          <w14:ligatures w14:val="none"/>
        </w:rPr>
        <w:t>（一）主动公开情况：</w:t>
      </w:r>
      <w:r>
        <w:rPr>
          <w:rFonts w:hint="eastAsia" w:ascii="仿宋_GB2312" w:hAnsi="Times New Roman" w:eastAsia="仿宋_GB2312" w:cs="仿宋"/>
          <w:color w:val="000000"/>
          <w:kern w:val="0"/>
          <w:sz w:val="32"/>
          <w:szCs w:val="32"/>
          <w14:ligatures w14:val="none"/>
        </w:rPr>
        <w:t>霍邱县经济和信息化局严格按照政府信息公开工作要求的方式、程序、形式和时间规定，及时进行信息公开。围绕本县工业和经济发展目标等重点任务，及时公开重要政策文件，加大惠企政策及财政信息公开力度。同时，对意见征集从实际情况和政策规定等方面进行综合考虑，及时公开相关信息反馈结果。</w:t>
      </w:r>
      <w:r>
        <w:rPr>
          <w:rFonts w:hint="eastAsia" w:ascii="Times New Roman" w:hAnsi="Times New Roman" w:eastAsia="仿宋_GB2312" w:cs="Times New Roman"/>
          <w:color w:val="000000"/>
          <w:kern w:val="0"/>
          <w:sz w:val="32"/>
          <w:szCs w:val="32"/>
          <w14:ligatures w14:val="none"/>
        </w:rPr>
        <w:t>2022</w:t>
      </w:r>
      <w:r>
        <w:rPr>
          <w:rFonts w:hint="eastAsia" w:ascii="仿宋_GB2312" w:hAnsi="Times New Roman" w:eastAsia="仿宋_GB2312" w:cs="仿宋"/>
          <w:color w:val="000000"/>
          <w:kern w:val="0"/>
          <w:sz w:val="32"/>
          <w:szCs w:val="32"/>
          <w14:ligatures w14:val="none"/>
        </w:rPr>
        <w:t>年，县经信局</w:t>
      </w:r>
      <w:r>
        <w:rPr>
          <w:rFonts w:hint="eastAsia" w:ascii="仿宋_GB2312" w:hAnsi="仿宋" w:eastAsia="仿宋_GB2312" w:cs="宋体"/>
          <w:color w:val="000000"/>
          <w:sz w:val="32"/>
          <w:szCs w:val="32"/>
          <w:shd w:val="clear" w:color="auto" w:fill="FFFFFF"/>
          <w14:ligatures w14:val="none"/>
        </w:rPr>
        <w:t>共发布政府信息</w:t>
      </w:r>
      <w:r>
        <w:rPr>
          <w:rFonts w:ascii="Times New Roman" w:hAnsi="Times New Roman" w:eastAsia="仿宋_GB2312" w:cs="Times New Roman"/>
          <w:color w:val="000000"/>
          <w:sz w:val="32"/>
          <w:szCs w:val="32"/>
          <w:shd w:val="clear" w:color="auto" w:fill="FFFFFF"/>
          <w14:ligatures w14:val="none"/>
        </w:rPr>
        <w:t>196</w:t>
      </w:r>
      <w:r>
        <w:rPr>
          <w:rFonts w:hint="eastAsia" w:ascii="仿宋_GB2312" w:hAnsi="仿宋" w:eastAsia="仿宋_GB2312" w:cs="宋体"/>
          <w:color w:val="000000"/>
          <w:sz w:val="32"/>
          <w:szCs w:val="32"/>
          <w:shd w:val="clear" w:color="auto" w:fill="FFFFFF"/>
          <w14:ligatures w14:val="none"/>
        </w:rPr>
        <w:t>条。</w:t>
      </w:r>
    </w:p>
    <w:p>
      <w:pPr>
        <w:keepNext w:val="0"/>
        <w:keepLines w:val="0"/>
        <w:pageBreakBefore w:val="0"/>
        <w:widowControl/>
        <w:kinsoku/>
        <w:wordWrap/>
        <w:overflowPunct/>
        <w:topLinePunct w:val="0"/>
        <w:autoSpaceDE w:val="0"/>
        <w:autoSpaceDN/>
        <w:bidi w:val="0"/>
        <w:adjustRightInd/>
        <w:snapToGrid/>
        <w:spacing w:beforeAutospacing="0" w:afterAutospacing="0" w:line="560" w:lineRule="exact"/>
        <w:ind w:firstLine="420"/>
        <w:textAlignment w:val="auto"/>
        <w:outlineLvl w:val="1"/>
        <w:rPr>
          <w:rFonts w:ascii="宋体" w:hAnsi="宋体" w:eastAsia="宋体" w:cs="宋体"/>
          <w:kern w:val="0"/>
          <w:sz w:val="24"/>
          <w:szCs w:val="24"/>
          <w14:ligatures w14:val="none"/>
        </w:rPr>
      </w:pPr>
      <w:r>
        <w:rPr>
          <w:rFonts w:hint="eastAsia" w:ascii="楷体_GB2312" w:hAnsi="宋体" w:eastAsia="楷体_GB2312" w:cs="宋体"/>
          <w:b/>
          <w:bCs/>
          <w:color w:val="000000"/>
          <w:kern w:val="0"/>
          <w:sz w:val="32"/>
          <w:szCs w:val="32"/>
          <w14:ligatures w14:val="none"/>
        </w:rPr>
        <w:t>（二）依申请公开情况：</w:t>
      </w:r>
      <w:r>
        <w:rPr>
          <w:rFonts w:hint="eastAsia" w:ascii="仿宋_GB2312" w:hAnsi="Times New Roman" w:eastAsia="仿宋_GB2312" w:cs="仿宋"/>
          <w:color w:val="000000"/>
          <w:kern w:val="0"/>
          <w:sz w:val="32"/>
          <w:szCs w:val="32"/>
          <w14:ligatures w14:val="none"/>
        </w:rPr>
        <w:t>我局依照《中华人民共和国政府信息公开条例》（国务院令第</w:t>
      </w:r>
      <w:r>
        <w:rPr>
          <w:rFonts w:hint="eastAsia" w:ascii="仿宋_GB2312" w:hAnsi="Times New Roman" w:eastAsia="仿宋_GB2312" w:cs="仿宋"/>
          <w:color w:val="000000"/>
          <w:kern w:val="0"/>
          <w:sz w:val="32"/>
          <w:szCs w:val="32"/>
          <w:shd w:val="clear" w:color="auto" w:fill="FFFFFF"/>
          <w14:ligatures w14:val="none"/>
        </w:rPr>
        <w:t>492号公布，国务院令第711号修订)，制定《霍邱县经济和信息化局信息公开指南》，保障依申请公开的办理程序规范有序。2022年度我局未收到依申请公开申请事项。</w:t>
      </w:r>
    </w:p>
    <w:p>
      <w:pPr>
        <w:keepNext w:val="0"/>
        <w:keepLines w:val="0"/>
        <w:pageBreakBefore w:val="0"/>
        <w:widowControl/>
        <w:kinsoku/>
        <w:wordWrap/>
        <w:overflowPunct/>
        <w:topLinePunct w:val="0"/>
        <w:autoSpaceDE w:val="0"/>
        <w:autoSpaceDN/>
        <w:bidi w:val="0"/>
        <w:adjustRightInd/>
        <w:snapToGrid/>
        <w:spacing w:beforeAutospacing="0" w:afterAutospacing="0" w:line="560" w:lineRule="exact"/>
        <w:ind w:firstLine="420"/>
        <w:textAlignment w:val="auto"/>
        <w:outlineLvl w:val="1"/>
        <w:rPr>
          <w:rFonts w:ascii="宋体" w:hAnsi="宋体" w:eastAsia="宋体" w:cs="宋体"/>
          <w:kern w:val="0"/>
          <w:sz w:val="24"/>
          <w:szCs w:val="24"/>
          <w14:ligatures w14:val="none"/>
        </w:rPr>
      </w:pPr>
      <w:r>
        <w:rPr>
          <w:rFonts w:hint="eastAsia" w:ascii="楷体_GB2312" w:hAnsi="宋体" w:eastAsia="楷体_GB2312" w:cs="宋体"/>
          <w:b/>
          <w:bCs/>
          <w:color w:val="000000"/>
          <w:kern w:val="0"/>
          <w:sz w:val="32"/>
          <w:szCs w:val="32"/>
          <w14:ligatures w14:val="none"/>
        </w:rPr>
        <w:t>（三）政府信息管理情况：</w:t>
      </w:r>
      <w:r>
        <w:rPr>
          <w:rFonts w:hint="eastAsia" w:ascii="仿宋_GB2312" w:hAnsi="Times New Roman" w:eastAsia="仿宋_GB2312" w:cs="仿宋"/>
          <w:color w:val="000000"/>
          <w:kern w:val="0"/>
          <w:sz w:val="32"/>
          <w:szCs w:val="32"/>
          <w14:ligatures w14:val="none"/>
        </w:rPr>
        <w:t>逐步规范政府信息管理，每季度对政府信息公开的材料进行充实完善，进一步提高信息质量和信息密度。完善责任机制，各股室负责保证所提供材料信息的真实性、准确性，严格做到内容准确无误、附件可读有效。对于个人隐私等信息，及时进行相关信息的清理整改。</w:t>
      </w:r>
    </w:p>
    <w:p>
      <w:pPr>
        <w:keepNext w:val="0"/>
        <w:keepLines w:val="0"/>
        <w:pageBreakBefore w:val="0"/>
        <w:widowControl/>
        <w:shd w:val="clear" w:color="auto" w:fill="FFFFFF"/>
        <w:kinsoku/>
        <w:wordWrap/>
        <w:overflowPunct/>
        <w:topLinePunct w:val="0"/>
        <w:autoSpaceDE w:val="0"/>
        <w:autoSpaceDN/>
        <w:bidi w:val="0"/>
        <w:adjustRightInd/>
        <w:snapToGrid/>
        <w:spacing w:beforeAutospacing="0" w:afterAutospacing="0" w:line="560" w:lineRule="exact"/>
        <w:ind w:firstLine="420"/>
        <w:jc w:val="left"/>
        <w:textAlignment w:val="auto"/>
        <w:outlineLvl w:val="1"/>
        <w:rPr>
          <w:rFonts w:ascii="宋体" w:hAnsi="宋体" w:eastAsia="宋体" w:cs="宋体"/>
          <w:b/>
          <w:bCs/>
          <w:kern w:val="0"/>
          <w:sz w:val="36"/>
          <w:szCs w:val="36"/>
          <w14:ligatures w14:val="none"/>
        </w:rPr>
      </w:pPr>
      <w:r>
        <w:rPr>
          <w:rFonts w:hint="eastAsia" w:ascii="楷体_GB2312" w:hAnsi="宋体" w:eastAsia="楷体_GB2312" w:cs="宋体"/>
          <w:b/>
          <w:bCs/>
          <w:color w:val="000000"/>
          <w:kern w:val="0"/>
          <w:sz w:val="32"/>
          <w:szCs w:val="32"/>
          <w14:ligatures w14:val="none"/>
        </w:rPr>
        <w:t>（四）政府信息公开平台建设情况：</w:t>
      </w:r>
      <w:r>
        <w:rPr>
          <w:rFonts w:hint="eastAsia" w:ascii="仿宋_GB2312" w:hAnsi="宋体" w:eastAsia="仿宋_GB2312" w:cs="宋体"/>
          <w:color w:val="000000"/>
          <w:kern w:val="0"/>
          <w:sz w:val="32"/>
          <w:szCs w:val="32"/>
          <w14:ligatures w14:val="none"/>
        </w:rPr>
        <w:t>县经信局认真贯彻落实政府信息公开要求，及时对平台内容查漏补缺，每季度核查信息目录及内容，确保政府信息公开分类正确、内容严谨规范，扎实推进政府信息公开平台建设。</w:t>
      </w:r>
    </w:p>
    <w:p>
      <w:pPr>
        <w:keepNext w:val="0"/>
        <w:keepLines w:val="0"/>
        <w:pageBreakBefore w:val="0"/>
        <w:widowControl/>
        <w:shd w:val="clear" w:color="auto" w:fill="FFFFFF"/>
        <w:kinsoku/>
        <w:wordWrap/>
        <w:overflowPunct/>
        <w:topLinePunct w:val="0"/>
        <w:autoSpaceDE w:val="0"/>
        <w:autoSpaceDN/>
        <w:bidi w:val="0"/>
        <w:adjustRightInd/>
        <w:snapToGrid/>
        <w:spacing w:beforeAutospacing="0" w:afterAutospacing="0" w:line="560" w:lineRule="exact"/>
        <w:ind w:firstLine="420"/>
        <w:jc w:val="left"/>
        <w:textAlignment w:val="auto"/>
        <w:outlineLvl w:val="1"/>
        <w:rPr>
          <w:rFonts w:ascii="宋体" w:hAnsi="宋体" w:eastAsia="宋体" w:cs="宋体"/>
          <w:b/>
          <w:bCs/>
          <w:kern w:val="0"/>
          <w:sz w:val="36"/>
          <w:szCs w:val="36"/>
          <w14:ligatures w14:val="none"/>
        </w:rPr>
      </w:pPr>
      <w:r>
        <w:rPr>
          <w:rFonts w:hint="eastAsia" w:ascii="楷体_GB2312" w:hAnsi="宋体" w:eastAsia="楷体_GB2312" w:cs="宋体"/>
          <w:b/>
          <w:bCs/>
          <w:color w:val="000000"/>
          <w:kern w:val="0"/>
          <w:sz w:val="32"/>
          <w:szCs w:val="32"/>
          <w14:ligatures w14:val="none"/>
        </w:rPr>
        <w:t>（五）监督保障情况：</w:t>
      </w:r>
      <w:r>
        <w:rPr>
          <w:rFonts w:hint="eastAsia" w:ascii="仿宋_GB2312" w:hAnsi="Times New Roman" w:eastAsia="仿宋_GB2312" w:cs="仿宋"/>
          <w:color w:val="000000"/>
          <w:kern w:val="0"/>
          <w:sz w:val="32"/>
          <w:szCs w:val="32"/>
          <w14:ligatures w14:val="none"/>
        </w:rPr>
        <w:t>建立健全信息公开监督管理制度，严格把关上网信息质量，并及时整改存在的问题。</w:t>
      </w:r>
      <w:r>
        <w:rPr>
          <w:rFonts w:hint="eastAsia" w:ascii="仿宋_GB2312" w:hAnsi="Times New Roman" w:eastAsia="仿宋_GB2312" w:cs="仿宋"/>
          <w:bCs/>
          <w:color w:val="000000"/>
          <w:kern w:val="0"/>
          <w:sz w:val="32"/>
          <w:szCs w:val="32"/>
          <w14:ligatures w14:val="none"/>
        </w:rPr>
        <w:t>县经信局</w:t>
      </w:r>
      <w:r>
        <w:rPr>
          <w:rFonts w:hint="eastAsia" w:ascii="Times New Roman" w:hAnsi="Times New Roman" w:eastAsia="仿宋_GB2312" w:cs="Times New Roman"/>
          <w:color w:val="000000"/>
          <w:kern w:val="0"/>
          <w:sz w:val="32"/>
          <w:szCs w:val="32"/>
          <w14:ligatures w14:val="none"/>
        </w:rPr>
        <w:t>2022</w:t>
      </w:r>
      <w:r>
        <w:rPr>
          <w:rFonts w:hint="eastAsia" w:ascii="仿宋_GB2312" w:hAnsi="Times New Roman" w:eastAsia="仿宋_GB2312" w:cs="仿宋"/>
          <w:color w:val="000000"/>
          <w:kern w:val="0"/>
          <w:sz w:val="32"/>
          <w:szCs w:val="32"/>
          <w14:ligatures w14:val="none"/>
        </w:rPr>
        <w:t>年先后对照反馈意见开展综合整改</w:t>
      </w:r>
      <w:r>
        <w:rPr>
          <w:rFonts w:hint="eastAsia" w:ascii="Times New Roman" w:hAnsi="Times New Roman" w:eastAsia="仿宋_GB2312" w:cs="Times New Roman"/>
          <w:color w:val="000000"/>
          <w:kern w:val="0"/>
          <w:sz w:val="32"/>
          <w:szCs w:val="32"/>
          <w14:ligatures w14:val="none"/>
        </w:rPr>
        <w:t>4</w:t>
      </w:r>
      <w:r>
        <w:rPr>
          <w:rFonts w:hint="eastAsia" w:ascii="仿宋_GB2312" w:hAnsi="Times New Roman" w:eastAsia="仿宋_GB2312" w:cs="仿宋"/>
          <w:color w:val="000000"/>
          <w:kern w:val="0"/>
          <w:sz w:val="32"/>
          <w:szCs w:val="32"/>
          <w14:ligatures w14:val="none"/>
        </w:rPr>
        <w:t>次，完成对</w:t>
      </w:r>
      <w:r>
        <w:rPr>
          <w:rFonts w:hint="eastAsia" w:ascii="Times New Roman" w:hAnsi="Times New Roman" w:eastAsia="仿宋_GB2312" w:cs="Times New Roman"/>
          <w:color w:val="000000"/>
          <w:kern w:val="0"/>
          <w:sz w:val="32"/>
          <w:szCs w:val="32"/>
          <w14:ligatures w14:val="none"/>
        </w:rPr>
        <w:t>52</w:t>
      </w:r>
      <w:r>
        <w:rPr>
          <w:rFonts w:hint="eastAsia" w:ascii="仿宋_GB2312" w:hAnsi="Times New Roman" w:eastAsia="仿宋_GB2312" w:cs="仿宋"/>
          <w:color w:val="000000"/>
          <w:kern w:val="0"/>
          <w:sz w:val="32"/>
          <w:szCs w:val="32"/>
          <w14:ligatures w14:val="none"/>
        </w:rPr>
        <w:t>项问题的专项整改，并将整改结果以季度政务公开监测整改台账的形式在网站上予以公开。</w:t>
      </w:r>
    </w:p>
    <w:p>
      <w:pPr>
        <w:widowControl/>
        <w:autoSpaceDE w:val="0"/>
        <w:spacing w:before="100" w:beforeAutospacing="1" w:after="100" w:afterAutospacing="1" w:line="560" w:lineRule="exact"/>
        <w:ind w:firstLine="640" w:firstLineChars="200"/>
        <w:jc w:val="left"/>
        <w:outlineLvl w:val="0"/>
        <w:rPr>
          <w:rFonts w:ascii="宋体" w:hAnsi="宋体" w:eastAsia="宋体" w:cs="宋体"/>
          <w:kern w:val="0"/>
          <w:sz w:val="24"/>
          <w:szCs w:val="24"/>
          <w14:ligatures w14:val="none"/>
        </w:rPr>
      </w:pPr>
      <w:r>
        <w:rPr>
          <w:rFonts w:hint="eastAsia" w:ascii="黑体" w:hAnsi="黑体" w:eastAsia="黑体" w:cs="宋体"/>
          <w:color w:val="000000"/>
          <w:kern w:val="0"/>
          <w:sz w:val="32"/>
          <w:szCs w:val="32"/>
          <w14:ligatures w14:val="none"/>
        </w:rPr>
        <w:t>二、主动公开政府信息情况</w:t>
      </w:r>
    </w:p>
    <w:tbl>
      <w:tblPr>
        <w:tblStyle w:val="5"/>
        <w:tblW w:w="5000" w:type="pct"/>
        <w:jc w:val="center"/>
        <w:tblLayout w:type="autofit"/>
        <w:tblCellMar>
          <w:top w:w="0" w:type="dxa"/>
          <w:left w:w="0" w:type="dxa"/>
          <w:bottom w:w="0" w:type="dxa"/>
          <w:right w:w="0" w:type="dxa"/>
        </w:tblCellMar>
      </w:tblPr>
      <w:tblGrid>
        <w:gridCol w:w="2649"/>
        <w:gridCol w:w="1663"/>
        <w:gridCol w:w="2319"/>
        <w:gridCol w:w="2429"/>
      </w:tblGrid>
      <w:tr>
        <w:tblPrEx>
          <w:tblCellMar>
            <w:top w:w="0" w:type="dxa"/>
            <w:left w:w="0" w:type="dxa"/>
            <w:bottom w:w="0" w:type="dxa"/>
            <w:right w:w="0" w:type="dxa"/>
          </w:tblCellMar>
        </w:tblPrEx>
        <w:trPr>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第二十条第（一）项</w:t>
            </w:r>
          </w:p>
        </w:tc>
      </w:tr>
      <w:tr>
        <w:tblPrEx>
          <w:tblCellMar>
            <w:top w:w="0" w:type="dxa"/>
            <w:left w:w="0" w:type="dxa"/>
            <w:bottom w:w="0" w:type="dxa"/>
            <w:right w:w="0" w:type="dxa"/>
          </w:tblCellMar>
        </w:tblPrEx>
        <w:trPr>
          <w:jc w:val="center"/>
        </w:trPr>
        <w:tc>
          <w:tcPr>
            <w:tcW w:w="1462"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信息内容</w:t>
            </w:r>
          </w:p>
        </w:tc>
        <w:tc>
          <w:tcPr>
            <w:tcW w:w="918" w:type="pc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本年</w:t>
            </w:r>
          </w:p>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333333"/>
                <w:kern w:val="0"/>
                <w:sz w:val="24"/>
                <w:szCs w:val="24"/>
                <w14:ligatures w14:val="none"/>
              </w:rPr>
              <w:t>制发件数</w:t>
            </w:r>
          </w:p>
        </w:tc>
        <w:tc>
          <w:tcPr>
            <w:tcW w:w="1280" w:type="pc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本年废止件数</w:t>
            </w:r>
          </w:p>
        </w:tc>
        <w:tc>
          <w:tcPr>
            <w:tcW w:w="1338"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现行有效件数</w:t>
            </w:r>
          </w:p>
        </w:tc>
      </w:tr>
      <w:tr>
        <w:tblPrEx>
          <w:tblCellMar>
            <w:top w:w="0" w:type="dxa"/>
            <w:left w:w="0" w:type="dxa"/>
            <w:bottom w:w="0" w:type="dxa"/>
            <w:right w:w="0" w:type="dxa"/>
          </w:tblCellMar>
        </w:tblPrEx>
        <w:trPr>
          <w:jc w:val="center"/>
        </w:trPr>
        <w:tc>
          <w:tcPr>
            <w:tcW w:w="1462"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规章</w:t>
            </w:r>
          </w:p>
        </w:tc>
        <w:tc>
          <w:tcPr>
            <w:tcW w:w="918"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128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1338"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CellMar>
            <w:top w:w="0" w:type="dxa"/>
            <w:left w:w="0" w:type="dxa"/>
            <w:bottom w:w="0" w:type="dxa"/>
            <w:right w:w="0" w:type="dxa"/>
          </w:tblCellMar>
        </w:tblPrEx>
        <w:trPr>
          <w:jc w:val="center"/>
        </w:trPr>
        <w:tc>
          <w:tcPr>
            <w:tcW w:w="1462"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行政规范性文件</w:t>
            </w:r>
          </w:p>
        </w:tc>
        <w:tc>
          <w:tcPr>
            <w:tcW w:w="918"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128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1338"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宋体" w:cs="Times New Roman"/>
                <w:color w:val="000000"/>
                <w:kern w:val="0"/>
                <w:sz w:val="24"/>
                <w:szCs w:val="24"/>
                <w14:ligatures w14:val="none"/>
              </w:rPr>
              <w:t>3</w:t>
            </w:r>
          </w:p>
        </w:tc>
      </w:tr>
      <w:tr>
        <w:tblPrEx>
          <w:tblCellMar>
            <w:top w:w="0" w:type="dxa"/>
            <w:left w:w="0" w:type="dxa"/>
            <w:bottom w:w="0" w:type="dxa"/>
            <w:right w:w="0" w:type="dxa"/>
          </w:tblCellMar>
        </w:tblPrEx>
        <w:trPr>
          <w:jc w:val="center"/>
        </w:trPr>
        <w:tc>
          <w:tcPr>
            <w:tcW w:w="5000" w:type="pct"/>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第二十条第（五）项</w:t>
            </w:r>
          </w:p>
        </w:tc>
      </w:tr>
      <w:tr>
        <w:tblPrEx>
          <w:tblCellMar>
            <w:top w:w="0" w:type="dxa"/>
            <w:left w:w="0" w:type="dxa"/>
            <w:bottom w:w="0" w:type="dxa"/>
            <w:right w:w="0" w:type="dxa"/>
          </w:tblCellMar>
        </w:tblPrEx>
        <w:trPr>
          <w:jc w:val="center"/>
        </w:trPr>
        <w:tc>
          <w:tcPr>
            <w:tcW w:w="1462"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信息内容</w:t>
            </w:r>
          </w:p>
        </w:tc>
        <w:tc>
          <w:tcPr>
            <w:tcW w:w="3537" w:type="pct"/>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本年处理决定数量</w:t>
            </w:r>
          </w:p>
        </w:tc>
      </w:tr>
      <w:tr>
        <w:tblPrEx>
          <w:tblCellMar>
            <w:top w:w="0" w:type="dxa"/>
            <w:left w:w="0" w:type="dxa"/>
            <w:bottom w:w="0" w:type="dxa"/>
            <w:right w:w="0" w:type="dxa"/>
          </w:tblCellMar>
        </w:tblPrEx>
        <w:trPr>
          <w:jc w:val="center"/>
        </w:trPr>
        <w:tc>
          <w:tcPr>
            <w:tcW w:w="1462"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行政许可</w:t>
            </w:r>
          </w:p>
        </w:tc>
        <w:tc>
          <w:tcPr>
            <w:tcW w:w="3537"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CellMar>
            <w:top w:w="0" w:type="dxa"/>
            <w:left w:w="0" w:type="dxa"/>
            <w:bottom w:w="0" w:type="dxa"/>
            <w:right w:w="0" w:type="dxa"/>
          </w:tblCellMar>
        </w:tblPrEx>
        <w:trPr>
          <w:jc w:val="center"/>
        </w:trPr>
        <w:tc>
          <w:tcPr>
            <w:tcW w:w="5000" w:type="pct"/>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第二十条第（六）项</w:t>
            </w:r>
          </w:p>
        </w:tc>
      </w:tr>
      <w:tr>
        <w:tblPrEx>
          <w:tblCellMar>
            <w:top w:w="0" w:type="dxa"/>
            <w:left w:w="0" w:type="dxa"/>
            <w:bottom w:w="0" w:type="dxa"/>
            <w:right w:w="0" w:type="dxa"/>
          </w:tblCellMar>
        </w:tblPrEx>
        <w:trPr>
          <w:jc w:val="center"/>
        </w:trPr>
        <w:tc>
          <w:tcPr>
            <w:tcW w:w="1462"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信息内容</w:t>
            </w:r>
          </w:p>
        </w:tc>
        <w:tc>
          <w:tcPr>
            <w:tcW w:w="3537" w:type="pct"/>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本年处理决定数量</w:t>
            </w:r>
          </w:p>
        </w:tc>
      </w:tr>
      <w:tr>
        <w:tblPrEx>
          <w:tblCellMar>
            <w:top w:w="0" w:type="dxa"/>
            <w:left w:w="0" w:type="dxa"/>
            <w:bottom w:w="0" w:type="dxa"/>
            <w:right w:w="0" w:type="dxa"/>
          </w:tblCellMar>
        </w:tblPrEx>
        <w:trPr>
          <w:jc w:val="center"/>
        </w:trPr>
        <w:tc>
          <w:tcPr>
            <w:tcW w:w="1462"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行政处罚</w:t>
            </w:r>
          </w:p>
        </w:tc>
        <w:tc>
          <w:tcPr>
            <w:tcW w:w="3537"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CellMar>
            <w:top w:w="0" w:type="dxa"/>
            <w:left w:w="0" w:type="dxa"/>
            <w:bottom w:w="0" w:type="dxa"/>
            <w:right w:w="0" w:type="dxa"/>
          </w:tblCellMar>
        </w:tblPrEx>
        <w:trPr>
          <w:jc w:val="center"/>
        </w:trPr>
        <w:tc>
          <w:tcPr>
            <w:tcW w:w="1462"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行政强制</w:t>
            </w:r>
          </w:p>
        </w:tc>
        <w:tc>
          <w:tcPr>
            <w:tcW w:w="3537"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CellMar>
            <w:top w:w="0" w:type="dxa"/>
            <w:left w:w="0" w:type="dxa"/>
            <w:bottom w:w="0" w:type="dxa"/>
            <w:right w:w="0" w:type="dxa"/>
          </w:tblCellMar>
        </w:tblPrEx>
        <w:trPr>
          <w:jc w:val="center"/>
        </w:trPr>
        <w:tc>
          <w:tcPr>
            <w:tcW w:w="5000" w:type="pct"/>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第二十条第（八）项</w:t>
            </w:r>
          </w:p>
        </w:tc>
      </w:tr>
      <w:tr>
        <w:tblPrEx>
          <w:tblCellMar>
            <w:top w:w="0" w:type="dxa"/>
            <w:left w:w="0" w:type="dxa"/>
            <w:bottom w:w="0" w:type="dxa"/>
            <w:right w:w="0" w:type="dxa"/>
          </w:tblCellMar>
        </w:tblPrEx>
        <w:trPr>
          <w:jc w:val="center"/>
        </w:trPr>
        <w:tc>
          <w:tcPr>
            <w:tcW w:w="1462"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信息内容</w:t>
            </w:r>
          </w:p>
        </w:tc>
        <w:tc>
          <w:tcPr>
            <w:tcW w:w="3537"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本年收费金额（单位：万元）</w:t>
            </w:r>
          </w:p>
        </w:tc>
      </w:tr>
      <w:tr>
        <w:tblPrEx>
          <w:tblCellMar>
            <w:top w:w="0" w:type="dxa"/>
            <w:left w:w="0" w:type="dxa"/>
            <w:bottom w:w="0" w:type="dxa"/>
            <w:right w:w="0" w:type="dxa"/>
          </w:tblCellMar>
        </w:tblPrEx>
        <w:trPr>
          <w:jc w:val="center"/>
        </w:trPr>
        <w:tc>
          <w:tcPr>
            <w:tcW w:w="1462"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行政事业性收费</w:t>
            </w:r>
          </w:p>
        </w:tc>
        <w:tc>
          <w:tcPr>
            <w:tcW w:w="3537"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bl>
    <w:p>
      <w:pPr>
        <w:widowControl/>
        <w:autoSpaceDE w:val="0"/>
        <w:spacing w:before="100" w:beforeAutospacing="1" w:after="100" w:afterAutospacing="1" w:line="560" w:lineRule="exact"/>
        <w:ind w:firstLine="640" w:firstLineChars="200"/>
        <w:jc w:val="left"/>
        <w:outlineLvl w:val="0"/>
        <w:rPr>
          <w:rFonts w:ascii="宋体" w:hAnsi="宋体" w:eastAsia="宋体" w:cs="宋体"/>
          <w:kern w:val="0"/>
          <w:sz w:val="24"/>
          <w:szCs w:val="24"/>
          <w14:ligatures w14:val="none"/>
        </w:rPr>
      </w:pPr>
      <w:r>
        <w:rPr>
          <w:rFonts w:hint="eastAsia" w:ascii="黑体" w:hAnsi="黑体" w:eastAsia="黑体" w:cs="宋体"/>
          <w:color w:val="000000"/>
          <w:kern w:val="0"/>
          <w:sz w:val="32"/>
          <w:szCs w:val="32"/>
          <w14:ligatures w14:val="none"/>
        </w:rPr>
        <w:t>三、收到和处理政府信息公开申请情况</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079"/>
        <w:gridCol w:w="1155"/>
        <w:gridCol w:w="2541"/>
        <w:gridCol w:w="565"/>
        <w:gridCol w:w="620"/>
        <w:gridCol w:w="620"/>
        <w:gridCol w:w="729"/>
        <w:gridCol w:w="729"/>
        <w:gridCol w:w="511"/>
        <w:gridCol w:w="51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gridSpan w:val="3"/>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（本列数据的勾稽关系为：第一项加第二项之和，等于第三项加第四项之和）</w:t>
            </w:r>
          </w:p>
        </w:tc>
        <w:tc>
          <w:tcPr>
            <w:tcW w:w="0" w:type="auto"/>
            <w:gridSpan w:val="7"/>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自然人</w:t>
            </w:r>
          </w:p>
        </w:tc>
        <w:tc>
          <w:tcPr>
            <w:tcW w:w="0" w:type="auto"/>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法人或其他组织</w:t>
            </w:r>
          </w:p>
        </w:tc>
        <w:tc>
          <w:tcPr>
            <w:tcW w:w="0" w:type="auto"/>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商业企业</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科研机构</w:t>
            </w:r>
          </w:p>
        </w:tc>
        <w:tc>
          <w:tcPr>
            <w:tcW w:w="0" w:type="auto"/>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社会公益组织</w:t>
            </w:r>
          </w:p>
        </w:tc>
        <w:tc>
          <w:tcPr>
            <w:tcW w:w="0" w:type="auto"/>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法律服务机构</w:t>
            </w:r>
          </w:p>
        </w:tc>
        <w:tc>
          <w:tcPr>
            <w:tcW w:w="0" w:type="auto"/>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一、本年新收政府信息公开申请数量</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Calibri" w:hAnsi="Calibri" w:eastAsia="仿宋" w:cs="Calibri"/>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Times New Roman" w:hAnsi="Times New Roman" w:eastAsia="宋体"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二、上年结转政府信息公开申请数量</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三、本年度办理结果</w:t>
            </w:r>
          </w:p>
        </w:tc>
        <w:tc>
          <w:tcPr>
            <w:tcW w:w="0" w:type="auto"/>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楷体" w:hAnsi="楷体" w:eastAsia="楷体" w:cs="宋体"/>
                <w:color w:val="000000"/>
                <w:kern w:val="0"/>
                <w:sz w:val="24"/>
                <w:szCs w:val="24"/>
                <w14:ligatures w14:val="none"/>
              </w:rPr>
              <w:t>（一）予以公开</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Times New Roman" w:hAnsi="Times New Roman" w:eastAsia="宋体"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Times New Roman" w:hAnsi="Times New Roman" w:eastAsia="宋体"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楷体" w:hAnsi="楷体" w:eastAsia="楷体" w:cs="宋体"/>
                <w:color w:val="000000"/>
                <w:kern w:val="0"/>
                <w:sz w:val="24"/>
                <w:szCs w:val="24"/>
                <w14:ligatures w14:val="none"/>
              </w:rPr>
              <w:t>（二）部分公开（区分处理的，只计这一情形，不计其他情形）</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楷体" w:hAnsi="楷体" w:eastAsia="楷体" w:cs="宋体"/>
                <w:color w:val="000000"/>
                <w:kern w:val="0"/>
                <w:sz w:val="24"/>
                <w:szCs w:val="24"/>
                <w14:ligatures w14:val="none"/>
              </w:rPr>
              <w:t>（三）不予公开</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1.</w:t>
            </w:r>
            <w:r>
              <w:rPr>
                <w:rFonts w:hint="eastAsia" w:ascii="楷体" w:hAnsi="楷体" w:eastAsia="楷体" w:cs="宋体"/>
                <w:color w:val="000000"/>
                <w:kern w:val="0"/>
                <w:sz w:val="24"/>
                <w:szCs w:val="24"/>
                <w14:ligatures w14:val="none"/>
              </w:rPr>
              <w:t>属于国家秘密</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2.</w:t>
            </w:r>
            <w:r>
              <w:rPr>
                <w:rFonts w:hint="eastAsia" w:ascii="楷体" w:hAnsi="楷体" w:eastAsia="楷体" w:cs="宋体"/>
                <w:color w:val="000000"/>
                <w:kern w:val="0"/>
                <w:sz w:val="24"/>
                <w:szCs w:val="24"/>
                <w14:ligatures w14:val="none"/>
              </w:rPr>
              <w:t>其他法律行政法规禁止公开</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3.</w:t>
            </w:r>
            <w:r>
              <w:rPr>
                <w:rFonts w:hint="eastAsia" w:ascii="楷体" w:hAnsi="楷体" w:eastAsia="楷体" w:cs="宋体"/>
                <w:color w:val="000000"/>
                <w:kern w:val="0"/>
                <w:sz w:val="24"/>
                <w:szCs w:val="24"/>
                <w14:ligatures w14:val="none"/>
              </w:rPr>
              <w:t>危及</w:t>
            </w:r>
            <w:r>
              <w:rPr>
                <w:rFonts w:ascii="Times New Roman" w:hAnsi="Times New Roman" w:eastAsia="微软雅黑" w:cs="Times New Roman"/>
                <w:color w:val="000000"/>
                <w:kern w:val="0"/>
                <w:sz w:val="24"/>
                <w:szCs w:val="24"/>
                <w14:ligatures w14:val="none"/>
              </w:rPr>
              <w:t>“</w:t>
            </w:r>
            <w:r>
              <w:rPr>
                <w:rFonts w:hint="eastAsia" w:ascii="楷体" w:hAnsi="楷体" w:eastAsia="楷体" w:cs="宋体"/>
                <w:color w:val="000000"/>
                <w:kern w:val="0"/>
                <w:sz w:val="24"/>
                <w:szCs w:val="24"/>
                <w14:ligatures w14:val="none"/>
              </w:rPr>
              <w:t>三安全一稳定</w:t>
            </w:r>
            <w:r>
              <w:rPr>
                <w:rFonts w:ascii="Times New Roman" w:hAnsi="Times New Roman" w:eastAsia="微软雅黑" w:cs="Times New Roman"/>
                <w:color w:val="000000"/>
                <w:kern w:val="0"/>
                <w:sz w:val="24"/>
                <w:szCs w:val="24"/>
                <w14:ligatures w14:val="none"/>
              </w:rPr>
              <w:t>”</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4.</w:t>
            </w:r>
            <w:r>
              <w:rPr>
                <w:rFonts w:hint="eastAsia" w:ascii="楷体" w:hAnsi="楷体" w:eastAsia="楷体" w:cs="宋体"/>
                <w:color w:val="000000"/>
                <w:kern w:val="0"/>
                <w:sz w:val="24"/>
                <w:szCs w:val="24"/>
                <w14:ligatures w14:val="none"/>
              </w:rPr>
              <w:t>保护第三方合法权益</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5.</w:t>
            </w:r>
            <w:r>
              <w:rPr>
                <w:rFonts w:hint="eastAsia" w:ascii="楷体" w:hAnsi="楷体" w:eastAsia="楷体" w:cs="宋体"/>
                <w:color w:val="000000"/>
                <w:kern w:val="0"/>
                <w:sz w:val="24"/>
                <w:szCs w:val="24"/>
                <w14:ligatures w14:val="none"/>
              </w:rPr>
              <w:t>属于三类内部事务信息</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6.</w:t>
            </w:r>
            <w:r>
              <w:rPr>
                <w:rFonts w:hint="eastAsia" w:ascii="楷体" w:hAnsi="楷体" w:eastAsia="楷体" w:cs="宋体"/>
                <w:color w:val="000000"/>
                <w:kern w:val="0"/>
                <w:sz w:val="24"/>
                <w:szCs w:val="24"/>
                <w14:ligatures w14:val="none"/>
              </w:rPr>
              <w:t>属于四类过程性信息</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7.</w:t>
            </w:r>
            <w:r>
              <w:rPr>
                <w:rFonts w:hint="eastAsia" w:ascii="楷体" w:hAnsi="楷体" w:eastAsia="楷体" w:cs="宋体"/>
                <w:color w:val="000000"/>
                <w:kern w:val="0"/>
                <w:sz w:val="24"/>
                <w:szCs w:val="24"/>
                <w14:ligatures w14:val="none"/>
              </w:rPr>
              <w:t>属于行政执法案卷</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8.</w:t>
            </w:r>
            <w:r>
              <w:rPr>
                <w:rFonts w:hint="eastAsia" w:ascii="楷体" w:hAnsi="楷体" w:eastAsia="楷体" w:cs="宋体"/>
                <w:color w:val="000000"/>
                <w:kern w:val="0"/>
                <w:sz w:val="24"/>
                <w:szCs w:val="24"/>
                <w14:ligatures w14:val="none"/>
              </w:rPr>
              <w:t>属于行政查询事项</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楷体" w:hAnsi="楷体" w:eastAsia="楷体" w:cs="宋体"/>
                <w:color w:val="000000"/>
                <w:kern w:val="0"/>
                <w:sz w:val="24"/>
                <w:szCs w:val="24"/>
                <w14:ligatures w14:val="none"/>
              </w:rPr>
              <w:t>（四）无法提供</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1.</w:t>
            </w:r>
            <w:r>
              <w:rPr>
                <w:rFonts w:hint="eastAsia" w:ascii="楷体" w:hAnsi="楷体" w:eastAsia="楷体" w:cs="宋体"/>
                <w:color w:val="000000"/>
                <w:kern w:val="0"/>
                <w:sz w:val="24"/>
                <w:szCs w:val="24"/>
                <w14:ligatures w14:val="none"/>
              </w:rPr>
              <w:t>本机关不掌握相关政府信息</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2.</w:t>
            </w:r>
            <w:r>
              <w:rPr>
                <w:rFonts w:hint="eastAsia" w:ascii="楷体" w:hAnsi="楷体" w:eastAsia="楷体" w:cs="宋体"/>
                <w:color w:val="000000"/>
                <w:kern w:val="0"/>
                <w:sz w:val="24"/>
                <w:szCs w:val="24"/>
                <w14:ligatures w14:val="none"/>
              </w:rPr>
              <w:t>没有现成信息需要另行制作</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3.</w:t>
            </w:r>
            <w:r>
              <w:rPr>
                <w:rFonts w:hint="eastAsia" w:ascii="楷体" w:hAnsi="楷体" w:eastAsia="楷体" w:cs="宋体"/>
                <w:color w:val="000000"/>
                <w:kern w:val="0"/>
                <w:sz w:val="24"/>
                <w:szCs w:val="24"/>
                <w14:ligatures w14:val="none"/>
              </w:rPr>
              <w:t>补正后申请内容仍不明确</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楷体" w:hAnsi="楷体" w:eastAsia="楷体" w:cs="宋体"/>
                <w:color w:val="000000"/>
                <w:kern w:val="0"/>
                <w:sz w:val="24"/>
                <w:szCs w:val="24"/>
                <w14:ligatures w14:val="none"/>
              </w:rPr>
              <w:t>（五）不予处理</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1.</w:t>
            </w:r>
            <w:r>
              <w:rPr>
                <w:rFonts w:hint="eastAsia" w:ascii="楷体" w:hAnsi="楷体" w:eastAsia="楷体" w:cs="宋体"/>
                <w:color w:val="000000"/>
                <w:kern w:val="0"/>
                <w:sz w:val="24"/>
                <w:szCs w:val="24"/>
                <w14:ligatures w14:val="none"/>
              </w:rPr>
              <w:t>信访举报投诉类申请</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2.</w:t>
            </w:r>
            <w:r>
              <w:rPr>
                <w:rFonts w:hint="eastAsia" w:ascii="楷体" w:hAnsi="楷体" w:eastAsia="楷体" w:cs="宋体"/>
                <w:color w:val="000000"/>
                <w:kern w:val="0"/>
                <w:sz w:val="24"/>
                <w:szCs w:val="24"/>
                <w14:ligatures w14:val="none"/>
              </w:rPr>
              <w:t>重复申请</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3.</w:t>
            </w:r>
            <w:r>
              <w:rPr>
                <w:rFonts w:hint="eastAsia" w:ascii="楷体" w:hAnsi="楷体" w:eastAsia="楷体" w:cs="宋体"/>
                <w:color w:val="000000"/>
                <w:kern w:val="0"/>
                <w:sz w:val="24"/>
                <w:szCs w:val="24"/>
                <w14:ligatures w14:val="none"/>
              </w:rPr>
              <w:t>要求提供公开出版物</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4.</w:t>
            </w:r>
            <w:r>
              <w:rPr>
                <w:rFonts w:hint="eastAsia" w:ascii="楷体" w:hAnsi="楷体" w:eastAsia="楷体" w:cs="宋体"/>
                <w:color w:val="000000"/>
                <w:kern w:val="0"/>
                <w:sz w:val="24"/>
                <w:szCs w:val="24"/>
                <w14:ligatures w14:val="none"/>
              </w:rPr>
              <w:t>无正当理由大量反复申请</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5.</w:t>
            </w:r>
            <w:r>
              <w:rPr>
                <w:rFonts w:hint="eastAsia" w:ascii="楷体" w:hAnsi="楷体" w:eastAsia="楷体" w:cs="宋体"/>
                <w:color w:val="000000"/>
                <w:kern w:val="0"/>
                <w:sz w:val="24"/>
                <w:szCs w:val="24"/>
                <w14:ligatures w14:val="none"/>
              </w:rPr>
              <w:t>要求行政机关确认或重新出具已获取信息</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楷体" w:hAnsi="楷体" w:eastAsia="楷体" w:cs="宋体"/>
                <w:color w:val="000000"/>
                <w:kern w:val="0"/>
                <w:sz w:val="24"/>
                <w:szCs w:val="24"/>
                <w14:ligatures w14:val="none"/>
              </w:rPr>
              <w:t>（六）其他处理</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1.</w:t>
            </w:r>
            <w:r>
              <w:rPr>
                <w:rFonts w:hint="eastAsia" w:ascii="楷体" w:hAnsi="楷体" w:eastAsia="楷体" w:cs="宋体"/>
                <w:color w:val="000000"/>
                <w:kern w:val="0"/>
                <w:sz w:val="24"/>
                <w:szCs w:val="24"/>
                <w14:ligatures w14:val="none"/>
              </w:rPr>
              <w:t>申请人无正当理由逾期不补正、行政机关不再处理其政府信息公开申请</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2.</w:t>
            </w:r>
            <w:r>
              <w:rPr>
                <w:rFonts w:hint="eastAsia" w:ascii="楷体" w:hAnsi="楷体" w:eastAsia="楷体" w:cs="宋体"/>
                <w:color w:val="000000"/>
                <w:kern w:val="0"/>
                <w:sz w:val="24"/>
                <w:szCs w:val="24"/>
                <w14:ligatures w14:val="none"/>
              </w:rPr>
              <w:t>申请人逾期未按收费通知要求缴纳费用、行政机关不再处理其政府信息公开申请</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楷体" w:hAnsi="楷体" w:eastAsia="楷体" w:cs="宋体"/>
                <w:color w:val="000000"/>
                <w:kern w:val="0"/>
                <w:sz w:val="24"/>
                <w:szCs w:val="24"/>
                <w14:ligatures w14:val="none"/>
              </w:rPr>
              <w:t>其他</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楷体" w:hAnsi="楷体" w:eastAsia="楷体" w:cs="宋体"/>
                <w:color w:val="000000"/>
                <w:kern w:val="0"/>
                <w:sz w:val="24"/>
                <w:szCs w:val="24"/>
                <w14:ligatures w14:val="none"/>
              </w:rPr>
              <w:t>（七）总计</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Times New Roman" w:hAnsi="Times New Roman" w:eastAsia="宋体"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Times New Roman" w:hAnsi="Times New Roman" w:eastAsia="宋体" w:cs="Times New Roman"/>
                <w:color w:val="000000"/>
                <w:kern w:val="0"/>
                <w:sz w:val="24"/>
                <w:szCs w:val="24"/>
                <w14:ligatures w14: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0" w:type="auto"/>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四、结转下年度继续办理</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微软雅黑" w:cs="Times New Roman"/>
                <w:color w:val="000000"/>
                <w:kern w:val="0"/>
                <w:sz w:val="24"/>
                <w:szCs w:val="24"/>
                <w14:ligatures w14:val="none"/>
              </w:rPr>
              <w:t>0</w:t>
            </w:r>
          </w:p>
        </w:tc>
      </w:tr>
    </w:tbl>
    <w:p>
      <w:pPr>
        <w:widowControl/>
        <w:autoSpaceDE w:val="0"/>
        <w:spacing w:before="100" w:beforeAutospacing="1" w:after="100" w:afterAutospacing="1" w:line="560" w:lineRule="exact"/>
        <w:ind w:firstLine="640" w:firstLineChars="200"/>
        <w:jc w:val="left"/>
        <w:outlineLvl w:val="0"/>
        <w:rPr>
          <w:rFonts w:ascii="宋体" w:hAnsi="宋体" w:eastAsia="宋体" w:cs="宋体"/>
          <w:kern w:val="0"/>
          <w:sz w:val="24"/>
          <w:szCs w:val="24"/>
          <w14:ligatures w14:val="none"/>
        </w:rPr>
      </w:pPr>
      <w:r>
        <w:rPr>
          <w:rFonts w:hint="eastAsia" w:ascii="黑体" w:hAnsi="黑体" w:eastAsia="黑体" w:cs="宋体"/>
          <w:color w:val="000000"/>
          <w:kern w:val="0"/>
          <w:sz w:val="32"/>
          <w:szCs w:val="32"/>
          <w14:ligatures w14:val="none"/>
        </w:rPr>
        <w:t>四、政府信息公开行政复议、行政诉讼情况</w:t>
      </w:r>
    </w:p>
    <w:tbl>
      <w:tblPr>
        <w:tblStyle w:val="5"/>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15" w:type="dxa"/>
          <w:left w:w="15" w:type="dxa"/>
          <w:bottom w:w="15" w:type="dxa"/>
          <w:right w:w="15" w:type="dxa"/>
        </w:tblCellMar>
      </w:tblPr>
      <w:tblGrid>
        <w:gridCol w:w="847"/>
        <w:gridCol w:w="586"/>
        <w:gridCol w:w="586"/>
        <w:gridCol w:w="586"/>
        <w:gridCol w:w="586"/>
        <w:gridCol w:w="586"/>
        <w:gridCol w:w="587"/>
        <w:gridCol w:w="587"/>
        <w:gridCol w:w="587"/>
        <w:gridCol w:w="587"/>
        <w:gridCol w:w="587"/>
        <w:gridCol w:w="587"/>
        <w:gridCol w:w="587"/>
        <w:gridCol w:w="587"/>
        <w:gridCol w:w="58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0" w:type="auto"/>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行政复议</w:t>
            </w:r>
          </w:p>
        </w:tc>
        <w:tc>
          <w:tcPr>
            <w:tcW w:w="0" w:type="auto"/>
            <w:gridSpan w:val="10"/>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0" w:type="auto"/>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结果维持</w:t>
            </w:r>
          </w:p>
        </w:tc>
        <w:tc>
          <w:tcPr>
            <w:tcW w:w="0" w:type="auto"/>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结果</w:t>
            </w:r>
            <w:r>
              <w:rPr>
                <w:rFonts w:hint="eastAsia" w:ascii="宋体" w:hAnsi="宋体" w:eastAsia="宋体" w:cs="宋体"/>
                <w:color w:val="000000"/>
                <w:kern w:val="0"/>
                <w:sz w:val="24"/>
                <w:szCs w:val="24"/>
                <w14:ligatures w14:val="none"/>
              </w:rPr>
              <w:br w:type="textWrapping"/>
            </w:r>
            <w:r>
              <w:rPr>
                <w:rFonts w:hint="eastAsia" w:ascii="宋体" w:hAnsi="宋体" w:eastAsia="宋体" w:cs="宋体"/>
                <w:color w:val="000000"/>
                <w:kern w:val="0"/>
                <w:sz w:val="24"/>
                <w:szCs w:val="24"/>
                <w14:ligatures w14:val="none"/>
              </w:rPr>
              <w:t>纠正</w:t>
            </w:r>
          </w:p>
        </w:tc>
        <w:tc>
          <w:tcPr>
            <w:tcW w:w="0" w:type="auto"/>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其他</w:t>
            </w:r>
            <w:r>
              <w:rPr>
                <w:rFonts w:hint="eastAsia" w:ascii="宋体" w:hAnsi="宋体" w:eastAsia="宋体" w:cs="宋体"/>
                <w:color w:val="000000"/>
                <w:kern w:val="0"/>
                <w:sz w:val="24"/>
                <w:szCs w:val="24"/>
                <w14:ligatures w14:val="none"/>
              </w:rPr>
              <w:br w:type="textWrapping"/>
            </w:r>
            <w:r>
              <w:rPr>
                <w:rFonts w:hint="eastAsia" w:ascii="宋体" w:hAnsi="宋体" w:eastAsia="宋体" w:cs="宋体"/>
                <w:color w:val="000000"/>
                <w:kern w:val="0"/>
                <w:sz w:val="24"/>
                <w:szCs w:val="24"/>
                <w14:ligatures w14:val="none"/>
              </w:rPr>
              <w:t>结果</w:t>
            </w:r>
          </w:p>
        </w:tc>
        <w:tc>
          <w:tcPr>
            <w:tcW w:w="0" w:type="auto"/>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尚未</w:t>
            </w:r>
            <w:r>
              <w:rPr>
                <w:rFonts w:hint="eastAsia" w:ascii="宋体" w:hAnsi="宋体" w:eastAsia="宋体" w:cs="宋体"/>
                <w:color w:val="000000"/>
                <w:kern w:val="0"/>
                <w:sz w:val="24"/>
                <w:szCs w:val="24"/>
                <w14:ligatures w14:val="none"/>
              </w:rPr>
              <w:br w:type="textWrapping"/>
            </w:r>
            <w:r>
              <w:rPr>
                <w:rFonts w:hint="eastAsia" w:ascii="宋体" w:hAnsi="宋体" w:eastAsia="宋体" w:cs="宋体"/>
                <w:color w:val="000000"/>
                <w:kern w:val="0"/>
                <w:sz w:val="24"/>
                <w:szCs w:val="24"/>
                <w14:ligatures w14:val="none"/>
              </w:rPr>
              <w:t>审结</w:t>
            </w:r>
          </w:p>
        </w:tc>
        <w:tc>
          <w:tcPr>
            <w:tcW w:w="0" w:type="auto"/>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总计</w:t>
            </w:r>
          </w:p>
        </w:tc>
        <w:tc>
          <w:tcPr>
            <w:tcW w:w="0" w:type="auto"/>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未经复议直接起诉</w:t>
            </w:r>
          </w:p>
        </w:tc>
        <w:tc>
          <w:tcPr>
            <w:tcW w:w="0" w:type="auto"/>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14:ligatures w14:val="none"/>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结果</w:t>
            </w:r>
            <w:r>
              <w:rPr>
                <w:rFonts w:hint="eastAsia" w:ascii="宋体" w:hAnsi="宋体" w:eastAsia="宋体" w:cs="宋体"/>
                <w:color w:val="000000"/>
                <w:kern w:val="0"/>
                <w:sz w:val="24"/>
                <w:szCs w:val="24"/>
                <w14:ligatures w14:val="none"/>
              </w:rPr>
              <w:br w:type="textWrapping"/>
            </w:r>
            <w:r>
              <w:rPr>
                <w:rFonts w:hint="eastAsia" w:ascii="宋体" w:hAnsi="宋体" w:eastAsia="宋体" w:cs="宋体"/>
                <w:color w:val="000000"/>
                <w:kern w:val="0"/>
                <w:sz w:val="24"/>
                <w:szCs w:val="24"/>
                <w14:ligatures w14:val="none"/>
              </w:rPr>
              <w:t>维持</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结果</w:t>
            </w:r>
            <w:r>
              <w:rPr>
                <w:rFonts w:hint="eastAsia" w:ascii="宋体" w:hAnsi="宋体" w:eastAsia="宋体" w:cs="宋体"/>
                <w:color w:val="000000"/>
                <w:kern w:val="0"/>
                <w:sz w:val="24"/>
                <w:szCs w:val="24"/>
                <w14:ligatures w14:val="none"/>
              </w:rPr>
              <w:br w:type="textWrapping"/>
            </w:r>
            <w:r>
              <w:rPr>
                <w:rFonts w:hint="eastAsia" w:ascii="宋体" w:hAnsi="宋体" w:eastAsia="宋体" w:cs="宋体"/>
                <w:color w:val="000000"/>
                <w:kern w:val="0"/>
                <w:sz w:val="24"/>
                <w:szCs w:val="24"/>
                <w14:ligatures w14:val="none"/>
              </w:rPr>
              <w:t>纠正</w:t>
            </w:r>
          </w:p>
        </w:tc>
        <w:tc>
          <w:tcPr>
            <w:tcW w:w="0" w:type="auto"/>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其他</w:t>
            </w:r>
            <w:r>
              <w:rPr>
                <w:rFonts w:hint="eastAsia" w:ascii="宋体" w:hAnsi="宋体" w:eastAsia="宋体" w:cs="宋体"/>
                <w:color w:val="000000"/>
                <w:kern w:val="0"/>
                <w:sz w:val="24"/>
                <w:szCs w:val="24"/>
                <w14:ligatures w14:val="none"/>
              </w:rPr>
              <w:br w:type="textWrapping"/>
            </w:r>
            <w:r>
              <w:rPr>
                <w:rFonts w:hint="eastAsia" w:ascii="宋体" w:hAnsi="宋体" w:eastAsia="宋体" w:cs="宋体"/>
                <w:color w:val="000000"/>
                <w:kern w:val="0"/>
                <w:sz w:val="24"/>
                <w:szCs w:val="24"/>
                <w14:ligatures w14:val="none"/>
              </w:rPr>
              <w:t>结果</w:t>
            </w:r>
          </w:p>
        </w:tc>
        <w:tc>
          <w:tcPr>
            <w:tcW w:w="0" w:type="auto"/>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尚未</w:t>
            </w:r>
            <w:r>
              <w:rPr>
                <w:rFonts w:hint="eastAsia" w:ascii="宋体" w:hAnsi="宋体" w:eastAsia="宋体" w:cs="宋体"/>
                <w:color w:val="000000"/>
                <w:kern w:val="0"/>
                <w:sz w:val="24"/>
                <w:szCs w:val="24"/>
                <w14:ligatures w14:val="none"/>
              </w:rPr>
              <w:br w:type="textWrapping"/>
            </w:r>
            <w:r>
              <w:rPr>
                <w:rFonts w:hint="eastAsia" w:ascii="宋体" w:hAnsi="宋体" w:eastAsia="宋体" w:cs="宋体"/>
                <w:color w:val="000000"/>
                <w:kern w:val="0"/>
                <w:sz w:val="24"/>
                <w:szCs w:val="24"/>
                <w14:ligatures w14:val="none"/>
              </w:rPr>
              <w:t>审结</w:t>
            </w:r>
          </w:p>
        </w:tc>
        <w:tc>
          <w:tcPr>
            <w:tcW w:w="0" w:type="auto"/>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总计</w:t>
            </w:r>
          </w:p>
        </w:tc>
        <w:tc>
          <w:tcPr>
            <w:tcW w:w="0" w:type="auto"/>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结果</w:t>
            </w:r>
            <w:r>
              <w:rPr>
                <w:rFonts w:hint="eastAsia" w:ascii="宋体" w:hAnsi="宋体" w:eastAsia="宋体" w:cs="宋体"/>
                <w:color w:val="000000"/>
                <w:kern w:val="0"/>
                <w:sz w:val="24"/>
                <w:szCs w:val="24"/>
                <w14:ligatures w14:val="none"/>
              </w:rPr>
              <w:br w:type="textWrapping"/>
            </w:r>
            <w:r>
              <w:rPr>
                <w:rFonts w:hint="eastAsia" w:ascii="宋体" w:hAnsi="宋体" w:eastAsia="宋体" w:cs="宋体"/>
                <w:color w:val="000000"/>
                <w:kern w:val="0"/>
                <w:sz w:val="24"/>
                <w:szCs w:val="24"/>
                <w14:ligatures w14:val="none"/>
              </w:rPr>
              <w:t>维持</w:t>
            </w:r>
          </w:p>
        </w:tc>
        <w:tc>
          <w:tcPr>
            <w:tcW w:w="0" w:type="auto"/>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结果</w:t>
            </w:r>
            <w:r>
              <w:rPr>
                <w:rFonts w:hint="eastAsia" w:ascii="宋体" w:hAnsi="宋体" w:eastAsia="宋体" w:cs="宋体"/>
                <w:color w:val="000000"/>
                <w:kern w:val="0"/>
                <w:sz w:val="24"/>
                <w:szCs w:val="24"/>
                <w14:ligatures w14:val="none"/>
              </w:rPr>
              <w:br w:type="textWrapping"/>
            </w:r>
            <w:r>
              <w:rPr>
                <w:rFonts w:hint="eastAsia" w:ascii="宋体" w:hAnsi="宋体" w:eastAsia="宋体" w:cs="宋体"/>
                <w:color w:val="000000"/>
                <w:kern w:val="0"/>
                <w:sz w:val="24"/>
                <w:szCs w:val="24"/>
                <w14:ligatures w14:val="none"/>
              </w:rPr>
              <w:t>纠正</w:t>
            </w:r>
          </w:p>
        </w:tc>
        <w:tc>
          <w:tcPr>
            <w:tcW w:w="0" w:type="auto"/>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其他</w:t>
            </w:r>
            <w:r>
              <w:rPr>
                <w:rFonts w:hint="eastAsia" w:ascii="宋体" w:hAnsi="宋体" w:eastAsia="宋体" w:cs="宋体"/>
                <w:color w:val="000000"/>
                <w:kern w:val="0"/>
                <w:sz w:val="24"/>
                <w:szCs w:val="24"/>
                <w14:ligatures w14:val="none"/>
              </w:rPr>
              <w:br w:type="textWrapping"/>
            </w:r>
            <w:r>
              <w:rPr>
                <w:rFonts w:hint="eastAsia" w:ascii="宋体" w:hAnsi="宋体" w:eastAsia="宋体" w:cs="宋体"/>
                <w:color w:val="000000"/>
                <w:kern w:val="0"/>
                <w:sz w:val="24"/>
                <w:szCs w:val="24"/>
                <w14:ligatures w14:val="none"/>
              </w:rPr>
              <w:t>结果</w:t>
            </w:r>
          </w:p>
        </w:tc>
        <w:tc>
          <w:tcPr>
            <w:tcW w:w="0" w:type="auto"/>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尚未</w:t>
            </w:r>
            <w:r>
              <w:rPr>
                <w:rFonts w:hint="eastAsia" w:ascii="宋体" w:hAnsi="宋体" w:eastAsia="宋体" w:cs="宋体"/>
                <w:color w:val="000000"/>
                <w:kern w:val="0"/>
                <w:sz w:val="24"/>
                <w:szCs w:val="24"/>
                <w14:ligatures w14:val="none"/>
              </w:rPr>
              <w:br w:type="textWrapping"/>
            </w:r>
            <w:r>
              <w:rPr>
                <w:rFonts w:hint="eastAsia" w:ascii="宋体" w:hAnsi="宋体" w:eastAsia="宋体" w:cs="宋体"/>
                <w:color w:val="000000"/>
                <w:kern w:val="0"/>
                <w:sz w:val="24"/>
                <w:szCs w:val="24"/>
                <w14:ligatures w14:val="none"/>
              </w:rPr>
              <w:t>审结</w:t>
            </w:r>
          </w:p>
        </w:tc>
        <w:tc>
          <w:tcPr>
            <w:tcW w:w="0" w:type="auto"/>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hint="eastAsia" w:ascii="宋体" w:hAnsi="宋体" w:eastAsia="宋体" w:cs="宋体"/>
                <w:color w:val="000000"/>
                <w:kern w:val="0"/>
                <w:sz w:val="24"/>
                <w:szCs w:val="24"/>
                <w14:ligatures w14:val="none"/>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0" w:type="auto"/>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黑体"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宋体"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宋体"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宋体"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宋体"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宋体"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宋体"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宋体"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宋体"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宋体"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宋体"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宋体"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宋体"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宋体" w:cs="Times New Roman"/>
                <w:color w:val="000000"/>
                <w:kern w:val="0"/>
                <w:sz w:val="24"/>
                <w:szCs w:val="24"/>
                <w14:ligatures w14:val="none"/>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utoSpaceDE w:val="0"/>
              <w:spacing w:line="560" w:lineRule="exact"/>
              <w:jc w:val="center"/>
              <w:rPr>
                <w:rFonts w:ascii="宋体" w:hAnsi="宋体" w:eastAsia="宋体" w:cs="宋体"/>
                <w:kern w:val="0"/>
                <w:sz w:val="24"/>
                <w:szCs w:val="24"/>
                <w14:ligatures w14:val="none"/>
              </w:rPr>
            </w:pPr>
            <w:r>
              <w:rPr>
                <w:rFonts w:ascii="Times New Roman" w:hAnsi="Times New Roman" w:eastAsia="宋体" w:cs="Times New Roman"/>
                <w:color w:val="000000"/>
                <w:kern w:val="0"/>
                <w:sz w:val="24"/>
                <w:szCs w:val="24"/>
                <w14:ligatures w14:val="none"/>
              </w:rPr>
              <w:t>0</w:t>
            </w:r>
          </w:p>
        </w:tc>
      </w:tr>
    </w:tbl>
    <w:p>
      <w:pPr>
        <w:keepNext w:val="0"/>
        <w:keepLines w:val="0"/>
        <w:pageBreakBefore w:val="0"/>
        <w:widowControl/>
        <w:kinsoku/>
        <w:wordWrap/>
        <w:overflowPunct/>
        <w:topLinePunct w:val="0"/>
        <w:autoSpaceDE w:val="0"/>
        <w:autoSpaceDN/>
        <w:bidi w:val="0"/>
        <w:adjustRightInd/>
        <w:snapToGrid/>
        <w:spacing w:beforeAutospacing="0" w:afterAutospacing="0" w:line="560" w:lineRule="exact"/>
        <w:ind w:firstLine="640" w:firstLineChars="200"/>
        <w:jc w:val="left"/>
        <w:textAlignment w:val="auto"/>
        <w:outlineLvl w:val="0"/>
        <w:rPr>
          <w:rFonts w:ascii="宋体" w:hAnsi="宋体" w:eastAsia="宋体" w:cs="宋体"/>
          <w:kern w:val="0"/>
          <w:sz w:val="24"/>
          <w:szCs w:val="24"/>
          <w14:ligatures w14:val="none"/>
        </w:rPr>
      </w:pPr>
      <w:r>
        <w:rPr>
          <w:rFonts w:hint="eastAsia" w:ascii="黑体" w:hAnsi="黑体" w:eastAsia="黑体" w:cs="宋体"/>
          <w:color w:val="000000"/>
          <w:kern w:val="0"/>
          <w:sz w:val="32"/>
          <w:szCs w:val="32"/>
          <w14:ligatures w14:val="none"/>
        </w:rPr>
        <w:t>五、存在的主要问题及改进情况</w:t>
      </w:r>
    </w:p>
    <w:p>
      <w:pPr>
        <w:keepNext w:val="0"/>
        <w:keepLines w:val="0"/>
        <w:pageBreakBefore w:val="0"/>
        <w:widowControl/>
        <w:kinsoku/>
        <w:wordWrap/>
        <w:overflowPunct/>
        <w:topLinePunct w:val="0"/>
        <w:autoSpaceDE w:val="0"/>
        <w:autoSpaceDN/>
        <w:bidi w:val="0"/>
        <w:adjustRightInd/>
        <w:snapToGrid/>
        <w:spacing w:beforeAutospacing="0" w:afterAutospacing="0" w:line="560" w:lineRule="exact"/>
        <w:ind w:firstLine="643" w:firstLineChars="200"/>
        <w:jc w:val="left"/>
        <w:textAlignment w:val="auto"/>
        <w:outlineLvl w:val="1"/>
        <w:rPr>
          <w:rFonts w:ascii="宋体" w:hAnsi="宋体" w:eastAsia="宋体" w:cs="宋体"/>
          <w:kern w:val="0"/>
          <w:sz w:val="24"/>
          <w:szCs w:val="24"/>
          <w14:ligatures w14:val="none"/>
        </w:rPr>
      </w:pPr>
      <w:r>
        <w:rPr>
          <w:rFonts w:hint="eastAsia" w:ascii="楷体_GB2312" w:hAnsi="宋体" w:eastAsia="楷体_GB2312" w:cs="宋体"/>
          <w:b/>
          <w:bCs/>
          <w:color w:val="000000"/>
          <w:kern w:val="0"/>
          <w:sz w:val="32"/>
          <w:szCs w:val="32"/>
          <w14:ligatures w14:val="none"/>
        </w:rPr>
        <w:t>（一）存在的主要问题</w:t>
      </w:r>
    </w:p>
    <w:p>
      <w:pPr>
        <w:keepNext w:val="0"/>
        <w:keepLines w:val="0"/>
        <w:pageBreakBefore w:val="0"/>
        <w:widowControl/>
        <w:kinsoku/>
        <w:wordWrap/>
        <w:overflowPunct/>
        <w:topLinePunct w:val="0"/>
        <w:autoSpaceDE w:val="0"/>
        <w:autoSpaceDN/>
        <w:bidi w:val="0"/>
        <w:adjustRightInd/>
        <w:snapToGrid/>
        <w:spacing w:beforeAutospacing="0" w:afterAutospacing="0" w:line="560" w:lineRule="exact"/>
        <w:ind w:firstLine="640" w:firstLineChars="200"/>
        <w:jc w:val="left"/>
        <w:textAlignment w:val="auto"/>
        <w:rPr>
          <w:rFonts w:ascii="宋体" w:hAnsi="宋体" w:eastAsia="宋体" w:cs="宋体"/>
          <w:kern w:val="0"/>
          <w:sz w:val="24"/>
          <w:szCs w:val="24"/>
          <w14:ligatures w14:val="none"/>
        </w:rPr>
      </w:pPr>
      <w:r>
        <w:rPr>
          <w:rFonts w:hint="eastAsia" w:ascii="仿宋_GB2312" w:hAnsi="宋体" w:eastAsia="仿宋_GB2312" w:cs="宋体"/>
          <w:color w:val="000000"/>
          <w:kern w:val="0"/>
          <w:sz w:val="32"/>
          <w:szCs w:val="32"/>
          <w14:ligatures w14:val="none"/>
        </w:rPr>
        <w:t>2022年，霍邱县经济和信息化局扎实开展政府信息公开工作，分类分季度公开各类信息，主动公开本单位本领域信息，积极回应公众关切。但与政务公开的高水平要求，与社会公众对工业经济和信息化相关信息不断增长的高质量需求还存在一定的差距。</w:t>
      </w:r>
      <w:r>
        <w:rPr>
          <w:rFonts w:hint="eastAsia" w:ascii="仿宋_GB2312" w:hAnsi="宋体" w:eastAsia="仿宋_GB2312" w:cs="宋体"/>
          <w:b/>
          <w:bCs/>
          <w:color w:val="000000"/>
          <w:kern w:val="0"/>
          <w:sz w:val="32"/>
          <w:szCs w:val="32"/>
          <w14:ligatures w14:val="none"/>
        </w:rPr>
        <w:t>一是</w:t>
      </w:r>
      <w:r>
        <w:rPr>
          <w:rFonts w:hint="eastAsia" w:ascii="仿宋_GB2312" w:hAnsi="宋体" w:eastAsia="仿宋_GB2312" w:cs="宋体"/>
          <w:color w:val="000000"/>
          <w:kern w:val="0"/>
          <w:sz w:val="32"/>
          <w:szCs w:val="32"/>
          <w14:ligatures w14:val="none"/>
        </w:rPr>
        <w:t>政策解读的方式不够多样化，主要采用文字解读的形式。同时其他解读栏目的信息数量较少，信息公开质量还不够高；</w:t>
      </w:r>
      <w:r>
        <w:rPr>
          <w:rFonts w:hint="eastAsia" w:ascii="仿宋_GB2312" w:hAnsi="宋体" w:eastAsia="仿宋_GB2312" w:cs="宋体"/>
          <w:b/>
          <w:bCs/>
          <w:color w:val="000000"/>
          <w:kern w:val="0"/>
          <w:sz w:val="32"/>
          <w:szCs w:val="32"/>
          <w14:ligatures w14:val="none"/>
        </w:rPr>
        <w:t>二是</w:t>
      </w:r>
      <w:r>
        <w:rPr>
          <w:rFonts w:hint="eastAsia" w:ascii="仿宋_GB2312" w:hAnsi="宋体" w:eastAsia="仿宋_GB2312" w:cs="宋体"/>
          <w:color w:val="000000"/>
          <w:kern w:val="0"/>
          <w:sz w:val="32"/>
          <w:szCs w:val="32"/>
          <w14:ligatures w14:val="none"/>
        </w:rPr>
        <w:t>意见征求稿的意见征集形式较为单一，主要通过互联网、电话等形式征求意见，征集到的意见相对较少；</w:t>
      </w:r>
      <w:r>
        <w:rPr>
          <w:rFonts w:hint="eastAsia" w:ascii="仿宋_GB2312" w:hAnsi="宋体" w:eastAsia="仿宋_GB2312" w:cs="宋体"/>
          <w:b/>
          <w:bCs/>
          <w:color w:val="000000"/>
          <w:kern w:val="0"/>
          <w:sz w:val="32"/>
          <w:szCs w:val="32"/>
          <w14:ligatures w14:val="none"/>
        </w:rPr>
        <w:t>三是</w:t>
      </w:r>
      <w:r>
        <w:rPr>
          <w:rFonts w:hint="eastAsia" w:ascii="仿宋_GB2312" w:hAnsi="宋体" w:eastAsia="仿宋_GB2312" w:cs="宋体"/>
          <w:color w:val="000000"/>
          <w:kern w:val="0"/>
          <w:sz w:val="32"/>
          <w:szCs w:val="32"/>
          <w14:ligatures w14:val="none"/>
        </w:rPr>
        <w:t>更新信息的频次还不够高，以季度为周期的信息公开问题整改工作频率较低。</w:t>
      </w:r>
    </w:p>
    <w:p>
      <w:pPr>
        <w:keepNext w:val="0"/>
        <w:keepLines w:val="0"/>
        <w:pageBreakBefore w:val="0"/>
        <w:widowControl/>
        <w:kinsoku/>
        <w:wordWrap/>
        <w:overflowPunct/>
        <w:topLinePunct w:val="0"/>
        <w:autoSpaceDE w:val="0"/>
        <w:autoSpaceDN/>
        <w:bidi w:val="0"/>
        <w:adjustRightInd/>
        <w:snapToGrid/>
        <w:spacing w:beforeAutospacing="0" w:afterAutospacing="0" w:line="560" w:lineRule="exact"/>
        <w:ind w:firstLine="643" w:firstLineChars="200"/>
        <w:jc w:val="left"/>
        <w:textAlignment w:val="auto"/>
        <w:outlineLvl w:val="1"/>
        <w:rPr>
          <w:rFonts w:ascii="宋体" w:hAnsi="宋体" w:eastAsia="宋体" w:cs="宋体"/>
          <w:kern w:val="0"/>
          <w:sz w:val="24"/>
          <w:szCs w:val="24"/>
          <w14:ligatures w14:val="none"/>
        </w:rPr>
      </w:pPr>
      <w:r>
        <w:rPr>
          <w:rFonts w:hint="eastAsia" w:ascii="楷体_GB2312" w:hAnsi="宋体" w:eastAsia="楷体_GB2312" w:cs="宋体"/>
          <w:b/>
          <w:bCs/>
          <w:color w:val="000000"/>
          <w:kern w:val="0"/>
          <w:sz w:val="32"/>
          <w:szCs w:val="32"/>
          <w14:ligatures w14:val="none"/>
        </w:rPr>
        <w:t>（二）问题改进措施</w:t>
      </w:r>
    </w:p>
    <w:p>
      <w:pPr>
        <w:keepNext w:val="0"/>
        <w:keepLines w:val="0"/>
        <w:pageBreakBefore w:val="0"/>
        <w:widowControl/>
        <w:kinsoku/>
        <w:wordWrap/>
        <w:overflowPunct/>
        <w:topLinePunct w:val="0"/>
        <w:autoSpaceDE w:val="0"/>
        <w:autoSpaceDN/>
        <w:bidi w:val="0"/>
        <w:adjustRightInd/>
        <w:snapToGrid/>
        <w:spacing w:beforeAutospacing="0" w:afterAutospacing="0" w:line="560" w:lineRule="exact"/>
        <w:ind w:firstLine="640" w:firstLineChars="200"/>
        <w:jc w:val="left"/>
        <w:textAlignment w:val="auto"/>
        <w:rPr>
          <w:rFonts w:ascii="宋体" w:hAnsi="宋体" w:eastAsia="宋体" w:cs="宋体"/>
          <w:kern w:val="0"/>
          <w:sz w:val="24"/>
          <w:szCs w:val="24"/>
          <w14:ligatures w14:val="none"/>
        </w:rPr>
      </w:pPr>
      <w:r>
        <w:rPr>
          <w:rFonts w:hint="eastAsia" w:ascii="仿宋_GB2312" w:hAnsi="宋体" w:eastAsia="仿宋_GB2312" w:cs="宋体"/>
          <w:color w:val="000000"/>
          <w:kern w:val="0"/>
          <w:sz w:val="32"/>
          <w:szCs w:val="32"/>
          <w14:ligatures w14:val="none"/>
        </w:rPr>
        <w:t>2023年，霍邱县经济和信息化局将根据相关政府信息公开文件精神，以求真务实的工作作风，切实通过政务公开促服务、提效能。</w:t>
      </w:r>
    </w:p>
    <w:p>
      <w:pPr>
        <w:keepNext w:val="0"/>
        <w:keepLines w:val="0"/>
        <w:pageBreakBefore w:val="0"/>
        <w:widowControl/>
        <w:kinsoku/>
        <w:wordWrap/>
        <w:overflowPunct/>
        <w:topLinePunct w:val="0"/>
        <w:autoSpaceDE w:val="0"/>
        <w:autoSpaceDN/>
        <w:bidi w:val="0"/>
        <w:adjustRightInd/>
        <w:snapToGrid/>
        <w:spacing w:beforeAutospacing="0" w:afterAutospacing="0" w:line="560" w:lineRule="exact"/>
        <w:ind w:firstLine="640" w:firstLineChars="200"/>
        <w:jc w:val="left"/>
        <w:textAlignment w:val="auto"/>
        <w:rPr>
          <w:rFonts w:ascii="宋体" w:hAnsi="宋体" w:eastAsia="宋体" w:cs="宋体"/>
          <w:kern w:val="0"/>
          <w:sz w:val="24"/>
          <w:szCs w:val="24"/>
          <w14:ligatures w14:val="none"/>
        </w:rPr>
      </w:pPr>
      <w:r>
        <w:rPr>
          <w:rFonts w:hint="eastAsia" w:ascii="仿宋_GB2312" w:hAnsi="宋体" w:eastAsia="仿宋_GB2312" w:cs="宋体"/>
          <w:color w:val="000000"/>
          <w:kern w:val="0"/>
          <w:sz w:val="32"/>
          <w:szCs w:val="32"/>
          <w14:ligatures w14:val="none"/>
        </w:rPr>
        <w:t>1. 提高政策解读的质量。将更多地采用图片等形式解读政策文件、上级会议精神，以简洁明了的形式帮助群众获取信息。同时要加大对其他信息的解读力度，丰富政策解读内容。</w:t>
      </w:r>
    </w:p>
    <w:p>
      <w:pPr>
        <w:keepNext w:val="0"/>
        <w:keepLines w:val="0"/>
        <w:pageBreakBefore w:val="0"/>
        <w:widowControl/>
        <w:kinsoku/>
        <w:wordWrap/>
        <w:overflowPunct/>
        <w:topLinePunct w:val="0"/>
        <w:autoSpaceDE w:val="0"/>
        <w:autoSpaceDN/>
        <w:bidi w:val="0"/>
        <w:adjustRightInd/>
        <w:snapToGrid/>
        <w:spacing w:beforeAutospacing="0" w:afterAutospacing="0" w:line="560" w:lineRule="exact"/>
        <w:ind w:firstLine="640" w:firstLineChars="200"/>
        <w:jc w:val="left"/>
        <w:textAlignment w:val="auto"/>
        <w:rPr>
          <w:rFonts w:ascii="宋体" w:hAnsi="宋体" w:eastAsia="宋体" w:cs="宋体"/>
          <w:kern w:val="0"/>
          <w:sz w:val="24"/>
          <w:szCs w:val="24"/>
          <w14:ligatures w14:val="none"/>
        </w:rPr>
      </w:pPr>
      <w:r>
        <w:rPr>
          <w:rFonts w:hint="eastAsia" w:ascii="仿宋_GB2312" w:hAnsi="宋体" w:eastAsia="仿宋_GB2312" w:cs="宋体"/>
          <w:color w:val="000000"/>
          <w:kern w:val="0"/>
          <w:sz w:val="32"/>
          <w:szCs w:val="32"/>
          <w14:ligatures w14:val="none"/>
        </w:rPr>
        <w:t>2. 丰富意见征集的形式。将通过座谈协商等形式扩大意见征集范围，广泛吸取群众意见。</w:t>
      </w:r>
    </w:p>
    <w:p>
      <w:pPr>
        <w:keepNext w:val="0"/>
        <w:keepLines w:val="0"/>
        <w:pageBreakBefore w:val="0"/>
        <w:widowControl/>
        <w:kinsoku/>
        <w:wordWrap/>
        <w:overflowPunct/>
        <w:topLinePunct w:val="0"/>
        <w:autoSpaceDE w:val="0"/>
        <w:autoSpaceDN/>
        <w:bidi w:val="0"/>
        <w:adjustRightInd/>
        <w:snapToGrid/>
        <w:spacing w:beforeAutospacing="0" w:afterAutospacing="0" w:line="560" w:lineRule="exact"/>
        <w:ind w:firstLine="640" w:firstLineChars="200"/>
        <w:jc w:val="left"/>
        <w:textAlignment w:val="auto"/>
        <w:rPr>
          <w:rFonts w:ascii="宋体" w:hAnsi="宋体" w:eastAsia="宋体" w:cs="宋体"/>
          <w:kern w:val="0"/>
          <w:sz w:val="24"/>
          <w:szCs w:val="24"/>
          <w14:ligatures w14:val="none"/>
        </w:rPr>
      </w:pPr>
      <w:r>
        <w:rPr>
          <w:rFonts w:hint="eastAsia" w:ascii="仿宋_GB2312" w:hAnsi="宋体" w:eastAsia="仿宋_GB2312" w:cs="宋体"/>
          <w:color w:val="000000"/>
          <w:kern w:val="0"/>
          <w:sz w:val="32"/>
          <w:szCs w:val="32"/>
          <w14:ligatures w14:val="none"/>
        </w:rPr>
        <w:t>3. 增加信息更新的频次。将建立信息公开定期报送制度，缩短重要信息公开周期，保证在规定期限内按类更新不同主题的信息。</w:t>
      </w:r>
    </w:p>
    <w:p>
      <w:pPr>
        <w:keepNext w:val="0"/>
        <w:keepLines w:val="0"/>
        <w:pageBreakBefore w:val="0"/>
        <w:widowControl/>
        <w:kinsoku/>
        <w:wordWrap/>
        <w:overflowPunct/>
        <w:topLinePunct w:val="0"/>
        <w:autoSpaceDE w:val="0"/>
        <w:autoSpaceDN/>
        <w:bidi w:val="0"/>
        <w:adjustRightInd/>
        <w:snapToGrid/>
        <w:spacing w:beforeAutospacing="0" w:afterAutospacing="0" w:line="560" w:lineRule="exact"/>
        <w:ind w:firstLine="640" w:firstLineChars="200"/>
        <w:jc w:val="left"/>
        <w:textAlignment w:val="auto"/>
        <w:outlineLvl w:val="0"/>
        <w:rPr>
          <w:rFonts w:ascii="宋体" w:hAnsi="宋体" w:eastAsia="宋体" w:cs="宋体"/>
          <w:kern w:val="0"/>
          <w:sz w:val="24"/>
          <w:szCs w:val="24"/>
          <w14:ligatures w14:val="none"/>
        </w:rPr>
      </w:pPr>
      <w:r>
        <w:rPr>
          <w:rFonts w:hint="eastAsia" w:ascii="黑体" w:hAnsi="黑体" w:eastAsia="黑体" w:cs="宋体"/>
          <w:color w:val="000000"/>
          <w:kern w:val="0"/>
          <w:sz w:val="32"/>
          <w:szCs w:val="32"/>
          <w14:ligatures w14:val="none"/>
        </w:rPr>
        <w:t>六、其他需要报告的事项</w:t>
      </w:r>
    </w:p>
    <w:p>
      <w:pPr>
        <w:keepNext w:val="0"/>
        <w:keepLines w:val="0"/>
        <w:pageBreakBefore w:val="0"/>
        <w:widowControl/>
        <w:shd w:val="clear" w:color="auto" w:fill="FFFFFF"/>
        <w:kinsoku/>
        <w:wordWrap/>
        <w:overflowPunct/>
        <w:topLinePunct w:val="0"/>
        <w:autoSpaceDE w:val="0"/>
        <w:autoSpaceDN/>
        <w:bidi w:val="0"/>
        <w:adjustRightInd/>
        <w:snapToGrid/>
        <w:spacing w:beforeAutospacing="0" w:afterAutospacing="0" w:line="560" w:lineRule="exact"/>
        <w:ind w:firstLine="640"/>
        <w:textAlignment w:val="auto"/>
        <w:rPr>
          <w:rFonts w:ascii="仿宋_GB2312" w:hAnsi="宋体" w:eastAsia="仿宋_GB2312" w:cs="宋体"/>
          <w:color w:val="000000"/>
          <w:kern w:val="0"/>
          <w:sz w:val="32"/>
          <w:szCs w:val="32"/>
          <w14:ligatures w14:val="none"/>
        </w:rPr>
      </w:pPr>
      <w:r>
        <w:rPr>
          <w:rFonts w:hint="eastAsia" w:ascii="仿宋_GB2312" w:hAnsi="宋体" w:eastAsia="仿宋_GB2312" w:cs="宋体"/>
          <w:color w:val="000000"/>
          <w:kern w:val="0"/>
          <w:sz w:val="32"/>
          <w:szCs w:val="32"/>
          <w14:ligatures w14:val="none"/>
        </w:rPr>
        <w:t>按照《国务院办公厅关于印发〈政府信息公开信息处理费管理办法〉的通知》（国办函〔2020〕109号）规定，本年度霍邱县经济和信息化局没有产生信息</w:t>
      </w:r>
      <w:bookmarkStart w:id="0" w:name="_GoBack"/>
      <w:bookmarkEnd w:id="0"/>
      <w:r>
        <w:rPr>
          <w:rFonts w:hint="eastAsia" w:ascii="仿宋_GB2312" w:hAnsi="宋体" w:eastAsia="仿宋_GB2312" w:cs="宋体"/>
          <w:color w:val="000000"/>
          <w:kern w:val="0"/>
          <w:sz w:val="32"/>
          <w:szCs w:val="32"/>
          <w14:ligatures w14:val="none"/>
        </w:rPr>
        <w:t>公开处理费用。</w:t>
      </w:r>
    </w:p>
    <w:p>
      <w:pPr>
        <w:widowControl/>
        <w:shd w:val="clear" w:color="auto" w:fill="FFFFFF"/>
        <w:autoSpaceDE w:val="0"/>
        <w:spacing w:line="560" w:lineRule="exact"/>
        <w:ind w:firstLine="640"/>
        <w:rPr>
          <w:rFonts w:ascii="仿宋_GB2312" w:hAnsi="宋体" w:eastAsia="仿宋_GB2312" w:cs="宋体"/>
          <w:color w:val="000000"/>
          <w:kern w:val="0"/>
          <w:sz w:val="32"/>
          <w:szCs w:val="32"/>
          <w14:ligatures w14:val="none"/>
        </w:rPr>
      </w:pPr>
    </w:p>
    <w:p>
      <w:pPr>
        <w:widowControl/>
        <w:autoSpaceDE w:val="0"/>
        <w:spacing w:before="100" w:beforeAutospacing="1" w:after="100" w:afterAutospacing="1" w:line="560" w:lineRule="exact"/>
        <w:ind w:left="420" w:leftChars="200"/>
        <w:jc w:val="left"/>
        <w:outlineLvl w:val="0"/>
        <w:rPr>
          <w:rFonts w:ascii="仿宋_GB2312" w:hAnsi="宋体" w:eastAsia="仿宋_GB2312" w:cs="宋体"/>
          <w:color w:val="000000"/>
          <w:kern w:val="0"/>
          <w:sz w:val="32"/>
          <w:szCs w:val="32"/>
          <w14:ligatures w14:val="none"/>
        </w:rPr>
      </w:pPr>
    </w:p>
    <w:p/>
    <w:sectPr>
      <w:pgSz w:w="11906" w:h="16838"/>
      <w:pgMar w:top="2098" w:right="1474" w:bottom="1985" w:left="1588" w:header="851" w:footer="1247" w:gutter="0"/>
      <w:cols w:space="425"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31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Q0YWEyYTNjMzhiOGEzZjEwMTVjNTljZjExNzg4ZDMifQ=="/>
  </w:docVars>
  <w:rsids>
    <w:rsidRoot w:val="00DC3005"/>
    <w:rsid w:val="00013C8D"/>
    <w:rsid w:val="000B498A"/>
    <w:rsid w:val="0027444E"/>
    <w:rsid w:val="00420928"/>
    <w:rsid w:val="00724131"/>
    <w:rsid w:val="00785F61"/>
    <w:rsid w:val="008E34A1"/>
    <w:rsid w:val="00B86B0A"/>
    <w:rsid w:val="00BF0AA3"/>
    <w:rsid w:val="00DC3005"/>
    <w:rsid w:val="4DE06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2"/>
    <w:basedOn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14:ligatures w14:val="none"/>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tabs>
        <w:tab w:val="center" w:pos="4153"/>
        <w:tab w:val="right" w:pos="8306"/>
      </w:tabs>
      <w:snapToGrid w:val="0"/>
      <w:jc w:val="center"/>
    </w:pPr>
    <w:rPr>
      <w:sz w:val="18"/>
      <w:szCs w:val="18"/>
    </w:rPr>
  </w:style>
  <w:style w:type="character" w:styleId="7">
    <w:name w:val="Hyperlink"/>
    <w:basedOn w:val="6"/>
    <w:autoRedefine/>
    <w:semiHidden/>
    <w:unhideWhenUsed/>
    <w:qFormat/>
    <w:uiPriority w:val="99"/>
    <w:rPr>
      <w:color w:val="0000FF"/>
      <w:u w:val="single"/>
    </w:rPr>
  </w:style>
  <w:style w:type="character" w:customStyle="1" w:styleId="8">
    <w:name w:val="页眉 字符"/>
    <w:basedOn w:val="6"/>
    <w:link w:val="4"/>
    <w:uiPriority w:val="99"/>
    <w:rPr>
      <w:sz w:val="18"/>
      <w:szCs w:val="18"/>
    </w:rPr>
  </w:style>
  <w:style w:type="character" w:customStyle="1" w:styleId="9">
    <w:name w:val="页脚 字符"/>
    <w:basedOn w:val="6"/>
    <w:link w:val="3"/>
    <w:autoRedefine/>
    <w:qFormat/>
    <w:uiPriority w:val="99"/>
    <w:rPr>
      <w:sz w:val="18"/>
      <w:szCs w:val="18"/>
    </w:rPr>
  </w:style>
  <w:style w:type="character" w:customStyle="1" w:styleId="10">
    <w:name w:val="标题 2 字符"/>
    <w:basedOn w:val="6"/>
    <w:link w:val="2"/>
    <w:autoRedefine/>
    <w:qFormat/>
    <w:uiPriority w:val="9"/>
    <w:rPr>
      <w:rFonts w:ascii="宋体" w:hAnsi="宋体" w:eastAsia="宋体" w:cs="宋体"/>
      <w:b/>
      <w:bCs/>
      <w:kern w:val="0"/>
      <w:sz w:val="36"/>
      <w:szCs w:val="36"/>
      <w14:ligatures w14:val="none"/>
    </w:rPr>
  </w:style>
  <w:style w:type="paragraph" w:customStyle="1" w:styleId="11">
    <w:name w:val="p"/>
    <w:basedOn w:val="1"/>
    <w:autoRedefine/>
    <w:qFormat/>
    <w:uiPriority w:val="0"/>
    <w:pPr>
      <w:widowControl/>
      <w:spacing w:before="100" w:beforeAutospacing="1" w:after="100" w:afterAutospacing="1"/>
      <w:jc w:val="left"/>
    </w:pPr>
    <w:rPr>
      <w:rFonts w:ascii="宋体" w:hAnsi="宋体" w:eastAsia="宋体" w:cs="宋体"/>
      <w:kern w:val="0"/>
      <w:sz w:val="24"/>
      <w:szCs w:val="24"/>
      <w14:ligatures w14: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DD1FF-BD59-4D66-9700-B79952CAE700}">
  <ds:schemaRefs/>
</ds:datastoreItem>
</file>

<file path=docProps/app.xml><?xml version="1.0" encoding="utf-8"?>
<Properties xmlns="http://schemas.openxmlformats.org/officeDocument/2006/extended-properties" xmlns:vt="http://schemas.openxmlformats.org/officeDocument/2006/docPropsVTypes">
  <Template>Normal</Template>
  <Pages>8</Pages>
  <Words>432</Words>
  <Characters>2465</Characters>
  <Lines>20</Lines>
  <Paragraphs>5</Paragraphs>
  <TotalTime>0</TotalTime>
  <ScaleCrop>false</ScaleCrop>
  <LinksUpToDate>false</LinksUpToDate>
  <CharactersWithSpaces>2892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2023-12-01T01:28:00Z</dcterms:created>
  <dc:creator>Mu scer</dc:creator>
  <cp:lastModifiedBy>Lv 聪</cp:lastModifiedBy>
  <dcterms:modified xsi:type="dcterms:W3CDTF">2024-02-21T03:13:13Z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DAAE0A54A20C42839175935159FBD276_12</vt:lpwstr>
  </property>
</Properties>
</file>