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default" w:ascii="Times New Roman" w:hAnsi="Times New Roman" w:eastAsia="仿宋_GB2312" w:cs="Times New Roman"/>
          <w:color w:val="000000"/>
          <w:kern w:val="0"/>
          <w:sz w:val="24"/>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霍邱县财政局202</w:t>
      </w:r>
      <w:r>
        <w:rPr>
          <w:rFonts w:hint="eastAsia" w:ascii="Times New Roman" w:hAnsi="Times New Roman" w:eastAsia="方正小标宋简体" w:cs="Times New Roman"/>
          <w:color w:val="000000"/>
          <w:kern w:val="0"/>
          <w:sz w:val="44"/>
          <w:szCs w:val="44"/>
          <w:lang w:val="en-US" w:eastAsia="zh-CN"/>
        </w:rPr>
        <w:t>2</w:t>
      </w:r>
      <w:r>
        <w:rPr>
          <w:rFonts w:hint="default" w:ascii="Times New Roman" w:hAnsi="Times New Roman" w:eastAsia="方正小标宋简体" w:cs="Times New Roman"/>
          <w:color w:val="000000"/>
          <w:kern w:val="0"/>
          <w:sz w:val="44"/>
          <w:szCs w:val="44"/>
        </w:rPr>
        <w:t>年政府信息公开工作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年度报告</w:t>
      </w:r>
    </w:p>
    <w:p>
      <w:pPr>
        <w:widowControl/>
        <w:shd w:val="clear" w:color="auto" w:fill="FFFFFF"/>
        <w:ind w:firstLine="480"/>
        <w:rPr>
          <w:rFonts w:hint="default" w:ascii="Times New Roman" w:hAnsi="Times New Roman" w:eastAsia="仿宋_GB2312" w:cs="Times New Roman"/>
          <w:color w:val="000000"/>
          <w:kern w:val="0"/>
          <w:sz w:val="24"/>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color w:val="000000"/>
          <w:kern w:val="0"/>
          <w:sz w:val="32"/>
          <w:szCs w:val="32"/>
          <w:lang w:eastAsia="zh-CN"/>
        </w:rPr>
      </w:pPr>
      <w:r>
        <w:rPr>
          <w:rFonts w:hint="eastAsia" w:ascii="Times New Roman" w:hAnsi="Times New Roman" w:eastAsia="仿宋_GB2312" w:cs="Times New Roman"/>
          <w:snapToGrid/>
          <w:color w:val="000000"/>
          <w:kern w:val="0"/>
          <w:sz w:val="32"/>
          <w:szCs w:val="32"/>
          <w:lang w:eastAsia="zh-CN"/>
        </w:rPr>
        <w:t>根据《国务院办公厅政府信息与政务公开办公室关于印发&lt;中华人民共和国政府信息公开工作年度报告格式&gt;的通知》（国办公开办函〔2021〕30号）、《安徽省政务公开办公室关于做好2022年度政府信息公开工作年度报告编制和发布工作的通知》、《六安市政务公开办公室关于做好政府信息公开年度报告编制和发布工作的通知》（六政务公开办〔2022〕53号）文件要求，霍邱县财政局编制2022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2022年1月1日起至2022年12月31日。如对本报告有疑问，请与霍邱县财政局联系(地址:霍邱县城关镇蓼城路政务中心A606；邮编:237400；电话:0564-6081192)。</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snapToGrid/>
          <w:color w:val="000000"/>
          <w:kern w:val="0"/>
          <w:sz w:val="32"/>
          <w:szCs w:val="32"/>
          <w:shd w:val="clear" w:color="auto" w:fill="FFFFFF"/>
          <w:lang w:val="en-US" w:eastAsia="zh-CN" w:bidi="ar-SA"/>
        </w:rPr>
      </w:pPr>
      <w:r>
        <w:rPr>
          <w:rFonts w:hint="default" w:ascii="Times New Roman" w:hAnsi="Times New Roman" w:eastAsia="黑体" w:cs="Times New Roman"/>
          <w:b w:val="0"/>
          <w:bCs/>
          <w:snapToGrid/>
          <w:color w:val="000000"/>
          <w:kern w:val="0"/>
          <w:sz w:val="32"/>
          <w:szCs w:val="32"/>
          <w:shd w:val="clear" w:color="auto" w:fill="FFFFFF"/>
          <w:lang w:val="en-US" w:eastAsia="zh-CN" w:bidi="ar-SA"/>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color w:val="000000"/>
          <w:kern w:val="0"/>
          <w:sz w:val="32"/>
          <w:szCs w:val="32"/>
          <w:lang w:eastAsia="zh-CN"/>
        </w:rPr>
      </w:pPr>
      <w:r>
        <w:rPr>
          <w:rFonts w:hint="eastAsia" w:ascii="Times New Roman" w:hAnsi="Times New Roman" w:eastAsia="仿宋_GB2312" w:cs="Times New Roman"/>
          <w:snapToGrid/>
          <w:color w:val="000000"/>
          <w:kern w:val="0"/>
          <w:sz w:val="32"/>
          <w:szCs w:val="32"/>
          <w:lang w:eastAsia="zh-CN"/>
        </w:rPr>
        <w:t>2022年以来，霍邱县财政局坚持以习近平新时代中国特色社会主义思想为指导，在县委、县政府的正确领导下，全面落实《条例》和《办法》规定，深入贯彻中央《关于全面推进政务公开工作的意见》总体部署，以霍邱县人民政府门户网站为信息公开渠道，坚持“以公开为常态、不公开为例外”，大力推进行政权力公开透明运行，及时更新政务信息，扎实抓好政府信息公开各项工作的落实，有效保障人民群众的知情权，为促进依法行政、依法理财及全县财政健康发展发挥了积极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napToGrid/>
          <w:color w:val="000000"/>
          <w:kern w:val="0"/>
          <w:sz w:val="32"/>
          <w:szCs w:val="32"/>
          <w:lang w:eastAsia="zh-CN"/>
        </w:rPr>
      </w:pPr>
      <w:r>
        <w:rPr>
          <w:rFonts w:hint="default" w:ascii="Times New Roman" w:hAnsi="Times New Roman" w:eastAsia="仿宋_GB2312" w:cs="Times New Roman"/>
          <w:b/>
          <w:bCs/>
          <w:snapToGrid/>
          <w:color w:val="000000"/>
          <w:kern w:val="0"/>
          <w:sz w:val="32"/>
          <w:szCs w:val="32"/>
          <w:lang w:eastAsia="zh-CN"/>
        </w:rPr>
        <w:t>（一）主动公开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color w:val="000000"/>
          <w:kern w:val="0"/>
          <w:sz w:val="32"/>
          <w:szCs w:val="32"/>
          <w:lang w:eastAsia="zh-CN"/>
        </w:rPr>
      </w:pPr>
      <w:r>
        <w:rPr>
          <w:rFonts w:hint="eastAsia" w:ascii="Times New Roman" w:hAnsi="Times New Roman" w:eastAsia="仿宋_GB2312" w:cs="Times New Roman"/>
          <w:snapToGrid/>
          <w:color w:val="000000"/>
          <w:kern w:val="0"/>
          <w:sz w:val="32"/>
          <w:szCs w:val="32"/>
          <w:lang w:eastAsia="zh-CN"/>
        </w:rPr>
        <w:t>1.总体情况。2022年，霍邱县财政局通过门户网站共主动公开306条信息。其中，政策法规类信息8条，重大决策预公开类信息2条，规划计划类信息4条，决策部署落实情况类信息5条，财政资金类信息5条，年度部门预决算及“三公”经费情况类信息7条，建议提案办理类信息5条，政策解读类信息7条，回应关切类信息7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color w:val="000000"/>
          <w:kern w:val="0"/>
          <w:sz w:val="32"/>
          <w:szCs w:val="32"/>
          <w:lang w:eastAsia="zh-CN"/>
        </w:rPr>
      </w:pPr>
      <w:r>
        <w:rPr>
          <w:rFonts w:hint="eastAsia" w:ascii="Times New Roman" w:hAnsi="Times New Roman" w:eastAsia="仿宋_GB2312" w:cs="Times New Roman"/>
          <w:snapToGrid/>
          <w:color w:val="000000"/>
          <w:kern w:val="0"/>
          <w:sz w:val="32"/>
          <w:szCs w:val="32"/>
          <w:lang w:eastAsia="zh-CN"/>
        </w:rPr>
        <w:t>2. 部门负责重点领域信息公开情况。2022年，霍邱县财政局共公开重点领域信息55条。其中：政府债务类信息16条，防范化解重大风险类信息3条，乡村振兴类信息6条，社会公益事业类信息3条，公共资源配置类信息21条，高质量发展类信息1条，民生工程类信息1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snapToGrid/>
          <w:color w:val="000000"/>
          <w:kern w:val="0"/>
          <w:sz w:val="32"/>
          <w:szCs w:val="32"/>
          <w:lang w:eastAsia="zh-CN"/>
        </w:rPr>
      </w:pPr>
      <w:r>
        <w:rPr>
          <w:rFonts w:hint="default" w:ascii="Times New Roman" w:hAnsi="Times New Roman" w:eastAsia="仿宋_GB2312" w:cs="Times New Roman"/>
          <w:b/>
          <w:bCs/>
          <w:snapToGrid/>
          <w:color w:val="000000"/>
          <w:kern w:val="0"/>
          <w:sz w:val="32"/>
          <w:szCs w:val="32"/>
          <w:lang w:eastAsia="zh-CN"/>
        </w:rPr>
        <w:t>（二）依申请公开。</w:t>
      </w:r>
      <w:r>
        <w:rPr>
          <w:rFonts w:hint="eastAsia" w:ascii="Times New Roman" w:hAnsi="Times New Roman" w:eastAsia="仿宋_GB2312" w:cs="Times New Roman"/>
          <w:snapToGrid/>
          <w:color w:val="000000"/>
          <w:kern w:val="0"/>
          <w:sz w:val="32"/>
          <w:szCs w:val="32"/>
          <w:lang w:eastAsia="zh-CN"/>
        </w:rPr>
        <w:t>2022年我局在依申请公开网站上共收到依申请公开申请事项1件，上年结转政府信息公开申请数量0件。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snapToGrid/>
          <w:color w:val="000000"/>
          <w:kern w:val="0"/>
          <w:sz w:val="32"/>
          <w:szCs w:val="32"/>
          <w:lang w:eastAsia="zh-CN"/>
        </w:rPr>
      </w:pPr>
      <w:r>
        <w:rPr>
          <w:rFonts w:hint="eastAsia" w:ascii="Times New Roman" w:hAnsi="Times New Roman" w:eastAsia="仿宋_GB2312" w:cs="Times New Roman"/>
          <w:b/>
          <w:bCs/>
          <w:snapToGrid/>
          <w:color w:val="000000"/>
          <w:kern w:val="0"/>
          <w:sz w:val="32"/>
          <w:szCs w:val="32"/>
          <w:lang w:eastAsia="zh-CN"/>
        </w:rPr>
        <w:t>（三）政府信息管理。</w:t>
      </w:r>
      <w:r>
        <w:rPr>
          <w:rFonts w:hint="eastAsia" w:ascii="Times New Roman" w:hAnsi="Times New Roman" w:eastAsia="仿宋_GB2312" w:cs="Times New Roman"/>
          <w:snapToGrid/>
          <w:color w:val="000000"/>
          <w:kern w:val="0"/>
          <w:sz w:val="32"/>
          <w:szCs w:val="32"/>
          <w:lang w:eastAsia="zh-CN"/>
        </w:rPr>
        <w:t>推进信息公开标准化规范化建设，按时完成财政领域政务公开事项梳理，落实好“财政资金”“政府采购”“民生工程”等重点领域专题专栏保障工作。不断提高工作实效，按规定实时更新信息，及时解读财政工作和政策，方便社会公众快速准确获取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snapToGrid/>
          <w:color w:val="000000"/>
          <w:kern w:val="0"/>
          <w:sz w:val="32"/>
          <w:szCs w:val="32"/>
          <w:lang w:eastAsia="zh-CN"/>
        </w:rPr>
      </w:pPr>
      <w:r>
        <w:rPr>
          <w:rFonts w:hint="eastAsia" w:ascii="Times New Roman" w:hAnsi="Times New Roman" w:eastAsia="仿宋_GB2312" w:cs="Times New Roman"/>
          <w:b/>
          <w:bCs/>
          <w:snapToGrid/>
          <w:color w:val="000000"/>
          <w:kern w:val="0"/>
          <w:sz w:val="32"/>
          <w:szCs w:val="32"/>
          <w:lang w:eastAsia="zh-CN"/>
        </w:rPr>
        <w:t>（四）政府信息公开平台建设方面。</w:t>
      </w:r>
      <w:r>
        <w:rPr>
          <w:rFonts w:hint="eastAsia" w:ascii="Times New Roman" w:hAnsi="Times New Roman" w:eastAsia="仿宋_GB2312" w:cs="Times New Roman"/>
          <w:snapToGrid/>
          <w:color w:val="000000"/>
          <w:kern w:val="0"/>
          <w:sz w:val="32"/>
          <w:szCs w:val="32"/>
          <w:lang w:eastAsia="zh-CN"/>
        </w:rPr>
        <w:t xml:space="preserve">目前，我局政务信息公开依托霍邱县人民政府门户网站进行公开，2022年，我局暂未开通新媒体平台。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snapToGrid/>
          <w:color w:val="000000"/>
          <w:kern w:val="0"/>
          <w:sz w:val="32"/>
          <w:szCs w:val="32"/>
          <w:lang w:eastAsia="zh-CN"/>
        </w:rPr>
      </w:pPr>
      <w:r>
        <w:rPr>
          <w:rFonts w:hint="eastAsia" w:ascii="Times New Roman" w:hAnsi="Times New Roman" w:eastAsia="仿宋_GB2312" w:cs="Times New Roman"/>
          <w:b/>
          <w:bCs/>
          <w:snapToGrid/>
          <w:color w:val="000000"/>
          <w:kern w:val="0"/>
          <w:sz w:val="32"/>
          <w:szCs w:val="32"/>
          <w:lang w:eastAsia="zh-CN"/>
        </w:rPr>
        <w:t>（五）监督保障。</w:t>
      </w:r>
      <w:r>
        <w:rPr>
          <w:rFonts w:hint="eastAsia" w:ascii="Times New Roman" w:hAnsi="Times New Roman" w:eastAsia="仿宋_GB2312" w:cs="Times New Roman"/>
          <w:snapToGrid/>
          <w:color w:val="000000"/>
          <w:kern w:val="0"/>
          <w:sz w:val="32"/>
          <w:szCs w:val="32"/>
          <w:lang w:eastAsia="zh-CN"/>
        </w:rPr>
        <w:t>成立了以局主要负责人为组长，党组成员为副组长，各相关股室负责人为成员的政务公开工作领导小组，由局办公室统筹协调政务公开工作，在县人民政府网公开的信息，严格落实审核制度，由相关股室报局分管领导和局主要负责人审核同意后才可上网公开，确保发布内容的正确性、准确性。同时，按照政务公开考核要求，认真落实工作要点，对网上信息及时更新，对发现问题及时整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二、主动公开政府信息情况</w:t>
      </w:r>
    </w:p>
    <w:tbl>
      <w:tblPr>
        <w:tblStyle w:val="4"/>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highlight w:val="none"/>
                <w:lang w:val="en-US" w:eastAsia="zh-CN"/>
              </w:rPr>
              <w:t>3</w:t>
            </w:r>
            <w:r>
              <w:rPr>
                <w:rFonts w:hint="default" w:ascii="Times New Roman" w:hAnsi="Times New Roman" w:eastAsia="宋体" w:cs="Times New Roman"/>
                <w:color w:val="000000"/>
                <w:kern w:val="0"/>
                <w:sz w:val="20"/>
                <w:szCs w:val="20"/>
                <w:highlight w:val="none"/>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1"/>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1</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三、收到和处理政府信息公开申请情况</w:t>
      </w: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商业</w:t>
            </w:r>
          </w:p>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科研</w:t>
            </w:r>
          </w:p>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eastAsia"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20"/>
                <w:szCs w:val="20"/>
                <w:lang w:val="en-US" w:eastAsia="zh-CN"/>
              </w:rPr>
              <w:t>1</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eastAsia"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0"/>
                <w:sz w:val="20"/>
                <w:szCs w:val="20"/>
                <w:lang w:val="en-US" w:eastAsia="zh-CN"/>
              </w:rPr>
              <w:t>1</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（二）部分公开</w:t>
            </w:r>
            <w:r>
              <w:rPr>
                <w:rFonts w:hint="default" w:ascii="Times New Roman" w:hAnsi="Times New Roman" w:eastAsia="楷体" w:cs="Times New Roman"/>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rPr>
              <w:t> </w:t>
            </w:r>
            <w:r>
              <w:rPr>
                <w:rFonts w:hint="eastAsia"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eastAsia"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r>
    </w:tbl>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四、政府信息公开行政复议、行政诉讼情况</w:t>
      </w:r>
    </w:p>
    <w:tbl>
      <w:tblPr>
        <w:tblStyle w:val="4"/>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before="110" w:beforeLines="35"/>
              <w:jc w:val="center"/>
              <w:textAlignment w:val="auto"/>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bookmarkStart w:id="0" w:name="_GoBack"/>
      <w:bookmarkEnd w:id="0"/>
      <w:r>
        <w:rPr>
          <w:rFonts w:hint="default" w:ascii="Times New Roman" w:hAnsi="Times New Roman" w:eastAsia="黑体" w:cs="Times New Roman"/>
          <w:b w:val="0"/>
          <w:bCs/>
          <w:color w:val="000000"/>
          <w:kern w:val="0"/>
          <w:sz w:val="32"/>
          <w:szCs w:val="32"/>
          <w:shd w:val="clear" w:color="auto" w:fill="FFFFFF"/>
          <w:lang w:val="en-US" w:eastAsia="zh-CN" w:bidi="ar-SA"/>
        </w:rPr>
        <w:t>五、存在的主要问题及改进情况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2022年，我局对照全县政务公开主要任务，扎实、规范、有序推动各项信息公开工作，取得显著成效。但仍存在信息公开形式单一、渠道狭窄等问题，尚不能完全满足人民群众的实际需求。针对上述情况，我局将从以下三方面予以改进：</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一是健全工作机制，加强组织保障。结合财政工作实际，建立和完善政府信息公开内容审查、考核评估、政策解读等工作机制，进一步强化工作部署，细化工作方案，推进责任落实，深入、持续、高效地推进财政信息公开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二是回应社会关切，畅通群众沟通渠道。始终以社会需求为导向，紧扣群众关切的财政热点和难点，抓好重大政策措施的宣传解读工作，积极适应新形势下财政信息公开工作的新要求，更好地发挥信息公开服务社会和广大群众的作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三是积极探索创新，丰富公开形式。结合门户网站，打造全方位互联网信息公开环境。将财政预决算、财政政策、民生保障、政府采购等重点领域政务信息，通过图文、视频、调查问卷等创新形式进行发布、解读，确保群众“看得到、听得懂、易获取、能监督、好参与”。</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color w:val="000000"/>
          <w:kern w:val="0"/>
          <w:sz w:val="32"/>
          <w:szCs w:val="32"/>
          <w:shd w:val="clear" w:color="auto" w:fill="FFFFFF"/>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六、其他需要报告的事项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2022年，依据《政府信息公开信息处理费管理办法》，霍邱县财政局收取信息处理费为：0元。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BC781E-94CC-40C1-9E40-6E0A1CCD62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F6821521-5B13-427F-81D7-CF09813E6E1B}"/>
  </w:font>
  <w:font w:name="方正小标宋简体">
    <w:panose1 w:val="02000000000000000000"/>
    <w:charset w:val="86"/>
    <w:family w:val="script"/>
    <w:pitch w:val="default"/>
    <w:sig w:usb0="00000001" w:usb1="080E0000" w:usb2="00000000" w:usb3="00000000" w:csb0="00040000" w:csb1="00000000"/>
    <w:embedRegular r:id="rId3" w:fontKey="{1515509D-EB3F-4AEC-AE5B-8A01FEF91C6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4" w:fontKey="{7D725F60-72AF-4E6E-9599-277FD2A1D3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MjlmMGIwMjhkYWU5ZDlhNDI5OTMwNGU3NzBkYzEifQ=="/>
  </w:docVars>
  <w:rsids>
    <w:rsidRoot w:val="00000000"/>
    <w:rsid w:val="0093008B"/>
    <w:rsid w:val="04831DF5"/>
    <w:rsid w:val="05C14567"/>
    <w:rsid w:val="08444D9F"/>
    <w:rsid w:val="0C1165C3"/>
    <w:rsid w:val="0D010C47"/>
    <w:rsid w:val="0E256FA8"/>
    <w:rsid w:val="169951AF"/>
    <w:rsid w:val="181F6F4B"/>
    <w:rsid w:val="1B772E9E"/>
    <w:rsid w:val="22D6662D"/>
    <w:rsid w:val="30455AC0"/>
    <w:rsid w:val="36D96A36"/>
    <w:rsid w:val="37856D17"/>
    <w:rsid w:val="3C39735A"/>
    <w:rsid w:val="3FF70416"/>
    <w:rsid w:val="4BFB6C8D"/>
    <w:rsid w:val="4C7F6D10"/>
    <w:rsid w:val="52EA3518"/>
    <w:rsid w:val="56712FAA"/>
    <w:rsid w:val="596036FA"/>
    <w:rsid w:val="61744FEB"/>
    <w:rsid w:val="61B74DF0"/>
    <w:rsid w:val="62EE155C"/>
    <w:rsid w:val="68504C3B"/>
    <w:rsid w:val="7DC4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润青丶</cp:lastModifiedBy>
  <cp:lastPrinted>2024-01-22T07:42:00Z</cp:lastPrinted>
  <dcterms:modified xsi:type="dcterms:W3CDTF">2024-02-21T02:54:10Z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F8F403937F8D407DBC2EDE537834F80C_13</vt:lpwstr>
  </property>
</Properties>
</file>