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霍邱县教育局</w:t>
      </w:r>
      <w:r>
        <w:rPr>
          <w:rFonts w:hint="eastAsia" w:ascii="方正小标宋简体" w:hAnsi="方正小标宋简体" w:eastAsia="方正小标宋简体" w:cs="方正小标宋简体"/>
          <w:b w:val="0"/>
          <w:bCs w:val="0"/>
          <w:color w:val="auto"/>
          <w:sz w:val="44"/>
          <w:szCs w:val="44"/>
          <w:lang w:val="en-US" w:eastAsia="zh-CN"/>
        </w:rPr>
        <w:t>2022年政府信息公开</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工作年度报告</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2022年，县教育局深入贯彻落实《中华人民共和国政府信息公开条例》，根据《国务院办公厅政府信息与政务办公室关于印发&lt;中华人民共和国政府信息公开工作年度报告格式&gt;的通知》（国办公开办函〔2021〕30号）、</w:t>
      </w:r>
      <w:r>
        <w:rPr>
          <w:rFonts w:hint="eastAsia" w:ascii="仿宋_GB2312" w:hAnsi="仿宋_GB2312" w:eastAsia="仿宋_GB2312" w:cs="仿宋_GB2312"/>
          <w:color w:val="auto"/>
          <w:kern w:val="0"/>
          <w:sz w:val="32"/>
          <w:szCs w:val="32"/>
          <w:lang w:val="en-US" w:eastAsia="zh-CN" w:bidi="ar"/>
        </w:rPr>
        <w:t>《安徽省政务公开办公室关于做好 2022 年度政府信息公开工作年度报告编制和数据报送工作的通知》</w:t>
      </w:r>
      <w:r>
        <w:rPr>
          <w:rFonts w:hint="eastAsia" w:ascii="仿宋_GB2312" w:hAnsi="仿宋_GB2312" w:eastAsia="仿宋_GB2312" w:cs="仿宋_GB2312"/>
          <w:color w:val="auto"/>
          <w:kern w:val="0"/>
          <w:sz w:val="32"/>
          <w:szCs w:val="32"/>
          <w:shd w:val="clear" w:fill="FFFFFF"/>
          <w:lang w:val="en-US" w:eastAsia="zh-CN" w:bidi="ar"/>
        </w:rPr>
        <w:t>、《六安市政务公开办公室关于做好 2022 年度政府信息公开年度报告编制和发布工作的通知》（六政务公开办〔2022〕53号）的要求，由霍邱县教育局编制。主要内容包括</w:t>
      </w:r>
      <w:r>
        <w:rPr>
          <w:rFonts w:hint="eastAsia" w:ascii="仿宋_GB2312" w:hAnsi="仿宋_GB2312" w:eastAsia="仿宋_GB2312" w:cs="仿宋_GB2312"/>
          <w:color w:val="auto"/>
          <w:kern w:val="0"/>
          <w:sz w:val="32"/>
          <w:szCs w:val="32"/>
          <w:lang w:val="en-US" w:eastAsia="zh-CN" w:bidi="ar"/>
        </w:rPr>
        <w:t>主要包括主动公开、依申请公开、政府信息管理、政府信息、公开平台建设、监督保障等。</w:t>
      </w:r>
      <w:r>
        <w:rPr>
          <w:rFonts w:hint="eastAsia" w:ascii="仿宋_GB2312" w:hAnsi="仿宋_GB2312" w:eastAsia="仿宋_GB2312" w:cs="仿宋_GB2312"/>
          <w:color w:val="auto"/>
          <w:sz w:val="32"/>
          <w:szCs w:val="32"/>
          <w:lang w:eastAsia="zh-CN" w:bidi="ar"/>
        </w:rPr>
        <w:t>本</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
        </w:rPr>
        <w:t>报告中使用数据统计期限为2022年1月1日至12月31日，报告的电子版可在霍邱县教育局信息公开网下载。如对本报告有任何疑问，请与霍邱县教育局联系（地址：霍邱县城关镇蓼城路中段教育培训中心1010室；邮编：237400；联系电话：0564-6080156，电子邮箱：1837105758@qq.com）。</w:t>
      </w:r>
    </w:p>
    <w:p>
      <w:pPr>
        <w:pStyle w:val="5"/>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一、总体情况</w:t>
      </w:r>
    </w:p>
    <w:p>
      <w:pPr>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
        </w:rPr>
        <w:t>2022年，霍邱县教育局在市、县政府的正确领导下，在市、县政务公开办和市教育体育局的有力指导下，我局坚持以人民为中心的发展思想，认真贯彻落实新修订的《中华人民共和国政府信息公开条例》，坚持以公开为常态、不公开为例外，全面落实“五公开”要求，不断提升政务公开工作水平。</w:t>
      </w:r>
    </w:p>
    <w:p>
      <w:pPr>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（一）</w:t>
      </w:r>
      <w:r>
        <w:rPr>
          <w:rFonts w:hint="eastAsia" w:ascii="楷体_GB2312" w:hAnsi="楷体_GB2312" w:eastAsia="楷体_GB2312" w:cs="楷体_GB2312"/>
          <w:b/>
          <w:bCs/>
          <w:color w:val="auto"/>
          <w:sz w:val="32"/>
          <w:szCs w:val="32"/>
          <w:shd w:val="clear" w:fill="FFFFFF"/>
        </w:rPr>
        <w:t>主动公开情况。</w:t>
      </w:r>
      <w:r>
        <w:rPr>
          <w:rFonts w:hint="eastAsia" w:ascii="仿宋_GB2312" w:hAnsi="仿宋_GB2312" w:eastAsia="仿宋_GB2312" w:cs="仿宋_GB2312"/>
          <w:color w:val="auto"/>
          <w:sz w:val="32"/>
          <w:szCs w:val="32"/>
          <w:shd w:val="clear" w:fill="FFFFFF"/>
          <w:lang w:val="en-US" w:eastAsia="zh-CN"/>
        </w:rPr>
        <w:t>根据《中华人民共和国政府信息公开条例》要求，我局统筹协调各业务股室，抓好政务公开工作任务落实。</w:t>
      </w:r>
      <w:r>
        <w:rPr>
          <w:rFonts w:hint="eastAsia" w:ascii="仿宋_GB2312" w:hAnsi="仿宋_GB2312" w:eastAsia="仿宋_GB2312" w:cs="仿宋_GB2312"/>
          <w:color w:val="auto"/>
          <w:sz w:val="32"/>
          <w:szCs w:val="32"/>
          <w:shd w:val="clear" w:fill="FFFFFF"/>
        </w:rPr>
        <w:t>全年</w:t>
      </w:r>
      <w:r>
        <w:rPr>
          <w:rFonts w:hint="eastAsia" w:ascii="仿宋_GB2312" w:hAnsi="仿宋_GB2312" w:eastAsia="仿宋_GB2312" w:cs="仿宋_GB2312"/>
          <w:color w:val="auto"/>
          <w:sz w:val="32"/>
          <w:szCs w:val="32"/>
          <w:shd w:val="clear" w:fill="FFFFFF"/>
          <w:lang w:eastAsia="zh-CN"/>
        </w:rPr>
        <w:t>共</w:t>
      </w:r>
      <w:r>
        <w:rPr>
          <w:rFonts w:hint="eastAsia" w:ascii="仿宋_GB2312" w:hAnsi="仿宋_GB2312" w:eastAsia="仿宋_GB2312" w:cs="仿宋_GB2312"/>
          <w:color w:val="auto"/>
          <w:sz w:val="32"/>
          <w:szCs w:val="32"/>
          <w:shd w:val="clear" w:fill="FFFFFF"/>
        </w:rPr>
        <w:t>发布</w:t>
      </w:r>
      <w:r>
        <w:rPr>
          <w:rFonts w:hint="eastAsia" w:ascii="仿宋_GB2312" w:hAnsi="仿宋_GB2312" w:eastAsia="仿宋_GB2312" w:cs="仿宋_GB2312"/>
          <w:color w:val="auto"/>
          <w:sz w:val="32"/>
          <w:szCs w:val="32"/>
          <w:shd w:val="clear" w:fill="FFFFFF"/>
          <w:lang w:eastAsia="zh-CN"/>
        </w:rPr>
        <w:t>政策法规</w:t>
      </w:r>
      <w:r>
        <w:rPr>
          <w:rFonts w:hint="eastAsia" w:ascii="仿宋_GB2312" w:hAnsi="仿宋_GB2312" w:eastAsia="仿宋_GB2312" w:cs="仿宋_GB2312"/>
          <w:color w:val="auto"/>
          <w:sz w:val="32"/>
          <w:szCs w:val="32"/>
          <w:shd w:val="clear" w:fill="FFFFFF"/>
          <w:lang w:val="en-US" w:eastAsia="zh-CN"/>
        </w:rPr>
        <w:t>92条，重大决策预公开5条， 规划计划9条，决策部署落实情况23条，建议提案办理44条，机构领导99条，机构设置19条，人事信息49条，财政资金76条，应急管理37条，权责清单和动态调整情况13条，公共服务清单和中介服务清单1条，行政权力运行101条，行政执法公示25条， 招标采购2条，乡村振兴4条，新闻发布4条，政策解读18条，回应关切60条，监督保障30条，重点领域公开677条，三大攻坚战2条，精准脱贫2条，重大建设项目批准和实施27条，社会救助和社会福利32条，教育信息545条， 高质量发展71条，“六稳”“六保”专项工作21条，共计发布2088条。</w:t>
      </w:r>
    </w:p>
    <w:p>
      <w:pPr>
        <w:pStyle w:val="5"/>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color w:val="auto"/>
          <w:kern w:val="2"/>
          <w:sz w:val="32"/>
          <w:szCs w:val="32"/>
          <w:shd w:val="clear" w:fill="FFFFFF"/>
          <w:lang w:val="en-US" w:eastAsia="zh-CN" w:bidi="ar-SA"/>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（二）依申请公开情况。</w:t>
      </w:r>
      <w:r>
        <w:rPr>
          <w:rFonts w:hint="eastAsia" w:ascii="仿宋_GB2312" w:hAnsi="仿宋_GB2312" w:eastAsia="仿宋_GB2312" w:cs="仿宋_GB2312"/>
          <w:color w:val="auto"/>
          <w:sz w:val="32"/>
          <w:szCs w:val="32"/>
          <w:shd w:val="clear" w:fill="FFFFFF"/>
          <w:lang w:val="en-US" w:eastAsia="zh-CN"/>
        </w:rPr>
        <w:t>按照《霍邱县人民政府办公室关于规范政府信息依申请公开工作的通知》要求，参照政府信息公开申请办理答复格式文本，进一步规范了县教育局政府</w:t>
      </w:r>
      <w:r>
        <w:rPr>
          <w:rFonts w:hint="eastAsia" w:ascii="仿宋_GB2312" w:hAnsi="仿宋_GB2312" w:eastAsia="仿宋_GB2312" w:cs="仿宋_GB2312"/>
          <w:color w:val="auto"/>
          <w:sz w:val="32"/>
          <w:szCs w:val="32"/>
          <w:shd w:val="clear" w:fill="FFFFFF"/>
        </w:rPr>
        <w:t>信息申请接受、办理、答复、归档等各项工作。按法定时限答复依申请事项，</w:t>
      </w:r>
      <w:r>
        <w:rPr>
          <w:rFonts w:hint="eastAsia" w:ascii="仿宋_GB2312" w:hAnsi="仿宋_GB2312" w:eastAsia="仿宋_GB2312" w:cs="仿宋_GB2312"/>
          <w:color w:val="auto"/>
          <w:kern w:val="2"/>
          <w:sz w:val="32"/>
          <w:szCs w:val="32"/>
          <w:shd w:val="clear" w:fill="FFFFFF"/>
          <w:lang w:val="en-US" w:eastAsia="zh-CN" w:bidi="ar-SA"/>
        </w:rPr>
        <w:t>保证依申请公开办理质量。2022年县教育局未收到政府信息依申请件，未因政府信息公开申请答复不规范收到行政复议或诉讼。</w:t>
      </w:r>
    </w:p>
    <w:p>
      <w:pPr>
        <w:pStyle w:val="5"/>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（三）政府信息管理。</w:t>
      </w:r>
      <w:r>
        <w:rPr>
          <w:rFonts w:hint="eastAsia" w:ascii="仿宋_GB2312" w:hAnsi="仿宋_GB2312" w:eastAsia="仿宋_GB2312" w:cs="仿宋_GB2312"/>
          <w:color w:val="auto"/>
          <w:sz w:val="32"/>
          <w:szCs w:val="32"/>
          <w:shd w:val="clear" w:fill="FFFFFF"/>
          <w:lang w:val="en-US" w:eastAsia="zh-CN"/>
        </w:rPr>
        <w:t>根据《霍邱县人民政府办公室关于印发霍邱县2022年政务公开重点工作任务分工的通知》要求，制定了《霍邱县教育局2022年政务公开重点工作任务分工》，严格执行信息公开“三审”制度。进一步健全完善政府信息公开发布协调机制、健全完善网站管理部门政府信息发布登记制度、责任追究制度，没有失泄密情况发生。及时公开2021年度部门决算、2022年度部门预算、“三公经费”情况。</w:t>
      </w:r>
    </w:p>
    <w:p>
      <w:pPr>
        <w:pStyle w:val="5"/>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（四）平台建设情况。</w:t>
      </w:r>
      <w:r>
        <w:rPr>
          <w:rFonts w:hint="eastAsia" w:ascii="仿宋_GB2312" w:hAnsi="仿宋_GB2312" w:eastAsia="仿宋_GB2312" w:cs="仿宋_GB2312"/>
          <w:color w:val="auto"/>
          <w:sz w:val="32"/>
          <w:szCs w:val="32"/>
          <w:shd w:val="clear" w:fill="FFFFFF"/>
          <w:lang w:val="en-US" w:eastAsia="zh-CN"/>
        </w:rPr>
        <w:t>根据《国务院办公厅政府信息与政务公开办公室关于规范政府信息公开平台有关事项的通知》（国办公开办函〔2019）61号）文件，对政府信息公开指南进行了修订，对各栏目内容进行了完善。按照县政府要求已关闭县教育局官宣的微信公众号，新浪微博等账号。</w:t>
      </w:r>
    </w:p>
    <w:p>
      <w:pPr>
        <w:pStyle w:val="5"/>
        <w:keepNext w:val="0"/>
        <w:keepLines w:val="0"/>
        <w:pageBreakBefore w:val="0"/>
        <w:widowControl w:val="0"/>
        <w:suppressLineNumbers w:val="0"/>
        <w:shd w:val="clear"/>
        <w:kinsoku/>
        <w:wordWrap/>
        <w:overflowPunct/>
        <w:topLinePunct w:val="0"/>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（五）监督保障。</w:t>
      </w:r>
      <w:r>
        <w:rPr>
          <w:rFonts w:hint="eastAsia" w:ascii="仿宋_GB2312" w:hAnsi="仿宋_GB2312" w:eastAsia="仿宋_GB2312" w:cs="仿宋_GB2312"/>
          <w:color w:val="auto"/>
          <w:sz w:val="32"/>
          <w:szCs w:val="32"/>
          <w:shd w:val="clear" w:fill="FFFFFF"/>
        </w:rPr>
        <w:t>积极参加</w:t>
      </w:r>
      <w:r>
        <w:rPr>
          <w:rFonts w:hint="eastAsia" w:ascii="仿宋_GB2312" w:hAnsi="仿宋_GB2312" w:eastAsia="仿宋_GB2312" w:cs="仿宋_GB2312"/>
          <w:color w:val="auto"/>
          <w:sz w:val="32"/>
          <w:szCs w:val="32"/>
          <w:shd w:val="clear" w:fill="FFFFFF"/>
          <w:lang w:val="en-US" w:eastAsia="zh-CN"/>
        </w:rPr>
        <w:t>市政府</w:t>
      </w:r>
      <w:r>
        <w:rPr>
          <w:rFonts w:hint="eastAsia" w:ascii="仿宋_GB2312" w:hAnsi="仿宋_GB2312" w:eastAsia="仿宋_GB2312" w:cs="仿宋_GB2312"/>
          <w:color w:val="auto"/>
          <w:sz w:val="32"/>
          <w:szCs w:val="32"/>
          <w:shd w:val="clear" w:fill="FFFFFF"/>
        </w:rPr>
        <w:t>、市政务公开办组织的政务公开培训，</w:t>
      </w:r>
      <w:r>
        <w:rPr>
          <w:rFonts w:hint="eastAsia" w:ascii="仿宋_GB2312" w:hAnsi="仿宋_GB2312" w:eastAsia="仿宋_GB2312" w:cs="仿宋_GB2312"/>
          <w:color w:val="auto"/>
          <w:sz w:val="32"/>
          <w:szCs w:val="32"/>
          <w:shd w:val="clear" w:fill="FFFFFF"/>
          <w:lang w:val="en-US" w:eastAsia="zh-CN"/>
        </w:rPr>
        <w:t>按时参加市教育体育局组织的集中办公会，</w:t>
      </w:r>
      <w:r>
        <w:rPr>
          <w:rFonts w:hint="eastAsia" w:ascii="仿宋_GB2312" w:hAnsi="仿宋_GB2312" w:eastAsia="仿宋_GB2312" w:cs="仿宋_GB2312"/>
          <w:color w:val="auto"/>
          <w:sz w:val="32"/>
          <w:szCs w:val="32"/>
          <w:shd w:val="clear" w:fill="FFFFFF"/>
        </w:rPr>
        <w:t>严格按</w:t>
      </w:r>
      <w:r>
        <w:rPr>
          <w:rFonts w:hint="eastAsia" w:ascii="仿宋_GB2312" w:hAnsi="仿宋_GB2312" w:eastAsia="仿宋_GB2312" w:cs="仿宋_GB2312"/>
          <w:color w:val="auto"/>
          <w:sz w:val="32"/>
          <w:szCs w:val="32"/>
          <w:shd w:val="clear" w:fill="FFFFFF"/>
          <w:lang w:val="en-US" w:eastAsia="zh-CN"/>
        </w:rPr>
        <w:t>照工作部署，及时反馈问题，努力做好整改和日常信息维护。做好教育领域基层政务公开的日常考察及问题反馈。</w:t>
      </w:r>
    </w:p>
    <w:p>
      <w:pPr>
        <w:pStyle w:val="5"/>
        <w:keepNext w:val="0"/>
        <w:keepLines w:val="0"/>
        <w:pageBreakBefore w:val="0"/>
        <w:widowControl w:val="0"/>
        <w:shd w:val="clear" w:color="auto"/>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auto"/>
          <w:sz w:val="32"/>
          <w:szCs w:val="32"/>
          <w:shd w:val="clear" w:fill="FFFFFF"/>
        </w:rPr>
      </w:pPr>
    </w:p>
    <w:p>
      <w:pPr>
        <w:pStyle w:val="5"/>
        <w:keepNext w:val="0"/>
        <w:keepLines w:val="0"/>
        <w:pageBreakBefore w:val="0"/>
        <w:widowControl w:val="0"/>
        <w:shd w:val="clear" w:color="auto"/>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黑体"/>
          <w:b w:val="0"/>
          <w:bCs w:val="0"/>
          <w:color w:val="auto"/>
          <w:sz w:val="32"/>
          <w:szCs w:val="32"/>
          <w:shd w:val="clear" w:fill="FFFFFF"/>
        </w:rPr>
        <w:t>二、主动公开政府信息情况</w:t>
      </w:r>
      <w:r>
        <w:rPr>
          <w:rFonts w:hint="eastAsia" w:ascii="仿宋_GB2312" w:hAnsi="仿宋_GB2312" w:eastAsia="仿宋_GB2312" w:cs="仿宋_GB2312"/>
          <w:color w:val="auto"/>
          <w:sz w:val="32"/>
          <w:szCs w:val="32"/>
          <w:shd w:val="clear" w:color="auto" w:fill="FFFFFF"/>
          <w:lang w:bidi="ar"/>
        </w:rPr>
        <w:t xml:space="preserve"> </w:t>
      </w:r>
    </w:p>
    <w:tbl>
      <w:tblPr>
        <w:tblStyle w:val="6"/>
        <w:tblW w:w="0" w:type="auto"/>
        <w:jc w:val="center"/>
        <w:shd w:val="clear" w:color="auto" w:fill="auto"/>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69"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noWrap w:val="0"/>
            <w:tcMar>
              <w:left w:w="57" w:type="dxa"/>
              <w:right w:w="57"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第二十条第（一）项</w:t>
            </w:r>
          </w:p>
        </w:tc>
      </w:tr>
      <w:tr>
        <w:tblPrEx>
          <w:shd w:val="clear" w:color="auto" w:fill="auto"/>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信息内容</w:t>
            </w:r>
          </w:p>
        </w:tc>
        <w:tc>
          <w:tcPr>
            <w:tcW w:w="243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本年制发件数</w:t>
            </w:r>
          </w:p>
        </w:tc>
        <w:tc>
          <w:tcPr>
            <w:tcW w:w="243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现行有效件数</w:t>
            </w:r>
          </w:p>
        </w:tc>
      </w:tr>
      <w:tr>
        <w:tblPrEx>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规章</w:t>
            </w:r>
          </w:p>
        </w:tc>
        <w:tc>
          <w:tcPr>
            <w:tcW w:w="243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0</w:t>
            </w:r>
          </w:p>
        </w:tc>
      </w:tr>
      <w:tr>
        <w:tblPrEx>
          <w:shd w:val="clear" w:color="auto" w:fill="auto"/>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行政规范性文件</w:t>
            </w:r>
          </w:p>
        </w:tc>
        <w:tc>
          <w:tcPr>
            <w:tcW w:w="243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bidi="ar"/>
              </w:rPr>
              <w:t>1</w:t>
            </w:r>
          </w:p>
        </w:tc>
        <w:tc>
          <w:tcPr>
            <w:tcW w:w="243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bidi="ar"/>
              </w:rPr>
              <w:t>3</w:t>
            </w:r>
          </w:p>
        </w:tc>
      </w:tr>
      <w:tr>
        <w:tblPrEx>
          <w:tblCellMar>
            <w:top w:w="0" w:type="dxa"/>
            <w:left w:w="0" w:type="dxa"/>
            <w:bottom w:w="0" w:type="dxa"/>
            <w:right w:w="0" w:type="dxa"/>
          </w:tblCellMar>
        </w:tblPrEx>
        <w:trPr>
          <w:trHeight w:val="369"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第二十条第（五）项</w:t>
            </w:r>
          </w:p>
        </w:tc>
      </w:tr>
      <w:tr>
        <w:tblPrEx>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信息内容</w:t>
            </w:r>
          </w:p>
        </w:tc>
        <w:tc>
          <w:tcPr>
            <w:tcW w:w="730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本年处理决定数量</w:t>
            </w:r>
          </w:p>
        </w:tc>
      </w:tr>
      <w:tr>
        <w:tblPrEx>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行政许可</w:t>
            </w:r>
          </w:p>
        </w:tc>
        <w:tc>
          <w:tcPr>
            <w:tcW w:w="730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226</w:t>
            </w:r>
          </w:p>
        </w:tc>
      </w:tr>
      <w:tr>
        <w:tblPrEx>
          <w:shd w:val="clear" w:color="auto" w:fill="auto"/>
          <w:tblCellMar>
            <w:top w:w="0" w:type="dxa"/>
            <w:left w:w="0" w:type="dxa"/>
            <w:bottom w:w="0" w:type="dxa"/>
            <w:right w:w="0" w:type="dxa"/>
          </w:tblCellMar>
        </w:tblPrEx>
        <w:trPr>
          <w:trHeight w:val="369"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第二十条第（六）项</w:t>
            </w:r>
          </w:p>
        </w:tc>
      </w:tr>
      <w:tr>
        <w:tblPrEx>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本年处理决定数量</w:t>
            </w:r>
          </w:p>
        </w:tc>
      </w:tr>
      <w:tr>
        <w:tblPrEx>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行政处罚</w:t>
            </w:r>
          </w:p>
        </w:tc>
        <w:tc>
          <w:tcPr>
            <w:tcW w:w="730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bidi="ar"/>
              </w:rPr>
              <w:t>1</w:t>
            </w:r>
          </w:p>
        </w:tc>
      </w:tr>
      <w:tr>
        <w:tblPrEx>
          <w:shd w:val="clear" w:color="auto" w:fill="auto"/>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行政强制</w:t>
            </w:r>
          </w:p>
        </w:tc>
        <w:tc>
          <w:tcPr>
            <w:tcW w:w="730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0</w:t>
            </w:r>
          </w:p>
        </w:tc>
      </w:tr>
      <w:tr>
        <w:tblPrEx>
          <w:tblCellMar>
            <w:top w:w="0" w:type="dxa"/>
            <w:left w:w="0" w:type="dxa"/>
            <w:bottom w:w="0" w:type="dxa"/>
            <w:right w:w="0" w:type="dxa"/>
          </w:tblCellMar>
        </w:tblPrEx>
        <w:trPr>
          <w:trHeight w:val="369"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第二十条第（八）项</w:t>
            </w:r>
          </w:p>
        </w:tc>
      </w:tr>
      <w:tr>
        <w:tblPrEx>
          <w:shd w:val="clear" w:color="auto" w:fill="auto"/>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信息内容</w:t>
            </w:r>
          </w:p>
        </w:tc>
        <w:tc>
          <w:tcPr>
            <w:tcW w:w="7305" w:type="dxa"/>
            <w:gridSpan w:val="3"/>
            <w:tcBorders>
              <w:top w:val="nil"/>
              <w:left w:val="nil"/>
              <w:bottom w:val="single" w:color="auto" w:sz="8" w:space="0"/>
              <w:right w:val="single" w:color="000000"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本年收费金额（单位：万元）</w:t>
            </w:r>
          </w:p>
        </w:tc>
      </w:tr>
      <w:tr>
        <w:tblPrEx>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行政事业性收费</w:t>
            </w:r>
          </w:p>
        </w:tc>
        <w:tc>
          <w:tcPr>
            <w:tcW w:w="7305" w:type="dxa"/>
            <w:gridSpan w:val="3"/>
            <w:tcBorders>
              <w:top w:val="nil"/>
              <w:left w:val="nil"/>
              <w:bottom w:val="single" w:color="auto" w:sz="8" w:space="0"/>
              <w:right w:val="single" w:color="000000" w:sz="8" w:space="0"/>
            </w:tcBorders>
            <w:shd w:val="clear" w:color="auto" w:fill="auto"/>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260</w:t>
            </w:r>
          </w:p>
        </w:tc>
      </w:tr>
    </w:tbl>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auto"/>
          <w:sz w:val="30"/>
          <w:szCs w:val="30"/>
          <w:shd w:val="clear" w:color="auto" w:fill="FFFFFF"/>
        </w:rPr>
      </w:pPr>
      <w:r>
        <w:rPr>
          <w:rFonts w:hint="eastAsia" w:ascii="黑体" w:hAnsi="黑体" w:eastAsia="黑体" w:cs="黑体"/>
          <w:b w:val="0"/>
          <w:bCs/>
          <w:color w:val="auto"/>
          <w:sz w:val="32"/>
          <w:szCs w:val="32"/>
          <w:shd w:val="clear" w:color="auto" w:fill="FFFFFF"/>
          <w:lang w:bidi="ar"/>
        </w:rPr>
        <w:t>三、收到和处理政府信息公开申请情况</w:t>
      </w:r>
      <w:r>
        <w:rPr>
          <w:rFonts w:hint="eastAsia" w:ascii="仿宋_GB2312" w:hAnsi="仿宋_GB2312" w:eastAsia="仿宋_GB2312" w:cs="仿宋_GB2312"/>
          <w:color w:val="auto"/>
          <w:sz w:val="30"/>
          <w:szCs w:val="30"/>
          <w:shd w:val="clear" w:color="auto" w:fill="FFFFFF"/>
          <w:lang w:bidi="ar"/>
        </w:rPr>
        <w:t xml:space="preserve"> </w:t>
      </w: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844"/>
        <w:gridCol w:w="3318"/>
        <w:gridCol w:w="688"/>
        <w:gridCol w:w="749"/>
        <w:gridCol w:w="750"/>
        <w:gridCol w:w="720"/>
        <w:gridCol w:w="810"/>
        <w:gridCol w:w="555"/>
        <w:gridCol w:w="5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（本列数据的勾稽关系为：第一项加第二项之和，等于第三项加第四项之和）</w:t>
            </w:r>
          </w:p>
        </w:tc>
        <w:tc>
          <w:tcPr>
            <w:tcW w:w="4816" w:type="dxa"/>
            <w:gridSpan w:val="7"/>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自然人</w:t>
            </w:r>
          </w:p>
        </w:tc>
        <w:tc>
          <w:tcPr>
            <w:tcW w:w="3584" w:type="dxa"/>
            <w:gridSpan w:val="5"/>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法人或其他组织</w:t>
            </w:r>
          </w:p>
        </w:tc>
        <w:tc>
          <w:tcPr>
            <w:tcW w:w="544" w:type="dxa"/>
            <w:vMerge w:val="restart"/>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p>
        </w:tc>
        <w:tc>
          <w:tcPr>
            <w:tcW w:w="749"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商业</w:t>
            </w:r>
          </w:p>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企业</w:t>
            </w:r>
          </w:p>
        </w:tc>
        <w:tc>
          <w:tcPr>
            <w:tcW w:w="750"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科研</w:t>
            </w:r>
          </w:p>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机构</w:t>
            </w:r>
          </w:p>
        </w:tc>
        <w:tc>
          <w:tcPr>
            <w:tcW w:w="720"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社会公益组织</w:t>
            </w:r>
          </w:p>
        </w:tc>
        <w:tc>
          <w:tcPr>
            <w:tcW w:w="810"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法律服务机构</w:t>
            </w:r>
          </w:p>
        </w:tc>
        <w:tc>
          <w:tcPr>
            <w:tcW w:w="555"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其他</w:t>
            </w:r>
          </w:p>
        </w:tc>
        <w:tc>
          <w:tcPr>
            <w:tcW w:w="544" w:type="dxa"/>
            <w:vMerge w:val="continue"/>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7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7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8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55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三、本年度办理结果</w:t>
            </w:r>
          </w:p>
        </w:tc>
        <w:tc>
          <w:tcPr>
            <w:tcW w:w="4162"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（一）予以公开</w:t>
            </w:r>
          </w:p>
        </w:tc>
        <w:tc>
          <w:tcPr>
            <w:tcW w:w="688" w:type="dxa"/>
            <w:tcBorders>
              <w:top w:val="single" w:color="auto" w:sz="0" w:space="0"/>
              <w:left w:val="doub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thinThickLargeGap"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4162"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（二）部分公开（区分处理的，只计这一情形，不计其他情形）</w:t>
            </w:r>
          </w:p>
        </w:tc>
        <w:tc>
          <w:tcPr>
            <w:tcW w:w="688" w:type="dxa"/>
            <w:tcBorders>
              <w:top w:val="single" w:color="auto" w:sz="0" w:space="0"/>
              <w:left w:val="doub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thinThickLargeGap"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（三）不予</w:t>
            </w:r>
          </w:p>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公开</w:t>
            </w: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1.属于国家秘密</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2.其他法律行政法规禁止公开</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3.危及“三安全一稳定”</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4.保护第三方合法权益</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5.属于三类内部事务信息</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6.属于四类过程性信息</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7.属于行政执法案卷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8.属于行政查询事项</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（四）无法</w:t>
            </w:r>
          </w:p>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提供</w:t>
            </w: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1.本机关不掌握相关政府信息</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2.没有现成信息需要另行制作</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3.补正后申请内容仍不明确</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（五）不予</w:t>
            </w:r>
          </w:p>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处理</w:t>
            </w: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1.信访举报投诉类申请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2.重复申请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3.要求提供公开出版物</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4.无正当理由大量反复申请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hd w:val="clea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（六）其他</w:t>
            </w:r>
          </w:p>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处理</w:t>
            </w: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hd w:val="clea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1.申请人无正当理由逾期不补正、行政机关不再处理其政府信息公开申请</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hd w:val="clea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2.申请人逾期未按收费通知要求缴纳费用、行政机关不再处理其政府信息公开申请</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844"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331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3.其他</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shd w:val="clear"/>
              <w:rPr>
                <w:rFonts w:hint="eastAsia" w:ascii="宋体" w:hAnsi="宋体" w:eastAsia="宋体" w:cs="宋体"/>
                <w:color w:val="auto"/>
                <w:sz w:val="24"/>
                <w:szCs w:val="24"/>
              </w:rPr>
            </w:pPr>
          </w:p>
        </w:tc>
        <w:tc>
          <w:tcPr>
            <w:tcW w:w="4162"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（七）总计</w:t>
            </w:r>
          </w:p>
        </w:tc>
        <w:tc>
          <w:tcPr>
            <w:tcW w:w="688" w:type="dxa"/>
            <w:tcBorders>
              <w:top w:val="nil"/>
              <w:left w:val="doub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thinThickLargeGap"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single" w:color="auto" w:sz="0" w:space="0"/>
              <w:left w:val="single" w:color="auto" w:sz="0" w:space="0"/>
              <w:bottom w:val="thickThinMediumGap" w:color="auto" w:sz="8" w:space="0"/>
              <w:right w:val="doub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double" w:color="auto" w:sz="0"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shd w:val="clear"/>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7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81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5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0</w:t>
            </w:r>
          </w:p>
        </w:tc>
      </w:tr>
    </w:tbl>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0"/>
          <w:szCs w:val="30"/>
          <w:shd w:val="clear" w:color="auto" w:fill="FFFFFF"/>
        </w:rPr>
      </w:pPr>
      <w:r>
        <w:rPr>
          <w:rFonts w:hint="eastAsia" w:ascii="黑体" w:hAnsi="黑体" w:eastAsia="黑体" w:cs="黑体"/>
          <w:b w:val="0"/>
          <w:bCs/>
          <w:color w:val="auto"/>
          <w:sz w:val="32"/>
          <w:szCs w:val="32"/>
          <w:shd w:val="clear" w:color="auto" w:fill="FFFFFF"/>
          <w:lang w:bidi="ar"/>
        </w:rPr>
        <w:t>四、政府信息公开行政复议、行政诉讼情况</w:t>
      </w:r>
      <w:r>
        <w:rPr>
          <w:rFonts w:hint="eastAsia" w:ascii="仿宋_GB2312" w:hAnsi="仿宋_GB2312" w:eastAsia="仿宋_GB2312" w:cs="仿宋_GB2312"/>
          <w:color w:val="auto"/>
          <w:sz w:val="30"/>
          <w:szCs w:val="30"/>
          <w:shd w:val="clear" w:color="auto" w:fill="FFFFFF"/>
          <w:lang w:bidi="ar"/>
        </w:rPr>
        <w:t xml:space="preserve"> </w:t>
      </w:r>
    </w:p>
    <w:tbl>
      <w:tblPr>
        <w:tblStyle w:val="6"/>
        <w:tblW w:w="95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8"/>
        <w:gridCol w:w="638"/>
        <w:gridCol w:w="638"/>
        <w:gridCol w:w="638"/>
        <w:gridCol w:w="645"/>
        <w:gridCol w:w="638"/>
        <w:gridCol w:w="638"/>
        <w:gridCol w:w="639"/>
        <w:gridCol w:w="639"/>
        <w:gridCol w:w="645"/>
        <w:gridCol w:w="639"/>
        <w:gridCol w:w="639"/>
        <w:gridCol w:w="639"/>
        <w:gridCol w:w="639"/>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atLeast"/>
          <w:jc w:val="center"/>
        </w:trPr>
        <w:tc>
          <w:tcPr>
            <w:tcW w:w="319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行政复议</w:t>
            </w:r>
          </w:p>
        </w:tc>
        <w:tc>
          <w:tcPr>
            <w:tcW w:w="6402"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jc w:val="center"/>
        </w:trPr>
        <w:tc>
          <w:tcPr>
            <w:tcW w:w="63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结果维持</w:t>
            </w:r>
          </w:p>
        </w:tc>
        <w:tc>
          <w:tcPr>
            <w:tcW w:w="63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结果</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纠正</w:t>
            </w:r>
          </w:p>
        </w:tc>
        <w:tc>
          <w:tcPr>
            <w:tcW w:w="63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其他</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结果</w:t>
            </w:r>
          </w:p>
        </w:tc>
        <w:tc>
          <w:tcPr>
            <w:tcW w:w="63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尚未</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审结</w:t>
            </w:r>
          </w:p>
        </w:tc>
        <w:tc>
          <w:tcPr>
            <w:tcW w:w="64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总计</w:t>
            </w:r>
          </w:p>
        </w:tc>
        <w:tc>
          <w:tcPr>
            <w:tcW w:w="319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未经复议直接起诉</w:t>
            </w:r>
          </w:p>
        </w:tc>
        <w:tc>
          <w:tcPr>
            <w:tcW w:w="32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0" w:hRule="atLeast"/>
          <w:jc w:val="center"/>
        </w:trPr>
        <w:tc>
          <w:tcPr>
            <w:tcW w:w="63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38" w:type="dxa"/>
            <w:vMerge w:val="continue"/>
            <w:tcBorders>
              <w:top w:val="nil"/>
              <w:left w:val="nil"/>
              <w:bottom w:val="single"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3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3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4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hd w:val="clear"/>
              <w:rPr>
                <w:rFonts w:hint="eastAsia" w:ascii="宋体" w:hAnsi="宋体" w:eastAsia="宋体" w:cs="宋体"/>
                <w:color w:val="auto"/>
                <w:sz w:val="24"/>
                <w:szCs w:val="24"/>
              </w:rPr>
            </w:pP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结果</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维持</w:t>
            </w: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结果</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纠正</w:t>
            </w:r>
          </w:p>
        </w:tc>
        <w:tc>
          <w:tcPr>
            <w:tcW w:w="6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其他</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结果</w:t>
            </w:r>
          </w:p>
        </w:tc>
        <w:tc>
          <w:tcPr>
            <w:tcW w:w="6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尚未</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审结</w:t>
            </w:r>
          </w:p>
        </w:tc>
        <w:tc>
          <w:tcPr>
            <w:tcW w:w="64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总计</w:t>
            </w:r>
          </w:p>
        </w:tc>
        <w:tc>
          <w:tcPr>
            <w:tcW w:w="6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结果</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维持</w:t>
            </w:r>
          </w:p>
        </w:tc>
        <w:tc>
          <w:tcPr>
            <w:tcW w:w="6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结果</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纠正</w:t>
            </w:r>
          </w:p>
        </w:tc>
        <w:tc>
          <w:tcPr>
            <w:tcW w:w="6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其他</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结果</w:t>
            </w:r>
          </w:p>
        </w:tc>
        <w:tc>
          <w:tcPr>
            <w:tcW w:w="6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尚未</w:t>
            </w:r>
          </w:p>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审结</w:t>
            </w:r>
          </w:p>
        </w:tc>
        <w:tc>
          <w:tcPr>
            <w:tcW w:w="64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63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45"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638"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639"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39"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45"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39"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39"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c>
          <w:tcPr>
            <w:tcW w:w="639"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39" w:type="dxa"/>
            <w:tcBorders>
              <w:top w:val="nil"/>
              <w:left w:val="nil"/>
              <w:bottom w:val="single" w:color="auto" w:sz="8" w:space="0"/>
              <w:right w:val="single" w:color="auto" w:sz="8" w:space="0"/>
            </w:tcBorders>
            <w:noWrap w:val="0"/>
            <w:tcMar>
              <w:left w:w="108" w:type="dxa"/>
              <w:right w:w="108" w:type="dxa"/>
            </w:tcMar>
            <w:vAlign w:val="center"/>
          </w:tcPr>
          <w:p>
            <w:pPr>
              <w:widowControl/>
              <w:shd w:val="clea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w:t>
            </w:r>
          </w:p>
        </w:tc>
        <w:tc>
          <w:tcPr>
            <w:tcW w:w="647" w:type="dxa"/>
            <w:tcBorders>
              <w:top w:val="nil"/>
              <w:left w:val="nil"/>
              <w:bottom w:val="single" w:color="auto" w:sz="8" w:space="0"/>
              <w:right w:val="single" w:color="auto" w:sz="8" w:space="0"/>
            </w:tcBorders>
            <w:noWrap w:val="0"/>
            <w:tcMar>
              <w:left w:w="108" w:type="dxa"/>
              <w:right w:w="108" w:type="dxa"/>
            </w:tcMar>
            <w:vAlign w:val="center"/>
          </w:tcPr>
          <w:p>
            <w:pPr>
              <w:shd w:val="clea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r>
    </w:tbl>
    <w:p>
      <w:pPr>
        <w:pStyle w:val="5"/>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color w:val="auto"/>
          <w:sz w:val="32"/>
          <w:szCs w:val="32"/>
          <w:shd w:val="clear" w:color="auto" w:fill="FFFFFF"/>
          <w:lang w:eastAsia="zh-CN" w:bidi="ar"/>
        </w:rPr>
      </w:pPr>
      <w:r>
        <w:rPr>
          <w:rFonts w:hint="eastAsia" w:ascii="黑体" w:hAnsi="黑体" w:eastAsia="黑体" w:cs="黑体"/>
          <w:b w:val="0"/>
          <w:bCs/>
          <w:color w:val="auto"/>
          <w:sz w:val="32"/>
          <w:szCs w:val="32"/>
          <w:shd w:val="clear" w:color="auto" w:fill="FFFFFF"/>
          <w:lang w:eastAsia="zh-CN" w:bidi="ar"/>
        </w:rPr>
        <w:t>五、政府信息公开工作存在的主要问题及改进情况</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楷体_GB2312" w:hAnsi="楷体_GB2312" w:eastAsia="楷体_GB2312" w:cs="楷体_GB2312"/>
          <w:b/>
          <w:bCs/>
          <w:color w:val="auto"/>
          <w:sz w:val="32"/>
          <w:szCs w:val="32"/>
          <w:shd w:val="clear" w:color="auto" w:fill="FFFFFF"/>
          <w:lang w:eastAsia="zh-CN" w:bidi="ar"/>
        </w:rPr>
      </w:pPr>
      <w:r>
        <w:rPr>
          <w:rFonts w:hint="eastAsia" w:ascii="楷体_GB2312" w:hAnsi="楷体_GB2312" w:eastAsia="楷体_GB2312" w:cs="楷体_GB2312"/>
          <w:b/>
          <w:bCs/>
          <w:color w:val="auto"/>
          <w:sz w:val="32"/>
          <w:szCs w:val="32"/>
          <w:shd w:val="clear" w:color="auto" w:fill="FFFFFF"/>
          <w:lang w:eastAsia="zh-CN" w:bidi="ar"/>
        </w:rPr>
        <w:t>（一）存在的主要问题</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一是</w:t>
      </w:r>
      <w:r>
        <w:rPr>
          <w:rFonts w:hint="eastAsia" w:ascii="仿宋_GB2312" w:hAnsi="仿宋_GB2312" w:eastAsia="仿宋_GB2312" w:cs="仿宋_GB2312"/>
          <w:color w:val="auto"/>
          <w:sz w:val="32"/>
          <w:szCs w:val="32"/>
          <w:shd w:val="clear" w:color="auto" w:fill="FFFFFF"/>
          <w:lang w:bidi="ar"/>
        </w:rPr>
        <w:t>局机关相关股室对政府信息公开工作缺乏主动性，导致信息不能及时公开。</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二是</w:t>
      </w:r>
      <w:r>
        <w:rPr>
          <w:rFonts w:hint="eastAsia" w:ascii="仿宋_GB2312" w:hAnsi="仿宋_GB2312" w:eastAsia="仿宋_GB2312" w:cs="仿宋_GB2312"/>
          <w:color w:val="auto"/>
          <w:sz w:val="32"/>
          <w:szCs w:val="32"/>
          <w:shd w:val="clear" w:color="auto" w:fill="FFFFFF"/>
          <w:lang w:bidi="ar"/>
        </w:rPr>
        <w:t>政策性文件解读力度仍需加强。</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楷体_GB2312" w:hAnsi="楷体_GB2312" w:eastAsia="楷体_GB2312" w:cs="楷体_GB2312"/>
          <w:b/>
          <w:bCs/>
          <w:color w:val="auto"/>
          <w:sz w:val="32"/>
          <w:szCs w:val="32"/>
          <w:shd w:val="clear" w:color="auto" w:fill="FFFFFF"/>
          <w:lang w:bidi="ar"/>
        </w:rPr>
      </w:pPr>
      <w:r>
        <w:rPr>
          <w:rFonts w:hint="eastAsia" w:ascii="楷体_GB2312" w:hAnsi="楷体_GB2312" w:eastAsia="楷体_GB2312" w:cs="楷体_GB2312"/>
          <w:b/>
          <w:bCs/>
          <w:color w:val="auto"/>
          <w:sz w:val="32"/>
          <w:szCs w:val="32"/>
          <w:shd w:val="clear" w:color="auto" w:fill="FFFFFF"/>
          <w:lang w:eastAsia="zh-CN" w:bidi="ar"/>
        </w:rPr>
        <w:t>（二）</w:t>
      </w:r>
      <w:r>
        <w:rPr>
          <w:rFonts w:hint="eastAsia" w:ascii="楷体_GB2312" w:hAnsi="楷体_GB2312" w:eastAsia="楷体_GB2312" w:cs="楷体_GB2312"/>
          <w:b/>
          <w:bCs/>
          <w:color w:val="auto"/>
          <w:sz w:val="32"/>
          <w:szCs w:val="32"/>
          <w:shd w:val="clear" w:color="auto" w:fill="FFFFFF"/>
          <w:lang w:bidi="ar"/>
        </w:rPr>
        <w:t>下一步，我局将采取以下改进措施</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一是</w:t>
      </w:r>
      <w:r>
        <w:rPr>
          <w:rFonts w:hint="eastAsia" w:ascii="仿宋_GB2312" w:hAnsi="仿宋_GB2312" w:eastAsia="仿宋_GB2312" w:cs="仿宋_GB2312"/>
          <w:color w:val="auto"/>
          <w:sz w:val="32"/>
          <w:szCs w:val="32"/>
          <w:shd w:val="clear" w:color="auto" w:fill="FFFFFF"/>
          <w:lang w:bidi="ar"/>
        </w:rPr>
        <w:t>加大相关人员的培训教育力度，进一步完善信息公开制度，逐步提高工作人员的信息公开责任意识和服务意识，确保政府信息公开工作及时、准确。</w:t>
      </w:r>
      <w:r>
        <w:rPr>
          <w:rFonts w:hint="eastAsia" w:ascii="仿宋_GB2312" w:hAnsi="仿宋_GB2312" w:eastAsia="仿宋_GB2312" w:cs="仿宋_GB2312"/>
          <w:b/>
          <w:bCs/>
          <w:color w:val="auto"/>
          <w:sz w:val="32"/>
          <w:szCs w:val="32"/>
          <w:shd w:val="clear" w:color="auto" w:fill="FFFFFF"/>
          <w:lang w:bidi="ar"/>
        </w:rPr>
        <w:t>二是</w:t>
      </w:r>
      <w:r>
        <w:rPr>
          <w:rFonts w:hint="eastAsia" w:ascii="仿宋_GB2312" w:hAnsi="仿宋_GB2312" w:eastAsia="仿宋_GB2312" w:cs="仿宋_GB2312"/>
          <w:color w:val="auto"/>
          <w:sz w:val="32"/>
          <w:szCs w:val="32"/>
          <w:shd w:val="clear" w:color="auto" w:fill="FFFFFF"/>
          <w:lang w:bidi="ar"/>
        </w:rPr>
        <w:t>政策性文件解读丰富形式。本年度</w:t>
      </w:r>
      <w:r>
        <w:rPr>
          <w:rFonts w:hint="eastAsia" w:ascii="仿宋_GB2312" w:hAnsi="仿宋_GB2312" w:eastAsia="仿宋_GB2312" w:cs="仿宋_GB2312"/>
          <w:color w:val="auto"/>
          <w:sz w:val="32"/>
          <w:szCs w:val="32"/>
          <w:shd w:val="clear" w:color="auto" w:fill="FFFFFF"/>
          <w:lang w:val="en-US" w:eastAsia="zh-CN" w:bidi="ar"/>
        </w:rPr>
        <w:t>县</w:t>
      </w:r>
      <w:r>
        <w:rPr>
          <w:rFonts w:hint="eastAsia" w:ascii="仿宋_GB2312" w:hAnsi="仿宋_GB2312" w:eastAsia="仿宋_GB2312" w:cs="仿宋_GB2312"/>
          <w:color w:val="auto"/>
          <w:sz w:val="32"/>
          <w:szCs w:val="32"/>
          <w:shd w:val="clear" w:color="auto" w:fill="FFFFFF"/>
          <w:lang w:bidi="ar"/>
        </w:rPr>
        <w:t>教育局加大了政策解读力度，采用视频形式对《霍邱县人民政府办公室关于印发霍邱县“十四五”教育事业发展规划解读》进行解读，丰富政策性文件解读内涵形式。</w:t>
      </w: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lang w:bidi="ar"/>
        </w:rPr>
        <w:t>六、其他需要报告的事项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按照《国务院办公厅关于印发&lt;政府信息公开信息处理费管理办法&gt;的通知》（国办函〔2020〕109号）规定的按件、按量收费标准，本年度没有产生信息公开处理费。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firstLine="5120" w:firstLineChars="16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霍邱县教育局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firstLine="4800" w:firstLineChars="15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2023年1月28日</w:t>
      </w:r>
    </w:p>
    <w:sectPr>
      <w:footerReference r:id="rId3" w:type="default"/>
      <w:pgSz w:w="11906" w:h="16838"/>
      <w:pgMar w:top="2211" w:right="1531" w:bottom="187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Dg5MjgzNzdiYTA1OWU3MGY1YjdhZWFlYzE3MWUifQ=="/>
  </w:docVars>
  <w:rsids>
    <w:rsidRoot w:val="4300023B"/>
    <w:rsid w:val="005A4D7E"/>
    <w:rsid w:val="035322D4"/>
    <w:rsid w:val="03B70ABE"/>
    <w:rsid w:val="07C16B97"/>
    <w:rsid w:val="0E2D36D6"/>
    <w:rsid w:val="11A906F6"/>
    <w:rsid w:val="1A507E6E"/>
    <w:rsid w:val="1A5474B0"/>
    <w:rsid w:val="1D1474B7"/>
    <w:rsid w:val="1E696B3C"/>
    <w:rsid w:val="2035147F"/>
    <w:rsid w:val="254F292E"/>
    <w:rsid w:val="271E0F90"/>
    <w:rsid w:val="27562303"/>
    <w:rsid w:val="304D67C4"/>
    <w:rsid w:val="36217E03"/>
    <w:rsid w:val="3DEF0986"/>
    <w:rsid w:val="3F1A61CE"/>
    <w:rsid w:val="4300023B"/>
    <w:rsid w:val="464B019C"/>
    <w:rsid w:val="48224491"/>
    <w:rsid w:val="4FBC4598"/>
    <w:rsid w:val="5A785141"/>
    <w:rsid w:val="5D2C38ED"/>
    <w:rsid w:val="5E491089"/>
    <w:rsid w:val="7097356C"/>
    <w:rsid w:val="70AF2C70"/>
    <w:rsid w:val="7BE6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333333"/>
      <w:u w:val="single"/>
    </w:rPr>
  </w:style>
  <w:style w:type="character" w:styleId="10">
    <w:name w:val="HTML Definition"/>
    <w:basedOn w:val="7"/>
    <w:qFormat/>
    <w:uiPriority w:val="0"/>
    <w:rPr>
      <w:i/>
      <w:iCs/>
    </w:rPr>
  </w:style>
  <w:style w:type="character" w:styleId="11">
    <w:name w:val="HTML Acronym"/>
    <w:basedOn w:val="7"/>
    <w:qFormat/>
    <w:uiPriority w:val="0"/>
  </w:style>
  <w:style w:type="character" w:styleId="12">
    <w:name w:val="Hyperlink"/>
    <w:basedOn w:val="7"/>
    <w:qFormat/>
    <w:uiPriority w:val="0"/>
    <w:rPr>
      <w:color w:val="333333"/>
      <w:u w:val="single"/>
    </w:rPr>
  </w:style>
  <w:style w:type="character" w:styleId="13">
    <w:name w:val="HTML Code"/>
    <w:basedOn w:val="7"/>
    <w:qFormat/>
    <w:uiPriority w:val="0"/>
    <w:rPr>
      <w:rFonts w:ascii="monospace" w:hAnsi="monospace" w:eastAsia="monospace" w:cs="monospace"/>
      <w:sz w:val="21"/>
      <w:szCs w:val="21"/>
    </w:rPr>
  </w:style>
  <w:style w:type="character" w:styleId="14">
    <w:name w:val="HTML Keyboard"/>
    <w:basedOn w:val="7"/>
    <w:qFormat/>
    <w:uiPriority w:val="0"/>
    <w:rPr>
      <w:rFonts w:hint="default" w:ascii="monospace" w:hAnsi="monospace" w:eastAsia="monospace" w:cs="monospace"/>
      <w:sz w:val="21"/>
      <w:szCs w:val="21"/>
    </w:rPr>
  </w:style>
  <w:style w:type="character" w:styleId="15">
    <w:name w:val="HTML Sample"/>
    <w:basedOn w:val="7"/>
    <w:qFormat/>
    <w:uiPriority w:val="0"/>
    <w:rPr>
      <w:rFonts w:hint="default" w:ascii="monospace" w:hAnsi="monospace" w:eastAsia="monospace" w:cs="monospace"/>
      <w:sz w:val="21"/>
      <w:szCs w:val="21"/>
    </w:rPr>
  </w:style>
  <w:style w:type="paragraph" w:customStyle="1" w:styleId="16">
    <w:name w:val="BodyText1I2"/>
    <w:qFormat/>
    <w:uiPriority w:val="0"/>
    <w:pPr>
      <w:widowControl w:val="0"/>
      <w:spacing w:line="360" w:lineRule="auto"/>
      <w:ind w:firstLine="420" w:firstLineChars="20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2661</Words>
  <Characters>2802</Characters>
  <Lines>0</Lines>
  <Paragraphs>0</Paragraphs>
  <TotalTime>24</TotalTime>
  <ScaleCrop>false</ScaleCrop>
  <LinksUpToDate>false</LinksUpToDate>
  <CharactersWithSpaces>2812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2021-12-31T07:20:00Z</dcterms:created>
  <dc:creator>Administrator</dc:creator>
  <cp:lastModifiedBy>Administrator</cp:lastModifiedBy>
  <dcterms:modified xsi:type="dcterms:W3CDTF">2023-01-28T02:36:44Z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5F4FDFB10AF245F0AB91528121B77033</vt:lpwstr>
  </property>
</Properties>
</file>