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shd w:val="clear"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shd w:val="clear"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shd w:val="clear"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shd w:val="clear"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shd w:val="clear"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shd w:val="clear" w:fill="FFFFFF"/>
          <w:lang w:val="en-US" w:eastAsia="zh-CN"/>
        </w:rPr>
      </w:pPr>
      <w:r>
        <w:rPr>
          <w:rFonts w:hint="eastAsia" w:ascii="方正小标宋简体" w:hAnsi="方正小标宋简体" w:eastAsia="方正小标宋简体" w:cs="方正小标宋简体"/>
          <w:b w:val="0"/>
          <w:bCs w:val="0"/>
          <w:i w:val="0"/>
          <w:iCs w:val="0"/>
          <w:caps w:val="0"/>
          <w:color w:val="auto"/>
          <w:spacing w:val="0"/>
          <w:sz w:val="44"/>
          <w:szCs w:val="44"/>
          <w:shd w:val="clear" w:fill="FFFFFF"/>
          <w:lang w:val="en-US" w:eastAsia="zh-CN"/>
        </w:rPr>
        <w:t>霍邱县科学技术局2022年政府信息公开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rPr>
      </w:pPr>
      <w:r>
        <w:rPr>
          <w:rFonts w:hint="eastAsia" w:ascii="方正小标宋简体" w:hAnsi="方正小标宋简体" w:eastAsia="方正小标宋简体" w:cs="方正小标宋简体"/>
          <w:b w:val="0"/>
          <w:bCs w:val="0"/>
          <w:i w:val="0"/>
          <w:iCs w:val="0"/>
          <w:caps w:val="0"/>
          <w:color w:val="auto"/>
          <w:spacing w:val="0"/>
          <w:sz w:val="44"/>
          <w:szCs w:val="44"/>
          <w:shd w:val="clear" w:fill="FFFFFF"/>
          <w:lang w:val="en-US" w:eastAsia="zh-CN"/>
        </w:rPr>
        <w:t>工作年度报告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i w:val="0"/>
          <w:iCs w:val="0"/>
          <w:caps w:val="0"/>
          <w:color w:val="auto"/>
          <w:spacing w:val="0"/>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根据《国务院办公厅政府信息与政务公开办公室关于印发&lt;中华人民共和国政府信息公开工作年度报告格式&gt;的通知》(国办公开办函〔2021〕30号)、《安徽省政务公开办公室关于做好2022年度政府信息公开工作年度报告编制和发布工作的通知》、《六安市政务公开办公室关于做好政府信息公开年度报告编制和发布工作的通知》(六政务公开办〔2022]53号）文件要求,霍邱县</w:t>
      </w:r>
      <w:r>
        <w:rPr>
          <w:rFonts w:hint="eastAsia" w:ascii="仿宋_GB2312" w:hAnsi="仿宋_GB2312" w:eastAsia="仿宋_GB2312" w:cs="仿宋_GB2312"/>
          <w:i w:val="0"/>
          <w:iCs w:val="0"/>
          <w:caps w:val="0"/>
          <w:color w:val="auto"/>
          <w:spacing w:val="0"/>
          <w:sz w:val="32"/>
          <w:szCs w:val="32"/>
          <w:lang w:val="en-US" w:eastAsia="zh-CN"/>
        </w:rPr>
        <w:t>科学技术局</w:t>
      </w:r>
      <w:r>
        <w:rPr>
          <w:rFonts w:hint="eastAsia" w:ascii="仿宋_GB2312" w:hAnsi="仿宋_GB2312" w:eastAsia="仿宋_GB2312" w:cs="仿宋_GB2312"/>
          <w:i w:val="0"/>
          <w:iCs w:val="0"/>
          <w:caps w:val="0"/>
          <w:color w:val="auto"/>
          <w:spacing w:val="0"/>
          <w:sz w:val="32"/>
          <w:szCs w:val="32"/>
        </w:rPr>
        <w:t>编制2022年政府信息公开年度报告。报告全文包括总体情况、主动公开政府信息情况、收到和处理政府信息公开申请情况、政府信息公开行政复议、行政诉讼情况、存在的主要问题及改进措施和其他需要报告事项等6方面内容。本年度报告中所列数据统计期限为2022年1月1日起至2022年12月31日。如对本报告有疑问，请与霍邱县</w:t>
      </w:r>
      <w:r>
        <w:rPr>
          <w:rFonts w:hint="eastAsia" w:ascii="仿宋_GB2312" w:hAnsi="仿宋_GB2312" w:eastAsia="仿宋_GB2312" w:cs="仿宋_GB2312"/>
          <w:i w:val="0"/>
          <w:iCs w:val="0"/>
          <w:caps w:val="0"/>
          <w:color w:val="auto"/>
          <w:spacing w:val="0"/>
          <w:sz w:val="32"/>
          <w:szCs w:val="32"/>
          <w:lang w:val="en-US" w:eastAsia="zh-CN"/>
        </w:rPr>
        <w:t>科学技术局</w:t>
      </w:r>
      <w:r>
        <w:rPr>
          <w:rFonts w:hint="eastAsia" w:ascii="仿宋_GB2312" w:hAnsi="仿宋_GB2312" w:eastAsia="仿宋_GB2312" w:cs="仿宋_GB2312"/>
          <w:i w:val="0"/>
          <w:iCs w:val="0"/>
          <w:caps w:val="0"/>
          <w:color w:val="auto"/>
          <w:spacing w:val="0"/>
          <w:sz w:val="32"/>
          <w:szCs w:val="32"/>
        </w:rPr>
        <w:t>联系(地址:霍邱县</w:t>
      </w:r>
      <w:r>
        <w:rPr>
          <w:rFonts w:hint="eastAsia" w:ascii="仿宋_GB2312" w:hAnsi="仿宋_GB2312" w:eastAsia="仿宋_GB2312" w:cs="仿宋_GB2312"/>
          <w:i w:val="0"/>
          <w:iCs w:val="0"/>
          <w:caps w:val="0"/>
          <w:color w:val="auto"/>
          <w:spacing w:val="0"/>
          <w:sz w:val="32"/>
          <w:szCs w:val="32"/>
          <w:lang w:val="en-US" w:eastAsia="zh-CN"/>
        </w:rPr>
        <w:t>政务中心A区12层</w:t>
      </w:r>
      <w:r>
        <w:rPr>
          <w:rFonts w:hint="eastAsia" w:ascii="仿宋_GB2312" w:hAnsi="仿宋_GB2312" w:eastAsia="仿宋_GB2312" w:cs="仿宋_GB2312"/>
          <w:i w:val="0"/>
          <w:iCs w:val="0"/>
          <w:caps w:val="0"/>
          <w:color w:val="auto"/>
          <w:spacing w:val="0"/>
          <w:sz w:val="32"/>
          <w:szCs w:val="32"/>
        </w:rPr>
        <w:t>;邮编:237400;电话</w:t>
      </w:r>
      <w:r>
        <w:rPr>
          <w:rFonts w:hint="eastAsia" w:ascii="仿宋_GB2312" w:hAnsi="仿宋_GB2312" w:eastAsia="仿宋_GB2312" w:cs="仿宋_GB2312"/>
          <w:i w:val="0"/>
          <w:iCs w:val="0"/>
          <w:caps w:val="0"/>
          <w:color w:val="auto"/>
          <w:spacing w:val="0"/>
          <w:sz w:val="32"/>
          <w:szCs w:val="32"/>
          <w:lang w:eastAsia="zh-CN"/>
        </w:rPr>
        <w:t>（</w:t>
      </w:r>
      <w:r>
        <w:rPr>
          <w:rFonts w:hint="eastAsia" w:ascii="仿宋_GB2312" w:hAnsi="仿宋_GB2312" w:eastAsia="仿宋_GB2312" w:cs="仿宋_GB2312"/>
          <w:i w:val="0"/>
          <w:iCs w:val="0"/>
          <w:caps w:val="0"/>
          <w:color w:val="auto"/>
          <w:spacing w:val="0"/>
          <w:sz w:val="32"/>
          <w:szCs w:val="32"/>
          <w:lang w:val="en-US" w:eastAsia="zh-CN"/>
        </w:rPr>
        <w:t>传真</w:t>
      </w:r>
      <w:r>
        <w:rPr>
          <w:rFonts w:hint="eastAsia" w:ascii="仿宋_GB2312" w:hAnsi="仿宋_GB2312" w:eastAsia="仿宋_GB2312" w:cs="仿宋_GB2312"/>
          <w:i w:val="0"/>
          <w:iCs w:val="0"/>
          <w:caps w:val="0"/>
          <w:color w:val="auto"/>
          <w:spacing w:val="0"/>
          <w:sz w:val="32"/>
          <w:szCs w:val="32"/>
          <w:lang w:eastAsia="zh-CN"/>
        </w:rPr>
        <w:t>）</w:t>
      </w:r>
      <w:r>
        <w:rPr>
          <w:rFonts w:hint="eastAsia" w:ascii="仿宋_GB2312" w:hAnsi="仿宋_GB2312" w:eastAsia="仿宋_GB2312" w:cs="仿宋_GB2312"/>
          <w:i w:val="0"/>
          <w:iCs w:val="0"/>
          <w:caps w:val="0"/>
          <w:color w:val="auto"/>
          <w:spacing w:val="0"/>
          <w:sz w:val="32"/>
          <w:szCs w:val="32"/>
        </w:rPr>
        <w:t>:0564-</w:t>
      </w:r>
      <w:r>
        <w:rPr>
          <w:rFonts w:hint="eastAsia" w:ascii="仿宋_GB2312" w:hAnsi="仿宋_GB2312" w:eastAsia="仿宋_GB2312" w:cs="仿宋_GB2312"/>
          <w:i w:val="0"/>
          <w:iCs w:val="0"/>
          <w:caps w:val="0"/>
          <w:color w:val="auto"/>
          <w:spacing w:val="0"/>
          <w:sz w:val="32"/>
          <w:szCs w:val="32"/>
          <w:lang w:val="en-US" w:eastAsia="zh-CN"/>
        </w:rPr>
        <w:t>2772760</w:t>
      </w:r>
      <w:r>
        <w:rPr>
          <w:rFonts w:hint="eastAsia" w:ascii="仿宋_GB2312" w:hAnsi="仿宋_GB2312" w:eastAsia="仿宋_GB2312" w:cs="仿宋_GB2312"/>
          <w:i w:val="0"/>
          <w:iCs w:val="0"/>
          <w:caps w:val="0"/>
          <w:color w:val="auto"/>
          <w:spacing w:val="0"/>
          <w:sz w:val="32"/>
          <w:szCs w:val="32"/>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b w:val="0"/>
          <w:bCs w:val="0"/>
          <w:i w:val="0"/>
          <w:iCs w:val="0"/>
          <w:caps w:val="0"/>
          <w:color w:val="auto"/>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b w:val="0"/>
          <w:bCs w:val="0"/>
          <w:i w:val="0"/>
          <w:iCs w:val="0"/>
          <w:caps w:val="0"/>
          <w:color w:val="auto"/>
          <w:spacing w:val="0"/>
          <w:sz w:val="32"/>
          <w:szCs w:val="32"/>
          <w:shd w:val="clear" w:fill="FFFFFF"/>
        </w:rPr>
      </w:pPr>
      <w:r>
        <w:rPr>
          <w:rFonts w:hint="eastAsia" w:ascii="黑体" w:hAnsi="黑体" w:eastAsia="黑体" w:cs="黑体"/>
          <w:b w:val="0"/>
          <w:bCs w:val="0"/>
          <w:i w:val="0"/>
          <w:iCs w:val="0"/>
          <w:caps w:val="0"/>
          <w:color w:val="auto"/>
          <w:spacing w:val="0"/>
          <w:sz w:val="32"/>
          <w:szCs w:val="32"/>
          <w:shd w:val="clear" w:fill="FFFFFF"/>
        </w:rPr>
        <w:t>一、总体情况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2022年以来，我局认真按照国家、省、市有关推行政务公开的要求和部署，认真组织，狠抓落实，建立健全了相关规章制度，积极推进部门政务公开工作，坚持把政务公开工作纳入重要的议事日程，规范政务信息公开管理，提高政务信息公开水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楷体_GB2312" w:hAnsi="楷体_GB2312" w:eastAsia="楷体_GB2312" w:cs="楷体_GB2312"/>
          <w:b/>
          <w:bCs/>
          <w:i w:val="0"/>
          <w:iCs w:val="0"/>
          <w:caps w:val="0"/>
          <w:color w:val="auto"/>
          <w:spacing w:val="0"/>
          <w:sz w:val="32"/>
          <w:szCs w:val="32"/>
          <w:shd w:val="clear" w:color="auto" w:fill="FFFFFF"/>
          <w:lang w:val="en-US" w:eastAsia="zh-CN"/>
        </w:rPr>
      </w:pPr>
      <w:r>
        <w:rPr>
          <w:rFonts w:hint="eastAsia" w:ascii="楷体_GB2312" w:hAnsi="楷体_GB2312" w:eastAsia="楷体_GB2312" w:cs="楷体_GB2312"/>
          <w:b/>
          <w:bCs/>
          <w:i w:val="0"/>
          <w:iCs w:val="0"/>
          <w:caps w:val="0"/>
          <w:color w:val="auto"/>
          <w:spacing w:val="0"/>
          <w:sz w:val="32"/>
          <w:szCs w:val="32"/>
          <w:shd w:val="clear" w:color="auto" w:fill="FFFFFF"/>
          <w:lang w:val="en-US" w:eastAsia="zh-CN"/>
        </w:rPr>
        <w:t>（一）主动公开情况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2022年，我局主动公开信息数量185条。一是积极推进政务公开标准化，及时公开各项工作进展情况。二是规范政策解读。按照政策解读要素，做好科技部门政策解读。三是进行常态化公开。做好权力配置信息公开，及时更新完善我局权责清单、公共服务清单、中介服务清单清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楷体_GB2312" w:hAnsi="楷体_GB2312" w:eastAsia="楷体_GB2312" w:cs="楷体_GB2312"/>
          <w:b/>
          <w:bCs/>
          <w:i w:val="0"/>
          <w:iCs w:val="0"/>
          <w:caps w:val="0"/>
          <w:color w:val="auto"/>
          <w:spacing w:val="0"/>
          <w:sz w:val="32"/>
          <w:szCs w:val="32"/>
          <w:shd w:val="clear" w:color="auto" w:fill="FFFFFF"/>
          <w:lang w:val="en-US" w:eastAsia="zh-CN"/>
        </w:rPr>
      </w:pPr>
      <w:r>
        <w:rPr>
          <w:rFonts w:hint="eastAsia" w:ascii="楷体_GB2312" w:hAnsi="楷体_GB2312" w:eastAsia="楷体_GB2312" w:cs="楷体_GB2312"/>
          <w:b/>
          <w:bCs/>
          <w:i w:val="0"/>
          <w:iCs w:val="0"/>
          <w:caps w:val="0"/>
          <w:color w:val="auto"/>
          <w:spacing w:val="0"/>
          <w:sz w:val="32"/>
          <w:szCs w:val="32"/>
          <w:shd w:val="clear" w:color="auto" w:fill="FFFFFF"/>
          <w:lang w:val="en-US" w:eastAsia="zh-CN"/>
        </w:rPr>
        <w:t>（二）依申请公开情况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严格按照政府信息公开工作要求和相关法律法规规定，确定依申请公开的事项、公开对象和范围，明确受理申请股室、方式和程序等，在规定时限内做出是否公开的答复。对不能公开的，及时做好解释说明工作。2022年，我局未收到信息公开申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楷体_GB2312" w:hAnsi="楷体_GB2312" w:eastAsia="楷体_GB2312" w:cs="楷体_GB2312"/>
          <w:b/>
          <w:bCs/>
          <w:i w:val="0"/>
          <w:iCs w:val="0"/>
          <w:caps w:val="0"/>
          <w:color w:val="auto"/>
          <w:spacing w:val="0"/>
          <w:sz w:val="32"/>
          <w:szCs w:val="32"/>
          <w:shd w:val="clear" w:color="auto" w:fill="FFFFFF"/>
          <w:lang w:val="en-US" w:eastAsia="zh-CN"/>
        </w:rPr>
      </w:pPr>
      <w:r>
        <w:rPr>
          <w:rFonts w:hint="eastAsia" w:ascii="楷体_GB2312" w:hAnsi="楷体_GB2312" w:eastAsia="楷体_GB2312" w:cs="楷体_GB2312"/>
          <w:b/>
          <w:bCs/>
          <w:i w:val="0"/>
          <w:iCs w:val="0"/>
          <w:caps w:val="0"/>
          <w:color w:val="auto"/>
          <w:spacing w:val="0"/>
          <w:sz w:val="32"/>
          <w:szCs w:val="32"/>
          <w:shd w:val="clear" w:color="auto" w:fill="FFFFFF"/>
          <w:lang w:val="en-US" w:eastAsia="zh-CN"/>
        </w:rPr>
        <w:t>（三）政府信息管理情况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一是建立预先审查制度。认真按照“谁发布，谁审查”和“事前审查”原则，依法对拟公开的政务信息实行三级复核审查制度，坚决杜绝涉密信息和敏感信息在政府网站发布的现象发生。二是加大信息公开力度。对于已失效或内容有较大更改的及时调整，保证公开信息的有效性，不断加强科技创新领域的信息公开，做到应公开尽公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楷体_GB2312" w:hAnsi="楷体_GB2312" w:eastAsia="楷体_GB2312" w:cs="楷体_GB2312"/>
          <w:b/>
          <w:bCs/>
          <w:i w:val="0"/>
          <w:iCs w:val="0"/>
          <w:caps w:val="0"/>
          <w:color w:val="auto"/>
          <w:spacing w:val="0"/>
          <w:sz w:val="32"/>
          <w:szCs w:val="32"/>
          <w:shd w:val="clear" w:color="auto" w:fill="FFFFFF"/>
          <w:lang w:val="en-US" w:eastAsia="zh-CN"/>
        </w:rPr>
      </w:pPr>
      <w:r>
        <w:rPr>
          <w:rFonts w:hint="eastAsia" w:ascii="楷体_GB2312" w:hAnsi="楷体_GB2312" w:eastAsia="楷体_GB2312" w:cs="楷体_GB2312"/>
          <w:b/>
          <w:bCs/>
          <w:i w:val="0"/>
          <w:iCs w:val="0"/>
          <w:caps w:val="0"/>
          <w:color w:val="auto"/>
          <w:spacing w:val="0"/>
          <w:sz w:val="32"/>
          <w:szCs w:val="32"/>
          <w:shd w:val="clear" w:color="auto" w:fill="FFFFFF"/>
          <w:lang w:val="en-US" w:eastAsia="zh-CN"/>
        </w:rPr>
        <w:t>（四）平台建设情况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按照县政府统一部署，积极配合做好网站集约化平台建设，对网站信息相关目录的维护工作，通过霍邱县人民政府网进行信息公开，及时对网站信息进行更新和完善。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楷体_GB2312" w:hAnsi="楷体_GB2312" w:eastAsia="楷体_GB2312" w:cs="楷体_GB2312"/>
          <w:b/>
          <w:bCs/>
          <w:i w:val="0"/>
          <w:iCs w:val="0"/>
          <w:caps w:val="0"/>
          <w:color w:val="auto"/>
          <w:spacing w:val="0"/>
          <w:sz w:val="32"/>
          <w:szCs w:val="32"/>
          <w:shd w:val="clear" w:color="auto" w:fill="FFFFFF"/>
          <w:lang w:val="en-US" w:eastAsia="zh-CN"/>
        </w:rPr>
      </w:pPr>
      <w:r>
        <w:rPr>
          <w:rFonts w:hint="eastAsia" w:ascii="楷体_GB2312" w:hAnsi="楷体_GB2312" w:eastAsia="楷体_GB2312" w:cs="楷体_GB2312"/>
          <w:b/>
          <w:bCs/>
          <w:i w:val="0"/>
          <w:iCs w:val="0"/>
          <w:caps w:val="0"/>
          <w:color w:val="auto"/>
          <w:spacing w:val="0"/>
          <w:sz w:val="32"/>
          <w:szCs w:val="32"/>
          <w:shd w:val="clear" w:color="auto" w:fill="FFFFFF"/>
          <w:lang w:val="en-US" w:eastAsia="zh-CN"/>
        </w:rPr>
        <w:t>（五）监督保障工作情况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一是坚持“公开为常态、不公开为例外”原则，进一步理顺和完善工作机制，严格落实“谁主管、谁负责、谁发布、谁负责”的工作制度。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二是严格落实保密事项复核、政务信息员发布、过错责任追究等工作机制，确保信息公开内容安全准确、信息发布及时不延误。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三是结合每季度测评结果，认真开展政务公开问题排查整改工作，及时整改信息发布不及时等各类问题，以公开推进工作落实、助力企业科技创新。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b w:val="0"/>
          <w:bCs w:val="0"/>
          <w:i w:val="0"/>
          <w:iCs w:val="0"/>
          <w:caps w:val="0"/>
          <w:color w:val="auto"/>
          <w:spacing w:val="0"/>
          <w:sz w:val="32"/>
          <w:szCs w:val="32"/>
          <w:shd w:val="clear" w:fill="FFFFFF"/>
        </w:rPr>
      </w:pPr>
      <w:r>
        <w:rPr>
          <w:rFonts w:hint="eastAsia" w:ascii="黑体" w:hAnsi="黑体" w:eastAsia="黑体" w:cs="黑体"/>
          <w:b w:val="0"/>
          <w:bCs w:val="0"/>
          <w:i w:val="0"/>
          <w:iCs w:val="0"/>
          <w:caps w:val="0"/>
          <w:color w:val="auto"/>
          <w:spacing w:val="0"/>
          <w:sz w:val="32"/>
          <w:szCs w:val="32"/>
          <w:shd w:val="clear" w:fill="FFFFFF"/>
        </w:rPr>
        <w:t>二、主动公开政府信息情况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i w:val="0"/>
          <w:iCs w:val="0"/>
          <w:caps w:val="0"/>
          <w:color w:val="auto"/>
          <w:spacing w:val="0"/>
          <w:sz w:val="24"/>
          <w:szCs w:val="24"/>
        </w:rPr>
      </w:pPr>
    </w:p>
    <w:tbl>
      <w:tblPr>
        <w:tblStyle w:val="6"/>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本年制发件数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rPr>
                <w:rFonts w:hint="eastAsia" w:eastAsiaTheme="minorEastAsia"/>
                <w:color w:val="auto"/>
                <w:lang w:val="en-US" w:eastAsia="zh-CN"/>
              </w:rPr>
            </w:pPr>
            <w:r>
              <w:rPr>
                <w:rFonts w:hint="eastAsia"/>
                <w:color w:val="auto"/>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rPr>
                <w:rFonts w:hint="eastAsia" w:eastAsiaTheme="minorEastAsia"/>
                <w:color w:val="auto"/>
                <w:lang w:val="en-US" w:eastAsia="zh-CN"/>
              </w:rPr>
            </w:pPr>
            <w:r>
              <w:rPr>
                <w:rFonts w:hint="eastAsia"/>
                <w:color w:val="auto"/>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rPr>
                <w:rFonts w:hint="eastAsia" w:eastAsiaTheme="minorEastAsia"/>
                <w:color w:val="auto"/>
                <w:lang w:val="en-US" w:eastAsia="zh-CN"/>
              </w:rPr>
            </w:pPr>
            <w:r>
              <w:rPr>
                <w:rFonts w:hint="eastAsia"/>
                <w:color w:val="auto"/>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rPr>
                <w:rFonts w:hint="eastAsia" w:eastAsiaTheme="minorEastAsia"/>
                <w:color w:val="auto"/>
                <w:lang w:val="en-US" w:eastAsia="zh-CN"/>
              </w:rPr>
            </w:pPr>
            <w:r>
              <w:rPr>
                <w:rFonts w:hint="eastAsia"/>
                <w:color w:val="auto"/>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886"/>
              </w:tabs>
              <w:kinsoku/>
              <w:overflowPunct/>
              <w:topLinePunct w:val="0"/>
              <w:autoSpaceDE/>
              <w:autoSpaceDN/>
              <w:bidi w:val="0"/>
              <w:adjustRightInd/>
              <w:snapToGrid/>
              <w:spacing w:before="0" w:beforeAutospacing="0" w:after="0" w:afterAutospacing="0" w:line="560" w:lineRule="exact"/>
              <w:ind w:left="0" w:right="0"/>
              <w:jc w:val="center"/>
              <w:textAlignment w:val="auto"/>
              <w:rPr>
                <w:rFonts w:hint="eastAsia" w:eastAsiaTheme="minorEastAsia"/>
                <w:color w:val="auto"/>
                <w:lang w:val="en-US" w:eastAsia="zh-CN"/>
              </w:rPr>
            </w:pPr>
            <w:r>
              <w:rPr>
                <w:rFonts w:hint="eastAsia"/>
                <w:color w:val="auto"/>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ind w:right="0"/>
              <w:jc w:val="center"/>
              <w:textAlignment w:val="auto"/>
              <w:rPr>
                <w:rFonts w:hint="eastAsia" w:ascii="宋体" w:eastAsia="宋体"/>
                <w:color w:val="auto"/>
                <w:sz w:val="24"/>
                <w:szCs w:val="24"/>
                <w:lang w:val="en-US" w:eastAsia="zh-CN"/>
              </w:rPr>
            </w:pPr>
            <w:r>
              <w:rPr>
                <w:rFonts w:hint="eastAsia" w:ascii="宋体"/>
                <w:color w:val="auto"/>
                <w:sz w:val="24"/>
                <w:szCs w:val="24"/>
                <w:lang w:val="en-US" w:eastAsia="zh-CN"/>
              </w:rPr>
              <w:t>0</w:t>
            </w:r>
          </w:p>
        </w:tc>
      </w:tr>
    </w:tbl>
    <w:p>
      <w:pPr>
        <w:keepNext w:val="0"/>
        <w:keepLines w:val="0"/>
        <w:pageBreakBefore w:val="0"/>
        <w:widowControl/>
        <w:suppressLineNumbers w:val="0"/>
        <w:kinsoku/>
        <w:overflowPunct/>
        <w:topLinePunct w:val="0"/>
        <w:autoSpaceDE/>
        <w:autoSpaceDN/>
        <w:bidi w:val="0"/>
        <w:adjustRightInd/>
        <w:snapToGrid/>
        <w:spacing w:line="560" w:lineRule="exact"/>
        <w:ind w:right="0"/>
        <w:jc w:val="left"/>
        <w:textAlignment w:val="auto"/>
        <w:rPr>
          <w:color w:val="auto"/>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b w:val="0"/>
          <w:bCs w:val="0"/>
          <w:i w:val="0"/>
          <w:iCs w:val="0"/>
          <w:caps w:val="0"/>
          <w:color w:val="auto"/>
          <w:spacing w:val="0"/>
          <w:sz w:val="32"/>
          <w:szCs w:val="32"/>
          <w:shd w:val="clear" w:fill="FFFFFF"/>
        </w:rPr>
      </w:pPr>
      <w:r>
        <w:rPr>
          <w:rFonts w:hint="eastAsia" w:ascii="黑体" w:hAnsi="黑体" w:eastAsia="黑体" w:cs="黑体"/>
          <w:b w:val="0"/>
          <w:bCs w:val="0"/>
          <w:i w:val="0"/>
          <w:iCs w:val="0"/>
          <w:caps w:val="0"/>
          <w:color w:val="auto"/>
          <w:spacing w:val="0"/>
          <w:sz w:val="32"/>
          <w:szCs w:val="32"/>
          <w:shd w:val="clear" w:fill="FFFFFF"/>
        </w:rPr>
        <w:t>三、收到和处理政府信息公开申请情况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i w:val="0"/>
          <w:iCs w:val="0"/>
          <w:caps w:val="0"/>
          <w:color w:val="auto"/>
          <w:spacing w:val="0"/>
          <w:sz w:val="24"/>
          <w:szCs w:val="24"/>
        </w:rPr>
      </w:pPr>
    </w:p>
    <w:tbl>
      <w:tblPr>
        <w:tblStyle w:val="6"/>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left"/>
              <w:textAlignment w:val="auto"/>
              <w:rPr>
                <w:color w:val="auto"/>
              </w:rPr>
            </w:pPr>
            <w:r>
              <w:rPr>
                <w:rFonts w:ascii="楷体" w:hAnsi="楷体" w:eastAsia="楷体" w:cs="楷体"/>
                <w:color w:val="auto"/>
                <w:kern w:val="0"/>
                <w:sz w:val="20"/>
                <w:szCs w:val="20"/>
                <w:lang w:val="en-US" w:eastAsia="zh-CN" w:bidi="ar"/>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line="560" w:lineRule="exact"/>
              <w:ind w:right="0"/>
              <w:textAlignment w:val="auto"/>
              <w:rPr>
                <w:rFonts w:hint="eastAsia" w:ascii="宋体"/>
                <w:color w:val="auto"/>
                <w:sz w:val="24"/>
                <w:szCs w:val="24"/>
              </w:rPr>
            </w:pPr>
          </w:p>
        </w:tc>
        <w:tc>
          <w:tcPr>
            <w:tcW w:w="714"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自然人</w:t>
            </w:r>
          </w:p>
        </w:tc>
        <w:tc>
          <w:tcPr>
            <w:tcW w:w="357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法人或其他组织</w:t>
            </w:r>
          </w:p>
        </w:tc>
        <w:tc>
          <w:tcPr>
            <w:tcW w:w="714"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line="560" w:lineRule="exact"/>
              <w:ind w:right="0"/>
              <w:textAlignment w:val="auto"/>
              <w:rPr>
                <w:rFonts w:hint="eastAsia" w:ascii="宋体"/>
                <w:color w:val="auto"/>
                <w:sz w:val="24"/>
                <w:szCs w:val="24"/>
              </w:rPr>
            </w:pPr>
          </w:p>
        </w:tc>
        <w:tc>
          <w:tcPr>
            <w:tcW w:w="714"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ind w:right="0"/>
              <w:textAlignment w:val="auto"/>
              <w:rPr>
                <w:rFonts w:hint="eastAsia" w:ascii="宋体"/>
                <w:color w:val="auto"/>
                <w:sz w:val="24"/>
                <w:szCs w:val="24"/>
              </w:rPr>
            </w:pP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企业</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机构</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社会公益组织</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法律服务机构</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其他</w:t>
            </w:r>
          </w:p>
        </w:tc>
        <w:tc>
          <w:tcPr>
            <w:tcW w:w="714"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ind w:right="0"/>
              <w:textAlignment w:val="auto"/>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left"/>
              <w:textAlignment w:val="auto"/>
              <w:rPr>
                <w:color w:val="auto"/>
              </w:rPr>
            </w:pPr>
            <w:r>
              <w:rPr>
                <w:rFonts w:hint="eastAsia" w:ascii="宋体" w:hAnsi="宋体" w:eastAsia="宋体" w:cs="宋体"/>
                <w:color w:val="auto"/>
                <w:kern w:val="0"/>
                <w:sz w:val="20"/>
                <w:szCs w:val="20"/>
                <w:lang w:val="en-US" w:eastAsia="zh-CN" w:bidi="ar"/>
              </w:rPr>
              <w:t>一、本年新收政府信息公开申请数量</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left"/>
              <w:textAlignment w:val="auto"/>
              <w:rPr>
                <w:color w:val="auto"/>
              </w:rPr>
            </w:pPr>
            <w:r>
              <w:rPr>
                <w:rFonts w:hint="eastAsia" w:ascii="宋体" w:hAnsi="宋体" w:eastAsia="宋体" w:cs="宋体"/>
                <w:color w:val="auto"/>
                <w:kern w:val="0"/>
                <w:sz w:val="20"/>
                <w:szCs w:val="20"/>
                <w:lang w:val="en-US" w:eastAsia="zh-CN" w:bidi="ar"/>
              </w:rPr>
              <w:t>二、上年结转政府信息公开申请数量</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left"/>
              <w:textAlignment w:val="auto"/>
              <w:rPr>
                <w:color w:val="auto"/>
              </w:rPr>
            </w:pPr>
            <w:r>
              <w:rPr>
                <w:rFonts w:hint="eastAsia" w:ascii="宋体" w:hAnsi="宋体" w:eastAsia="宋体" w:cs="宋体"/>
                <w:color w:val="auto"/>
                <w:kern w:val="0"/>
                <w:sz w:val="20"/>
                <w:szCs w:val="20"/>
                <w:lang w:val="en-US" w:eastAsia="zh-CN" w:bidi="ar"/>
              </w:rPr>
              <w:t>三、本年度办理结果</w:t>
            </w: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left"/>
              <w:textAlignment w:val="auto"/>
              <w:rPr>
                <w:color w:val="auto"/>
              </w:rPr>
            </w:pPr>
            <w:r>
              <w:rPr>
                <w:rFonts w:hint="eastAsia" w:ascii="宋体" w:hAnsi="宋体" w:eastAsia="宋体" w:cs="宋体"/>
                <w:color w:val="auto"/>
                <w:kern w:val="0"/>
                <w:sz w:val="20"/>
                <w:szCs w:val="20"/>
                <w:lang w:val="en-US" w:eastAsia="zh-CN" w:bidi="ar"/>
              </w:rPr>
              <w:t>（一）予以公开</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ind w:right="0"/>
              <w:textAlignment w:val="auto"/>
              <w:rPr>
                <w:rFonts w:hint="eastAsia" w:ascii="宋体"/>
                <w:color w:val="auto"/>
                <w:sz w:val="24"/>
                <w:szCs w:val="24"/>
              </w:rPr>
            </w:pP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left"/>
              <w:textAlignment w:val="auto"/>
              <w:rPr>
                <w:color w:val="auto"/>
              </w:rPr>
            </w:pPr>
            <w:r>
              <w:rPr>
                <w:rFonts w:hint="eastAsia" w:ascii="宋体" w:hAnsi="宋体" w:eastAsia="宋体" w:cs="宋体"/>
                <w:color w:val="auto"/>
                <w:kern w:val="0"/>
                <w:sz w:val="20"/>
                <w:szCs w:val="20"/>
                <w:lang w:val="en-US" w:eastAsia="zh-CN" w:bidi="ar"/>
              </w:rPr>
              <w:t>（二）部分公开</w:t>
            </w:r>
            <w:r>
              <w:rPr>
                <w:rFonts w:hint="eastAsia" w:ascii="楷体" w:hAnsi="楷体" w:eastAsia="楷体" w:cs="楷体"/>
                <w:color w:val="auto"/>
                <w:kern w:val="0"/>
                <w:sz w:val="20"/>
                <w:szCs w:val="20"/>
                <w:lang w:val="en-US" w:eastAsia="zh-CN" w:bidi="ar"/>
              </w:rPr>
              <w:t>（区分处理的，只计这一情形，不计其他情形）</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ind w:right="0"/>
              <w:textAlignment w:val="auto"/>
              <w:rPr>
                <w:rFonts w:hint="eastAsia" w:ascii="宋体"/>
                <w:color w:val="auto"/>
                <w:sz w:val="24"/>
                <w:szCs w:val="24"/>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left"/>
              <w:textAlignment w:val="auto"/>
              <w:rPr>
                <w:color w:val="auto"/>
              </w:rPr>
            </w:pPr>
            <w:r>
              <w:rPr>
                <w:rFonts w:hint="eastAsia" w:ascii="宋体" w:hAnsi="宋体" w:eastAsia="宋体" w:cs="宋体"/>
                <w:color w:val="auto"/>
                <w:kern w:val="0"/>
                <w:sz w:val="20"/>
                <w:szCs w:val="20"/>
                <w:lang w:val="en-US" w:eastAsia="zh-CN" w:bidi="ar"/>
              </w:rPr>
              <w:t>（三）不予公开</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left"/>
              <w:textAlignment w:val="auto"/>
              <w:rPr>
                <w:color w:val="auto"/>
              </w:rPr>
            </w:pPr>
            <w:r>
              <w:rPr>
                <w:rFonts w:hint="eastAsia" w:ascii="宋体" w:hAnsi="宋体" w:eastAsia="宋体" w:cs="宋体"/>
                <w:color w:val="auto"/>
                <w:kern w:val="0"/>
                <w:sz w:val="20"/>
                <w:szCs w:val="20"/>
                <w:lang w:val="en-US" w:eastAsia="zh-CN" w:bidi="ar"/>
              </w:rPr>
              <w:t>1.属于国家秘密</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ind w:right="0"/>
              <w:textAlignment w:val="auto"/>
              <w:rPr>
                <w:rFonts w:hint="eastAsia" w:ascii="宋体"/>
                <w:color w:val="auto"/>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ind w:right="0"/>
              <w:textAlignment w:val="auto"/>
              <w:rPr>
                <w:rFonts w:hint="eastAsia" w:ascii="宋体"/>
                <w:color w:val="auto"/>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left"/>
              <w:textAlignment w:val="auto"/>
              <w:rPr>
                <w:color w:val="auto"/>
              </w:rPr>
            </w:pPr>
            <w:r>
              <w:rPr>
                <w:rFonts w:hint="eastAsia" w:ascii="宋体" w:hAnsi="宋体" w:eastAsia="宋体" w:cs="宋体"/>
                <w:color w:val="auto"/>
                <w:kern w:val="0"/>
                <w:sz w:val="20"/>
                <w:szCs w:val="20"/>
                <w:lang w:val="en-US" w:eastAsia="zh-CN" w:bidi="ar"/>
              </w:rPr>
              <w:t>2.其他法律行政法规禁止公开</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ind w:right="0"/>
              <w:textAlignment w:val="auto"/>
              <w:rPr>
                <w:rFonts w:hint="eastAsia" w:ascii="宋体"/>
                <w:color w:val="auto"/>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ind w:right="0"/>
              <w:textAlignment w:val="auto"/>
              <w:rPr>
                <w:rFonts w:hint="eastAsia" w:ascii="宋体"/>
                <w:color w:val="auto"/>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left"/>
              <w:textAlignment w:val="auto"/>
              <w:rPr>
                <w:color w:val="auto"/>
              </w:rPr>
            </w:pPr>
            <w:r>
              <w:rPr>
                <w:rFonts w:hint="eastAsia" w:ascii="宋体" w:hAnsi="宋体" w:eastAsia="宋体" w:cs="宋体"/>
                <w:color w:val="auto"/>
                <w:kern w:val="0"/>
                <w:sz w:val="20"/>
                <w:szCs w:val="20"/>
                <w:lang w:val="en-US" w:eastAsia="zh-CN" w:bidi="ar"/>
              </w:rPr>
              <w:t>3.危及“三安全一稳定”</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ind w:right="0"/>
              <w:textAlignment w:val="auto"/>
              <w:rPr>
                <w:rFonts w:hint="eastAsia" w:ascii="宋体"/>
                <w:color w:val="auto"/>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ind w:right="0"/>
              <w:textAlignment w:val="auto"/>
              <w:rPr>
                <w:rFonts w:hint="eastAsia" w:ascii="宋体"/>
                <w:color w:val="auto"/>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left"/>
              <w:textAlignment w:val="auto"/>
              <w:rPr>
                <w:color w:val="auto"/>
              </w:rPr>
            </w:pPr>
            <w:r>
              <w:rPr>
                <w:rFonts w:hint="eastAsia" w:ascii="宋体" w:hAnsi="宋体" w:eastAsia="宋体" w:cs="宋体"/>
                <w:color w:val="auto"/>
                <w:kern w:val="0"/>
                <w:sz w:val="20"/>
                <w:szCs w:val="20"/>
                <w:lang w:val="en-US" w:eastAsia="zh-CN" w:bidi="ar"/>
              </w:rPr>
              <w:t>4.保护第三方合法权益</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ind w:right="0"/>
              <w:textAlignment w:val="auto"/>
              <w:rPr>
                <w:rFonts w:hint="eastAsia" w:ascii="宋体"/>
                <w:color w:val="auto"/>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ind w:right="0"/>
              <w:textAlignment w:val="auto"/>
              <w:rPr>
                <w:rFonts w:hint="eastAsia" w:ascii="宋体"/>
                <w:color w:val="auto"/>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left"/>
              <w:textAlignment w:val="auto"/>
              <w:rPr>
                <w:color w:val="auto"/>
              </w:rPr>
            </w:pPr>
            <w:r>
              <w:rPr>
                <w:rFonts w:hint="eastAsia" w:ascii="宋体" w:hAnsi="宋体" w:eastAsia="宋体" w:cs="宋体"/>
                <w:color w:val="auto"/>
                <w:kern w:val="0"/>
                <w:sz w:val="20"/>
                <w:szCs w:val="20"/>
                <w:lang w:val="en-US" w:eastAsia="zh-CN" w:bidi="ar"/>
              </w:rPr>
              <w:t>5.属于三类内部事务信息</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ind w:right="0"/>
              <w:textAlignment w:val="auto"/>
              <w:rPr>
                <w:rFonts w:hint="eastAsia" w:ascii="宋体"/>
                <w:color w:val="auto"/>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ind w:right="0"/>
              <w:textAlignment w:val="auto"/>
              <w:rPr>
                <w:rFonts w:hint="eastAsia" w:ascii="宋体"/>
                <w:color w:val="auto"/>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left"/>
              <w:textAlignment w:val="auto"/>
              <w:rPr>
                <w:color w:val="auto"/>
              </w:rPr>
            </w:pPr>
            <w:r>
              <w:rPr>
                <w:rFonts w:hint="eastAsia" w:ascii="宋体" w:hAnsi="宋体" w:eastAsia="宋体" w:cs="宋体"/>
                <w:color w:val="auto"/>
                <w:kern w:val="0"/>
                <w:sz w:val="20"/>
                <w:szCs w:val="20"/>
                <w:lang w:val="en-US" w:eastAsia="zh-CN" w:bidi="ar"/>
              </w:rPr>
              <w:t>6.属于四类过程性信息</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ind w:right="0"/>
              <w:textAlignment w:val="auto"/>
              <w:rPr>
                <w:rFonts w:hint="eastAsia" w:ascii="宋体"/>
                <w:color w:val="auto"/>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ind w:right="0"/>
              <w:textAlignment w:val="auto"/>
              <w:rPr>
                <w:rFonts w:hint="eastAsia" w:ascii="宋体"/>
                <w:color w:val="auto"/>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left"/>
              <w:textAlignment w:val="auto"/>
              <w:rPr>
                <w:color w:val="auto"/>
              </w:rPr>
            </w:pPr>
            <w:r>
              <w:rPr>
                <w:rFonts w:hint="eastAsia" w:ascii="宋体" w:hAnsi="宋体" w:eastAsia="宋体" w:cs="宋体"/>
                <w:color w:val="auto"/>
                <w:kern w:val="0"/>
                <w:sz w:val="20"/>
                <w:szCs w:val="20"/>
                <w:lang w:val="en-US" w:eastAsia="zh-CN" w:bidi="ar"/>
              </w:rPr>
              <w:t>7.属于行政执法案卷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ind w:right="0"/>
              <w:textAlignment w:val="auto"/>
              <w:rPr>
                <w:rFonts w:hint="eastAsia" w:ascii="宋体"/>
                <w:color w:val="auto"/>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ind w:right="0"/>
              <w:textAlignment w:val="auto"/>
              <w:rPr>
                <w:rFonts w:hint="eastAsia" w:ascii="宋体"/>
                <w:color w:val="auto"/>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left"/>
              <w:textAlignment w:val="auto"/>
              <w:rPr>
                <w:color w:val="auto"/>
              </w:rPr>
            </w:pPr>
            <w:r>
              <w:rPr>
                <w:rFonts w:hint="eastAsia" w:ascii="宋体" w:hAnsi="宋体" w:eastAsia="宋体" w:cs="宋体"/>
                <w:color w:val="auto"/>
                <w:kern w:val="0"/>
                <w:sz w:val="20"/>
                <w:szCs w:val="20"/>
                <w:lang w:val="en-US" w:eastAsia="zh-CN" w:bidi="ar"/>
              </w:rPr>
              <w:t>8.属于行政查询事项</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ind w:right="0"/>
              <w:textAlignment w:val="auto"/>
              <w:rPr>
                <w:rFonts w:hint="eastAsia" w:ascii="宋体"/>
                <w:color w:val="auto"/>
                <w:sz w:val="24"/>
                <w:szCs w:val="24"/>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left"/>
              <w:textAlignment w:val="auto"/>
              <w:rPr>
                <w:color w:val="auto"/>
              </w:rPr>
            </w:pPr>
            <w:r>
              <w:rPr>
                <w:rFonts w:hint="eastAsia" w:ascii="宋体" w:hAnsi="宋体" w:eastAsia="宋体" w:cs="宋体"/>
                <w:color w:val="auto"/>
                <w:kern w:val="0"/>
                <w:sz w:val="20"/>
                <w:szCs w:val="20"/>
                <w:lang w:val="en-US" w:eastAsia="zh-CN" w:bidi="ar"/>
              </w:rPr>
              <w:t>（四）无法提供</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left"/>
              <w:textAlignment w:val="auto"/>
              <w:rPr>
                <w:color w:val="auto"/>
              </w:rPr>
            </w:pPr>
            <w:r>
              <w:rPr>
                <w:rFonts w:hint="eastAsia" w:ascii="宋体" w:hAnsi="宋体" w:eastAsia="宋体" w:cs="宋体"/>
                <w:color w:val="auto"/>
                <w:kern w:val="0"/>
                <w:sz w:val="20"/>
                <w:szCs w:val="20"/>
                <w:lang w:val="en-US" w:eastAsia="zh-CN" w:bidi="ar"/>
              </w:rPr>
              <w:t>1.本机关不掌握相关政府信息</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ind w:right="0"/>
              <w:textAlignment w:val="auto"/>
              <w:rPr>
                <w:rFonts w:hint="eastAsia" w:ascii="宋体"/>
                <w:color w:val="auto"/>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ind w:right="0"/>
              <w:textAlignment w:val="auto"/>
              <w:rPr>
                <w:rFonts w:hint="eastAsia" w:ascii="宋体"/>
                <w:color w:val="auto"/>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left"/>
              <w:textAlignment w:val="auto"/>
              <w:rPr>
                <w:color w:val="auto"/>
              </w:rPr>
            </w:pPr>
            <w:r>
              <w:rPr>
                <w:rFonts w:hint="eastAsia" w:ascii="宋体" w:hAnsi="宋体" w:eastAsia="宋体" w:cs="宋体"/>
                <w:color w:val="auto"/>
                <w:kern w:val="0"/>
                <w:sz w:val="20"/>
                <w:szCs w:val="20"/>
                <w:lang w:val="en-US" w:eastAsia="zh-CN" w:bidi="ar"/>
              </w:rPr>
              <w:t>2.没有现成信息需要另行制作</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ind w:right="0"/>
              <w:textAlignment w:val="auto"/>
              <w:rPr>
                <w:rFonts w:hint="eastAsia" w:ascii="宋体"/>
                <w:color w:val="auto"/>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ind w:right="0"/>
              <w:textAlignment w:val="auto"/>
              <w:rPr>
                <w:rFonts w:hint="eastAsia" w:ascii="宋体"/>
                <w:color w:val="auto"/>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left"/>
              <w:textAlignment w:val="auto"/>
              <w:rPr>
                <w:color w:val="auto"/>
              </w:rPr>
            </w:pPr>
            <w:r>
              <w:rPr>
                <w:rFonts w:hint="eastAsia" w:ascii="宋体" w:hAnsi="宋体" w:eastAsia="宋体" w:cs="宋体"/>
                <w:color w:val="auto"/>
                <w:kern w:val="0"/>
                <w:sz w:val="20"/>
                <w:szCs w:val="20"/>
                <w:lang w:val="en-US" w:eastAsia="zh-CN" w:bidi="ar"/>
              </w:rPr>
              <w:t>3.补正后申请内容仍不明确</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ind w:right="0"/>
              <w:textAlignment w:val="auto"/>
              <w:rPr>
                <w:rFonts w:hint="eastAsia" w:ascii="宋体"/>
                <w:color w:val="auto"/>
                <w:sz w:val="24"/>
                <w:szCs w:val="24"/>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left"/>
              <w:textAlignment w:val="auto"/>
              <w:rPr>
                <w:color w:val="auto"/>
              </w:rPr>
            </w:pPr>
            <w:r>
              <w:rPr>
                <w:rFonts w:hint="eastAsia" w:ascii="宋体" w:hAnsi="宋体" w:eastAsia="宋体" w:cs="宋体"/>
                <w:color w:val="auto"/>
                <w:kern w:val="0"/>
                <w:sz w:val="20"/>
                <w:szCs w:val="20"/>
                <w:lang w:val="en-US" w:eastAsia="zh-CN" w:bidi="ar"/>
              </w:rPr>
              <w:t>（五）不予处理</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left"/>
              <w:textAlignment w:val="auto"/>
              <w:rPr>
                <w:color w:val="auto"/>
              </w:rPr>
            </w:pPr>
            <w:r>
              <w:rPr>
                <w:rFonts w:hint="eastAsia" w:ascii="宋体" w:hAnsi="宋体" w:eastAsia="宋体" w:cs="宋体"/>
                <w:color w:val="auto"/>
                <w:kern w:val="0"/>
                <w:sz w:val="20"/>
                <w:szCs w:val="20"/>
                <w:lang w:val="en-US" w:eastAsia="zh-CN" w:bidi="ar"/>
              </w:rPr>
              <w:t>1.信访举报投诉类申请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ind w:right="0"/>
              <w:textAlignment w:val="auto"/>
              <w:rPr>
                <w:rFonts w:hint="eastAsia" w:ascii="宋体"/>
                <w:color w:val="auto"/>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ind w:right="0"/>
              <w:textAlignment w:val="auto"/>
              <w:rPr>
                <w:rFonts w:hint="eastAsia" w:ascii="宋体"/>
                <w:color w:val="auto"/>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left"/>
              <w:textAlignment w:val="auto"/>
              <w:rPr>
                <w:color w:val="auto"/>
              </w:rPr>
            </w:pPr>
            <w:r>
              <w:rPr>
                <w:rFonts w:hint="eastAsia" w:ascii="宋体" w:hAnsi="宋体" w:eastAsia="宋体" w:cs="宋体"/>
                <w:color w:val="auto"/>
                <w:kern w:val="0"/>
                <w:sz w:val="20"/>
                <w:szCs w:val="20"/>
                <w:lang w:val="en-US" w:eastAsia="zh-CN" w:bidi="ar"/>
              </w:rPr>
              <w:t>2.重复申请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ind w:right="0"/>
              <w:textAlignment w:val="auto"/>
              <w:rPr>
                <w:rFonts w:hint="eastAsia" w:ascii="宋体"/>
                <w:color w:val="auto"/>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ind w:right="0"/>
              <w:textAlignment w:val="auto"/>
              <w:rPr>
                <w:rFonts w:hint="eastAsia" w:ascii="宋体"/>
                <w:color w:val="auto"/>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left"/>
              <w:textAlignment w:val="auto"/>
              <w:rPr>
                <w:color w:val="auto"/>
              </w:rPr>
            </w:pPr>
            <w:r>
              <w:rPr>
                <w:rFonts w:hint="eastAsia" w:ascii="宋体" w:hAnsi="宋体" w:eastAsia="宋体" w:cs="宋体"/>
                <w:color w:val="auto"/>
                <w:kern w:val="0"/>
                <w:sz w:val="20"/>
                <w:szCs w:val="20"/>
                <w:lang w:val="en-US" w:eastAsia="zh-CN" w:bidi="ar"/>
              </w:rPr>
              <w:t>3.要求提供公开出版物</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ind w:right="0"/>
              <w:textAlignment w:val="auto"/>
              <w:rPr>
                <w:rFonts w:hint="eastAsia" w:ascii="宋体"/>
                <w:color w:val="auto"/>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ind w:right="0"/>
              <w:textAlignment w:val="auto"/>
              <w:rPr>
                <w:rFonts w:hint="eastAsia" w:ascii="宋体"/>
                <w:color w:val="auto"/>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left"/>
              <w:textAlignment w:val="auto"/>
              <w:rPr>
                <w:color w:val="auto"/>
              </w:rPr>
            </w:pPr>
            <w:r>
              <w:rPr>
                <w:rFonts w:hint="eastAsia" w:ascii="宋体" w:hAnsi="宋体" w:eastAsia="宋体" w:cs="宋体"/>
                <w:color w:val="auto"/>
                <w:kern w:val="0"/>
                <w:sz w:val="20"/>
                <w:szCs w:val="20"/>
                <w:lang w:val="en-US" w:eastAsia="zh-CN" w:bidi="ar"/>
              </w:rPr>
              <w:t>4.无正当理由大量反复申请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ind w:right="0"/>
              <w:textAlignment w:val="auto"/>
              <w:rPr>
                <w:rFonts w:hint="eastAsia" w:ascii="宋体"/>
                <w:color w:val="auto"/>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ind w:right="0"/>
              <w:textAlignment w:val="auto"/>
              <w:rPr>
                <w:rFonts w:hint="eastAsia" w:ascii="宋体"/>
                <w:color w:val="auto"/>
                <w:sz w:val="24"/>
                <w:szCs w:val="24"/>
              </w:rPr>
            </w:pPr>
          </w:p>
        </w:tc>
        <w:tc>
          <w:tcPr>
            <w:tcW w:w="3406"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both"/>
              <w:textAlignment w:val="auto"/>
              <w:rPr>
                <w:color w:val="auto"/>
              </w:rPr>
            </w:pPr>
            <w:r>
              <w:rPr>
                <w:rFonts w:hint="eastAsia" w:ascii="宋体" w:hAnsi="宋体" w:eastAsia="宋体" w:cs="宋体"/>
                <w:color w:val="auto"/>
                <w:kern w:val="0"/>
                <w:sz w:val="20"/>
                <w:szCs w:val="20"/>
                <w:lang w:val="en-US" w:eastAsia="zh-CN" w:bidi="ar"/>
              </w:rPr>
              <w:t>5.要求行政机关确认或重新出具已获取信息</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ind w:right="0"/>
              <w:textAlignment w:val="auto"/>
              <w:rPr>
                <w:rFonts w:hint="eastAsia" w:ascii="宋体"/>
                <w:color w:val="auto"/>
                <w:sz w:val="24"/>
                <w:szCs w:val="24"/>
              </w:rPr>
            </w:pPr>
          </w:p>
        </w:tc>
        <w:tc>
          <w:tcPr>
            <w:tcW w:w="959"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left"/>
              <w:textAlignment w:val="auto"/>
              <w:rPr>
                <w:color w:val="auto"/>
              </w:rPr>
            </w:pPr>
            <w:r>
              <w:rPr>
                <w:rFonts w:hint="eastAsia" w:ascii="宋体" w:hAnsi="宋体" w:eastAsia="宋体" w:cs="宋体"/>
                <w:color w:val="auto"/>
                <w:kern w:val="0"/>
                <w:sz w:val="20"/>
                <w:szCs w:val="20"/>
                <w:lang w:val="en-US" w:eastAsia="zh-CN" w:bidi="ar"/>
              </w:rPr>
              <w:t>（六）其他处理</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both"/>
              <w:textAlignment w:val="auto"/>
              <w:rPr>
                <w:color w:val="auto"/>
              </w:rPr>
            </w:pPr>
            <w:r>
              <w:rPr>
                <w:rFonts w:hint="eastAsia" w:ascii="宋体" w:hAnsi="宋体" w:eastAsia="宋体" w:cs="宋体"/>
                <w:color w:val="auto"/>
                <w:kern w:val="0"/>
                <w:sz w:val="20"/>
                <w:szCs w:val="20"/>
                <w:lang w:val="en-US" w:eastAsia="zh-CN" w:bidi="ar"/>
              </w:rPr>
              <w:t>1.申请人无正当理由逾期不补正、行政机关不再处理其政府信息公开申请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ind w:right="0"/>
              <w:textAlignment w:val="auto"/>
              <w:rPr>
                <w:rFonts w:hint="eastAsia" w:ascii="宋体"/>
                <w:color w:val="auto"/>
                <w:sz w:val="24"/>
                <w:szCs w:val="24"/>
              </w:rPr>
            </w:pPr>
          </w:p>
        </w:tc>
        <w:tc>
          <w:tcPr>
            <w:tcW w:w="959"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ind w:right="0"/>
              <w:textAlignment w:val="auto"/>
              <w:rPr>
                <w:rFonts w:hint="eastAsia" w:ascii="宋体"/>
                <w:color w:val="auto"/>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both"/>
              <w:textAlignment w:val="auto"/>
              <w:rPr>
                <w:color w:val="auto"/>
              </w:rPr>
            </w:pPr>
            <w:r>
              <w:rPr>
                <w:rFonts w:hint="eastAsia" w:ascii="宋体" w:hAnsi="宋体" w:eastAsia="宋体" w:cs="宋体"/>
                <w:color w:val="auto"/>
                <w:kern w:val="0"/>
                <w:sz w:val="20"/>
                <w:szCs w:val="20"/>
                <w:lang w:val="en-US" w:eastAsia="zh-CN" w:bidi="ar"/>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ind w:right="0"/>
              <w:textAlignment w:val="auto"/>
              <w:rPr>
                <w:rFonts w:hint="eastAsia" w:ascii="宋体"/>
                <w:color w:val="auto"/>
                <w:sz w:val="24"/>
                <w:szCs w:val="24"/>
              </w:rPr>
            </w:pPr>
          </w:p>
        </w:tc>
        <w:tc>
          <w:tcPr>
            <w:tcW w:w="959"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ind w:right="0"/>
              <w:textAlignment w:val="auto"/>
              <w:rPr>
                <w:rFonts w:hint="eastAsia" w:ascii="宋体"/>
                <w:color w:val="auto"/>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left"/>
              <w:textAlignment w:val="auto"/>
              <w:rPr>
                <w:color w:val="auto"/>
              </w:rPr>
            </w:pPr>
            <w:r>
              <w:rPr>
                <w:rFonts w:hint="eastAsia" w:ascii="宋体" w:hAnsi="宋体" w:eastAsia="宋体" w:cs="宋体"/>
                <w:color w:val="auto"/>
                <w:kern w:val="0"/>
                <w:sz w:val="20"/>
                <w:szCs w:val="20"/>
                <w:lang w:val="en-US" w:eastAsia="zh-CN" w:bidi="ar"/>
              </w:rPr>
              <w:t>3.其他</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ind w:right="0"/>
              <w:textAlignment w:val="auto"/>
              <w:rPr>
                <w:rFonts w:hint="eastAsia" w:ascii="宋体"/>
                <w:color w:val="auto"/>
                <w:sz w:val="24"/>
                <w:szCs w:val="24"/>
              </w:rPr>
            </w:pP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left"/>
              <w:textAlignment w:val="auto"/>
              <w:rPr>
                <w:color w:val="auto"/>
              </w:rPr>
            </w:pPr>
            <w:r>
              <w:rPr>
                <w:rFonts w:hint="eastAsia" w:ascii="宋体" w:hAnsi="宋体" w:eastAsia="宋体" w:cs="宋体"/>
                <w:color w:val="auto"/>
                <w:kern w:val="0"/>
                <w:sz w:val="20"/>
                <w:szCs w:val="20"/>
                <w:lang w:val="en-US" w:eastAsia="zh-CN" w:bidi="ar"/>
              </w:rPr>
              <w:t>（七）总计</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left"/>
              <w:textAlignment w:val="auto"/>
              <w:rPr>
                <w:color w:val="auto"/>
              </w:rPr>
            </w:pPr>
            <w:r>
              <w:rPr>
                <w:rFonts w:hint="eastAsia" w:ascii="宋体" w:hAnsi="宋体" w:eastAsia="宋体" w:cs="宋体"/>
                <w:color w:val="auto"/>
                <w:kern w:val="0"/>
                <w:sz w:val="20"/>
                <w:szCs w:val="20"/>
                <w:lang w:val="en-US" w:eastAsia="zh-CN" w:bidi="ar"/>
              </w:rPr>
              <w:t>四、结转下年度继续办理</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cs="Calibri"/>
                <w:color w:val="auto"/>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color w:val="auto"/>
                <w:sz w:val="24"/>
                <w:szCs w:val="24"/>
              </w:rPr>
            </w:pPr>
            <w:r>
              <w:rPr>
                <w:rFonts w:hint="eastAsia" w:ascii="Calibri" w:hAnsi="Calibri" w:cs="Calibri"/>
                <w:color w:val="auto"/>
                <w:kern w:val="0"/>
                <w:sz w:val="20"/>
                <w:szCs w:val="20"/>
                <w:lang w:val="en-US" w:eastAsia="zh-CN" w:bidi="ar"/>
              </w:rPr>
              <w:t>0</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i w:val="0"/>
          <w:iCs w:val="0"/>
          <w:caps w:val="0"/>
          <w:color w:val="auto"/>
          <w:spacing w:val="0"/>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b w:val="0"/>
          <w:bCs w:val="0"/>
          <w:i w:val="0"/>
          <w:iCs w:val="0"/>
          <w:caps w:val="0"/>
          <w:color w:val="auto"/>
          <w:spacing w:val="0"/>
          <w:sz w:val="32"/>
          <w:szCs w:val="32"/>
          <w:shd w:val="clear" w:fill="FFFFFF"/>
        </w:rPr>
      </w:pPr>
      <w:r>
        <w:rPr>
          <w:rFonts w:hint="eastAsia" w:ascii="黑体" w:hAnsi="黑体" w:eastAsia="黑体" w:cs="黑体"/>
          <w:b w:val="0"/>
          <w:bCs w:val="0"/>
          <w:i w:val="0"/>
          <w:iCs w:val="0"/>
          <w:caps w:val="0"/>
          <w:color w:val="auto"/>
          <w:spacing w:val="0"/>
          <w:sz w:val="32"/>
          <w:szCs w:val="32"/>
          <w:shd w:val="clear" w:fill="FFFFFF"/>
        </w:rPr>
        <w:t>四、政府信息公开行政复议、行政诉讼情况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i w:val="0"/>
          <w:iCs w:val="0"/>
          <w:caps w:val="0"/>
          <w:color w:val="auto"/>
          <w:spacing w:val="0"/>
          <w:sz w:val="24"/>
          <w:szCs w:val="24"/>
        </w:rPr>
      </w:pPr>
    </w:p>
    <w:tbl>
      <w:tblPr>
        <w:tblStyle w:val="6"/>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结果</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其他</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尚未</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line="560" w:lineRule="exact"/>
              <w:ind w:right="0"/>
              <w:textAlignment w:val="auto"/>
              <w:rPr>
                <w:rFonts w:hint="eastAsia" w:ascii="宋体"/>
                <w:color w:val="auto"/>
                <w:sz w:val="24"/>
                <w:szCs w:val="24"/>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line="560" w:lineRule="exact"/>
              <w:ind w:right="0"/>
              <w:textAlignment w:val="auto"/>
              <w:rPr>
                <w:rFonts w:hint="eastAsia" w:ascii="宋体"/>
                <w:color w:val="auto"/>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line="560" w:lineRule="exact"/>
              <w:ind w:right="0"/>
              <w:textAlignment w:val="auto"/>
              <w:rPr>
                <w:rFonts w:hint="eastAsia" w:ascii="宋体"/>
                <w:color w:val="auto"/>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line="560" w:lineRule="exact"/>
              <w:ind w:right="0"/>
              <w:textAlignment w:val="auto"/>
              <w:rPr>
                <w:rFonts w:hint="eastAsia" w:ascii="宋体"/>
                <w:color w:val="auto"/>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line="560" w:lineRule="exact"/>
              <w:ind w:right="0"/>
              <w:textAlignment w:val="auto"/>
              <w:rPr>
                <w:rFonts w:hint="eastAsia" w:ascii="宋体"/>
                <w:color w:val="auto"/>
                <w:sz w:val="24"/>
                <w:szCs w:val="24"/>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结果</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结果</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其他</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尚未</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结果</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结果</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其他</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尚未</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rPr>
                <w:color w:val="auto"/>
              </w:rPr>
            </w:pPr>
            <w:r>
              <w:rPr>
                <w:rFonts w:hint="eastAsia" w:ascii="黑体" w:hAnsi="宋体" w:eastAsia="黑体" w:cs="黑体"/>
                <w:color w:val="auto"/>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rPr>
                <w:color w:val="auto"/>
              </w:rPr>
            </w:pPr>
            <w:r>
              <w:rPr>
                <w:rFonts w:hint="eastAsia" w:ascii="黑体" w:hAnsi="宋体" w:eastAsia="黑体" w:cs="黑体"/>
                <w:color w:val="auto"/>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color w:val="auto"/>
                <w:lang w:val="en-US"/>
              </w:rPr>
            </w:pPr>
            <w:r>
              <w:rPr>
                <w:rFonts w:hint="eastAsia" w:ascii="黑体" w:hAnsi="宋体" w:eastAsia="黑体" w:cs="黑体"/>
                <w:color w:val="auto"/>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eastAsiaTheme="minorEastAsia"/>
                <w:color w:val="auto"/>
                <w:lang w:val="en-US" w:eastAsia="zh-CN"/>
              </w:rPr>
            </w:pPr>
            <w:r>
              <w:rPr>
                <w:rFonts w:hint="eastAsia"/>
                <w:color w:val="auto"/>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eastAsiaTheme="minorEastAsia"/>
                <w:color w:val="auto"/>
                <w:lang w:val="en-US" w:eastAsia="zh-CN"/>
              </w:rPr>
            </w:pPr>
            <w:r>
              <w:rPr>
                <w:rFonts w:hint="eastAsia"/>
                <w:color w:val="auto"/>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eastAsiaTheme="minorEastAsia"/>
                <w:color w:val="auto"/>
                <w:lang w:val="en-US" w:eastAsia="zh-CN"/>
              </w:rPr>
            </w:pPr>
            <w:r>
              <w:rPr>
                <w:rFonts w:hint="eastAsia"/>
                <w:color w:val="auto"/>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eastAsiaTheme="minorEastAsia"/>
                <w:color w:val="auto"/>
                <w:lang w:val="en-US" w:eastAsia="zh-CN"/>
              </w:rPr>
            </w:pPr>
            <w:r>
              <w:rPr>
                <w:rFonts w:hint="eastAsia"/>
                <w:color w:val="auto"/>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eastAsiaTheme="minorEastAsia"/>
                <w:color w:val="auto"/>
                <w:lang w:val="en-US" w:eastAsia="zh-CN"/>
              </w:rPr>
            </w:pPr>
            <w:r>
              <w:rPr>
                <w:rFonts w:hint="eastAsia"/>
                <w:color w:val="auto"/>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eastAsiaTheme="minorEastAsia"/>
                <w:color w:val="auto"/>
                <w:lang w:val="en-US" w:eastAsia="zh-CN"/>
              </w:rPr>
            </w:pPr>
            <w:r>
              <w:rPr>
                <w:rFonts w:hint="eastAsia"/>
                <w:color w:val="auto"/>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eastAsiaTheme="minorEastAsia"/>
                <w:color w:val="auto"/>
                <w:lang w:val="en-US" w:eastAsia="zh-CN"/>
              </w:rPr>
            </w:pPr>
            <w:r>
              <w:rPr>
                <w:rFonts w:hint="eastAsia"/>
                <w:color w:val="auto"/>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eastAsiaTheme="minorEastAsia"/>
                <w:color w:val="auto"/>
                <w:lang w:val="en-US" w:eastAsia="zh-CN"/>
              </w:rPr>
            </w:pPr>
            <w:r>
              <w:rPr>
                <w:rFonts w:hint="eastAsia"/>
                <w:color w:val="auto"/>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eastAsiaTheme="minorEastAsia"/>
                <w:color w:val="auto"/>
                <w:lang w:val="en-US" w:eastAsia="zh-CN"/>
              </w:rPr>
            </w:pPr>
            <w:r>
              <w:rPr>
                <w:rFonts w:hint="eastAsia"/>
                <w:color w:val="auto"/>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eastAsiaTheme="minorEastAsia"/>
                <w:color w:val="auto"/>
                <w:lang w:val="en-US" w:eastAsia="zh-CN"/>
              </w:rPr>
            </w:pPr>
            <w:r>
              <w:rPr>
                <w:rFonts w:hint="eastAsia"/>
                <w:color w:val="auto"/>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eastAsiaTheme="minorEastAsia"/>
                <w:color w:val="auto"/>
                <w:lang w:val="en-US" w:eastAsia="zh-CN"/>
              </w:rPr>
            </w:pPr>
            <w:r>
              <w:rPr>
                <w:rFonts w:hint="eastAsia"/>
                <w:color w:val="auto"/>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line="560" w:lineRule="exact"/>
              <w:ind w:right="0"/>
              <w:jc w:val="center"/>
              <w:textAlignment w:val="auto"/>
              <w:rPr>
                <w:rFonts w:hint="eastAsia" w:ascii="宋体" w:eastAsia="宋体"/>
                <w:color w:val="auto"/>
                <w:sz w:val="24"/>
                <w:szCs w:val="24"/>
                <w:lang w:val="en-US" w:eastAsia="zh-CN"/>
              </w:rPr>
            </w:pPr>
            <w:r>
              <w:rPr>
                <w:rFonts w:hint="eastAsia" w:ascii="宋体"/>
                <w:color w:val="auto"/>
                <w:sz w:val="24"/>
                <w:szCs w:val="24"/>
                <w:lang w:val="en-US" w:eastAsia="zh-CN"/>
              </w:rPr>
              <w:t>0</w:t>
            </w:r>
          </w:p>
        </w:tc>
      </w:tr>
    </w:tbl>
    <w:p>
      <w:pPr>
        <w:keepNext w:val="0"/>
        <w:keepLines w:val="0"/>
        <w:pageBreakBefore w:val="0"/>
        <w:widowControl/>
        <w:suppressLineNumbers w:val="0"/>
        <w:kinsoku/>
        <w:overflowPunct/>
        <w:topLinePunct w:val="0"/>
        <w:autoSpaceDE/>
        <w:autoSpaceDN/>
        <w:bidi w:val="0"/>
        <w:adjustRightInd/>
        <w:snapToGrid/>
        <w:spacing w:line="560" w:lineRule="exact"/>
        <w:ind w:right="0"/>
        <w:jc w:val="left"/>
        <w:textAlignment w:val="auto"/>
        <w:rPr>
          <w:color w:val="auto"/>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b w:val="0"/>
          <w:bCs w:val="0"/>
          <w:i w:val="0"/>
          <w:iCs w:val="0"/>
          <w:caps w:val="0"/>
          <w:color w:val="auto"/>
          <w:spacing w:val="0"/>
          <w:sz w:val="32"/>
          <w:szCs w:val="32"/>
          <w:shd w:val="clear" w:fill="FFFFFF"/>
        </w:rPr>
      </w:pPr>
      <w:r>
        <w:rPr>
          <w:rFonts w:hint="eastAsia" w:ascii="黑体" w:hAnsi="黑体" w:eastAsia="黑体" w:cs="黑体"/>
          <w:b w:val="0"/>
          <w:bCs w:val="0"/>
          <w:i w:val="0"/>
          <w:iCs w:val="0"/>
          <w:caps w:val="0"/>
          <w:color w:val="auto"/>
          <w:spacing w:val="0"/>
          <w:sz w:val="32"/>
          <w:szCs w:val="32"/>
          <w:shd w:val="clear" w:fill="FFFFFF"/>
        </w:rPr>
        <w:t>五、存在的主要问题及改进情况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楷体_GB2312" w:hAnsi="楷体_GB2312" w:eastAsia="楷体_GB2312" w:cs="楷体_GB2312"/>
          <w:b/>
          <w:bCs/>
          <w:i w:val="0"/>
          <w:iCs w:val="0"/>
          <w:caps w:val="0"/>
          <w:color w:val="auto"/>
          <w:spacing w:val="0"/>
          <w:sz w:val="32"/>
          <w:szCs w:val="32"/>
          <w:shd w:val="clear" w:color="auto" w:fill="FFFFFF"/>
          <w:lang w:val="en-US" w:eastAsia="zh-CN"/>
        </w:rPr>
      </w:pPr>
      <w:r>
        <w:rPr>
          <w:rFonts w:hint="eastAsia" w:ascii="楷体_GB2312" w:hAnsi="楷体_GB2312" w:eastAsia="楷体_GB2312" w:cs="楷体_GB2312"/>
          <w:b/>
          <w:bCs/>
          <w:i w:val="0"/>
          <w:iCs w:val="0"/>
          <w:caps w:val="0"/>
          <w:color w:val="auto"/>
          <w:spacing w:val="0"/>
          <w:sz w:val="32"/>
          <w:szCs w:val="32"/>
          <w:shd w:val="clear" w:color="auto" w:fill="FFFFFF"/>
          <w:lang w:val="en-US" w:eastAsia="zh-CN"/>
        </w:rPr>
        <w:t>（一）存在问题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rPr>
        <w:t>一是</w:t>
      </w:r>
      <w:r>
        <w:rPr>
          <w:rFonts w:hint="eastAsia" w:ascii="仿宋_GB2312" w:hAnsi="仿宋_GB2312" w:eastAsia="仿宋_GB2312" w:cs="仿宋_GB2312"/>
          <w:i w:val="0"/>
          <w:iCs w:val="0"/>
          <w:caps w:val="0"/>
          <w:color w:val="auto"/>
          <w:spacing w:val="0"/>
          <w:sz w:val="32"/>
          <w:szCs w:val="32"/>
          <w:shd w:val="clear" w:fill="FFFFFF"/>
          <w:lang w:val="en-US" w:eastAsia="zh-CN"/>
        </w:rPr>
        <w:t>政务信息公开的宣传和培训有待于进一步加强。需进一步提高工作人员信息公开的意识和水平，确保政务信息公开准确、及时、规范。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lang w:val="en-US" w:eastAsia="zh-CN"/>
        </w:rPr>
        <w:t>二是</w:t>
      </w:r>
      <w:r>
        <w:rPr>
          <w:rFonts w:hint="eastAsia" w:ascii="仿宋_GB2312" w:hAnsi="仿宋_GB2312" w:eastAsia="仿宋_GB2312" w:cs="仿宋_GB2312"/>
          <w:i w:val="0"/>
          <w:iCs w:val="0"/>
          <w:caps w:val="0"/>
          <w:color w:val="auto"/>
          <w:spacing w:val="0"/>
          <w:sz w:val="32"/>
          <w:szCs w:val="32"/>
          <w:shd w:val="clear" w:fill="FFFFFF"/>
        </w:rPr>
        <w:t>政策解读回应的深度和广度不足。形式较为单一，局限于图文解读，宣传力度有限。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楷体_GB2312" w:hAnsi="楷体_GB2312" w:eastAsia="楷体_GB2312" w:cs="楷体_GB2312"/>
          <w:b/>
          <w:bCs/>
          <w:i w:val="0"/>
          <w:iCs w:val="0"/>
          <w:caps w:val="0"/>
          <w:color w:val="auto"/>
          <w:spacing w:val="0"/>
          <w:sz w:val="32"/>
          <w:szCs w:val="32"/>
          <w:shd w:val="clear" w:color="auto" w:fill="FFFFFF"/>
          <w:lang w:val="en-US" w:eastAsia="zh-CN"/>
        </w:rPr>
      </w:pPr>
      <w:r>
        <w:rPr>
          <w:rFonts w:hint="eastAsia" w:ascii="楷体_GB2312" w:hAnsi="楷体_GB2312" w:eastAsia="楷体_GB2312" w:cs="楷体_GB2312"/>
          <w:b/>
          <w:bCs/>
          <w:i w:val="0"/>
          <w:iCs w:val="0"/>
          <w:caps w:val="0"/>
          <w:color w:val="auto"/>
          <w:spacing w:val="0"/>
          <w:sz w:val="32"/>
          <w:szCs w:val="32"/>
          <w:shd w:val="clear" w:color="auto" w:fill="FFFFFF"/>
          <w:lang w:val="en-US" w:eastAsia="zh-CN"/>
        </w:rPr>
        <w:t>（二）改进措施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一是进一步完加大网上公开力度。重点围绕科技创新政策及其他重点领域事项，加强和改进政策发布解读回应工作，尤其是要加强对政策背景、出台目的、重要举措等方面的实质性解读。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二是完善政务公开内部管理机制。加强制度规范建设，确保政府信息公开工作依法、有序进行。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三是加强人员培训。进一步组织学习《中华人民共和国政府信息公开条例》等各项公开制度和上级政务公开相关会议文件精神，提高政务公开人员素质，进一步提升信息发布的质量。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四是强化监督保障。进一步健全和完善政务公开制度，压紧压实各级责任，规范公开内容，加大信息发布审核力度，完善更加规范、更加透明、更加便民的高质量政务公开机制。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b w:val="0"/>
          <w:bCs w:val="0"/>
          <w:i w:val="0"/>
          <w:iCs w:val="0"/>
          <w:caps w:val="0"/>
          <w:color w:val="auto"/>
          <w:spacing w:val="0"/>
          <w:sz w:val="32"/>
          <w:szCs w:val="32"/>
          <w:shd w:val="clear" w:fill="FFFFFF"/>
        </w:rPr>
      </w:pPr>
      <w:r>
        <w:rPr>
          <w:rFonts w:hint="eastAsia" w:ascii="黑体" w:hAnsi="黑体" w:eastAsia="黑体" w:cs="黑体"/>
          <w:b w:val="0"/>
          <w:bCs w:val="0"/>
          <w:i w:val="0"/>
          <w:iCs w:val="0"/>
          <w:caps w:val="0"/>
          <w:color w:val="auto"/>
          <w:spacing w:val="0"/>
          <w:sz w:val="32"/>
          <w:szCs w:val="32"/>
          <w:shd w:val="clear" w:fill="FFFFFF"/>
        </w:rPr>
        <w:t>六、其他需要报告的事项</w:t>
      </w:r>
    </w:p>
    <w:p>
      <w:pPr>
        <w:keepNext w:val="0"/>
        <w:keepLines w:val="0"/>
        <w:pageBreakBefore w:val="0"/>
        <w:kinsoku/>
        <w:wordWrap/>
        <w:overflowPunct/>
        <w:topLinePunct w:val="0"/>
        <w:autoSpaceDE/>
        <w:autoSpaceDN/>
        <w:bidi w:val="0"/>
        <w:adjustRightInd/>
        <w:snapToGrid/>
        <w:spacing w:line="560" w:lineRule="exact"/>
        <w:ind w:right="0" w:firstLine="640" w:firstLineChars="200"/>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按照《国务院办公厅关于印发〈政府信息公开信息处理费管理办法〉的通知》(国办函〔2020〕109号）规定的按件、按量收费标准,本年度没有产生信息公开处理费。</w:t>
      </w:r>
      <w:bookmarkStart w:id="0" w:name="_GoBack"/>
      <w:bookmarkEnd w:id="0"/>
    </w:p>
    <w:p>
      <w:pPr>
        <w:keepNext w:val="0"/>
        <w:keepLines w:val="0"/>
        <w:pageBreakBefore w:val="0"/>
        <w:kinsoku/>
        <w:wordWrap/>
        <w:overflowPunct/>
        <w:topLinePunct w:val="0"/>
        <w:autoSpaceDE/>
        <w:autoSpaceDN/>
        <w:bidi w:val="0"/>
        <w:adjustRightInd/>
        <w:snapToGrid/>
        <w:spacing w:line="560" w:lineRule="exact"/>
        <w:ind w:right="0" w:firstLine="640" w:firstLineChars="200"/>
        <w:jc w:val="right"/>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p>
    <w:p>
      <w:pPr>
        <w:keepNext w:val="0"/>
        <w:keepLines w:val="0"/>
        <w:pageBreakBefore w:val="0"/>
        <w:kinsoku/>
        <w:wordWrap w:val="0"/>
        <w:overflowPunct/>
        <w:topLinePunct w:val="0"/>
        <w:autoSpaceDE/>
        <w:autoSpaceDN/>
        <w:bidi w:val="0"/>
        <w:adjustRightInd/>
        <w:snapToGrid/>
        <w:spacing w:line="560" w:lineRule="exact"/>
        <w:ind w:right="0" w:firstLine="640" w:firstLineChars="200"/>
        <w:jc w:val="right"/>
        <w:textAlignment w:val="auto"/>
        <w:rPr>
          <w:rFonts w:hint="default"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 xml:space="preserve">霍邱县科学技术局    </w:t>
      </w:r>
    </w:p>
    <w:p>
      <w:pPr>
        <w:keepNext w:val="0"/>
        <w:keepLines w:val="0"/>
        <w:pageBreakBefore w:val="0"/>
        <w:kinsoku/>
        <w:wordWrap w:val="0"/>
        <w:overflowPunct/>
        <w:topLinePunct w:val="0"/>
        <w:autoSpaceDE/>
        <w:autoSpaceDN/>
        <w:bidi w:val="0"/>
        <w:adjustRightInd/>
        <w:snapToGrid/>
        <w:spacing w:line="560" w:lineRule="exact"/>
        <w:ind w:right="0" w:firstLine="640" w:firstLineChars="200"/>
        <w:jc w:val="right"/>
        <w:textAlignment w:val="auto"/>
        <w:rPr>
          <w:rFonts w:hint="default"/>
          <w:lang w:val="en-US" w:eastAsia="zh-CN"/>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 xml:space="preserve">2023年1月17日    </w:t>
      </w:r>
    </w:p>
    <w:sectPr>
      <w:footerReference r:id="rId3" w:type="default"/>
      <w:pgSz w:w="11906" w:h="16838"/>
      <w:pgMar w:top="2211" w:right="1531" w:bottom="1871" w:left="1531"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-314325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4.75pt;height:144pt;width:144pt;mso-position-horizontal:outside;mso-position-horizontal-relative:margin;mso-wrap-style:none;z-index:251659264;mso-width-relative:page;mso-height-relative:page;" filled="f" stroked="f" coordsize="21600,21600" o:gfxdata="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OBiIJrWAAAACAEAAA8AAAAAAAAAAQAgAAAAIgAAAGRycy9kb3ducmV2LnhtbFBL&#10;AQIUABQAAAAIAIdO4kBrhfn7MQIAAGEEAAAOAAAAAAAAAAEAIAAAACUBAABkcnMvZTJvRG9jLnht&#10;bFBLBQYAAAAABgAGAFkBAADIBQAAAAA=&#10;">
              <v:fill on="f" focussize="0,0"/>
              <v:stroke on="f" weight="0.5pt"/>
              <v:imagedata o:title=""/>
              <o:lock v:ext="edit" aspectratio="f"/>
              <v:textbox inset="0mm,0mm,0mm,0mm" style="mso-fit-shape-to-text:t;">
                <w:txbxContent>
                  <w:p>
                    <w:pPr>
                      <w:pStyle w:val="3"/>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yNjJlYzQ4ODY0OTRlYzBkYzU3YmNhNDViN2JmMTAifQ=="/>
    <w:docVar w:name="KSO_WPS_MARK_KEY" w:val="e76d147c-f9be-4f1b-a66d-d88a398ceac8"/>
  </w:docVars>
  <w:rsids>
    <w:rsidRoot w:val="69AF3DFB"/>
    <w:rsid w:val="004E2611"/>
    <w:rsid w:val="0A16371D"/>
    <w:rsid w:val="111F003A"/>
    <w:rsid w:val="131B6CAF"/>
    <w:rsid w:val="24C71DB4"/>
    <w:rsid w:val="28173509"/>
    <w:rsid w:val="49C66341"/>
    <w:rsid w:val="56522FF4"/>
    <w:rsid w:val="64FA5203"/>
    <w:rsid w:val="69AF3DFB"/>
    <w:rsid w:val="6E735CAA"/>
    <w:rsid w:val="71156D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widowControl w:val="0"/>
      <w:autoSpaceDE/>
      <w:autoSpaceDN/>
      <w:spacing w:before="260" w:after="260" w:line="416" w:lineRule="auto"/>
      <w:ind w:left="0" w:firstLine="18"/>
      <w:jc w:val="both"/>
      <w:outlineLvl w:val="1"/>
    </w:pPr>
    <w:rPr>
      <w:rFonts w:ascii="Cambri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2545</Words>
  <Characters>2628</Characters>
  <Lines>0</Lines>
  <Paragraphs>0</Paragraphs>
  <TotalTime>39</TotalTime>
  <ScaleCrop>false</ScaleCrop>
  <LinksUpToDate>false</LinksUpToDate>
  <CharactersWithSpaces>2628</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2023-01-16T03:49:00Z</dcterms:created>
  <dc:creator>BYE xi  どうも </dc:creator>
  <cp:lastModifiedBy>BYE xi  どうも </cp:lastModifiedBy>
  <cp:lastPrinted>2023-01-18T14:50:00Z</cp:lastPrinted>
  <dcterms:modified xsi:type="dcterms:W3CDTF">2023-01-19T07:20:30Z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1F219BB8BF974893BEDB4845F3D07546</vt:lpwstr>
  </property>
</Properties>
</file>