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rPr>
      </w:pPr>
      <w:r>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t>霍邱县重点工程建设管理处2022年政府信息公开工作年度报告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ascii="仿宋_GB2312" w:hAnsi="微软雅黑" w:eastAsia="仿宋_GB2312" w:cs="仿宋_GB2312"/>
          <w:i w:val="0"/>
          <w:caps w:val="0"/>
          <w:color w:val="000000"/>
          <w:spacing w:val="0"/>
          <w:kern w:val="0"/>
          <w:sz w:val="32"/>
          <w:szCs w:val="32"/>
          <w:bdr w:val="none" w:color="auto" w:sz="0" w:space="0"/>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4"/>
          <w:szCs w:val="24"/>
        </w:rPr>
      </w:pPr>
      <w:r>
        <w:rPr>
          <w:rFonts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根据《国务院办公厅政府信息与政务办公室关于印发&lt;中华人民共和国政府信息公开工作年度报告格式&gt;的通知》（国办公开办函</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〔2021〕</w:t>
      </w:r>
      <w:r>
        <w:rPr>
          <w:rFonts w:hint="default" w:ascii="Times New Roman" w:hAnsi="Times New Roman" w:eastAsia="仿宋_GB2312" w:cs="Times New Roman"/>
          <w:i w:val="0"/>
          <w:caps w:val="0"/>
          <w:color w:val="000000"/>
          <w:spacing w:val="0"/>
          <w:kern w:val="0"/>
          <w:sz w:val="32"/>
          <w:szCs w:val="32"/>
          <w:bdr w:val="none" w:color="auto" w:sz="0" w:space="0"/>
          <w:shd w:val="clear" w:fill="FFFFFF"/>
          <w:lang w:val="en-US" w:eastAsia="zh-CN" w:bidi="ar"/>
        </w:rPr>
        <w:t>30</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号）、《霍邱县人民政府办公室关于做好2022年度政府信息公开年度报告编制和发布工作的通知》（霍政办秘〔</w:t>
      </w:r>
      <w:r>
        <w:rPr>
          <w:rFonts w:hint="default" w:ascii="Times New Roman" w:hAnsi="Times New Roman" w:eastAsia="仿宋_GB2312" w:cs="Times New Roman"/>
          <w:i w:val="0"/>
          <w:caps w:val="0"/>
          <w:color w:val="000000"/>
          <w:spacing w:val="0"/>
          <w:kern w:val="0"/>
          <w:sz w:val="32"/>
          <w:szCs w:val="32"/>
          <w:bdr w:val="none" w:color="auto" w:sz="0" w:space="0"/>
          <w:shd w:val="clear" w:fill="FFFFFF"/>
          <w:lang w:val="en-US" w:eastAsia="zh-CN" w:bidi="ar"/>
        </w:rPr>
        <w:t>2023</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仿宋_GB2312" w:cs="Times New Roman"/>
          <w:i w:val="0"/>
          <w:caps w:val="0"/>
          <w:color w:val="000000"/>
          <w:spacing w:val="0"/>
          <w:kern w:val="0"/>
          <w:sz w:val="32"/>
          <w:szCs w:val="32"/>
          <w:bdr w:val="none" w:color="auto" w:sz="0" w:space="0"/>
          <w:shd w:val="clear" w:fill="FFFFFF"/>
          <w:lang w:val="en-US" w:eastAsia="zh-CN" w:bidi="ar"/>
        </w:rPr>
        <w:t>2</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号），结合上级有关文件精神等要求，编制</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202</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2年度霍邱县重点工程建设管理处信息公开年度报告。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报告主要包括：报告全文包括总体情况（文字表述）、主动公开政府信息情况（表格）、收到和处理政府信息公开申请情况（表格）、政府信息公开行政复议和行政诉讼情况（表格）、存在的主要问题及改进情况（文字表述）、其他需要报告的事项。本报告中使用数据统计期限为2022年</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1</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月</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1</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日至</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12</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月</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31</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日，本年度报告电子版可在霍邱县重点处信息公开平台下载。如对本报告有任何疑问，请与重点处办公室信息公开办联系。（地址：住建局办公楼</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508</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，电话：</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0564-6099668</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，邮编：</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237400。</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4"/>
          <w:szCs w:val="24"/>
        </w:rPr>
      </w:pPr>
      <w:r>
        <w:rPr>
          <w:rFonts w:ascii="黑体" w:hAnsi="宋体" w:eastAsia="黑体" w:cs="黑体"/>
          <w:b/>
          <w:i w:val="0"/>
          <w:caps w:val="0"/>
          <w:color w:val="000000"/>
          <w:spacing w:val="0"/>
          <w:kern w:val="0"/>
          <w:sz w:val="32"/>
          <w:szCs w:val="32"/>
          <w:bdr w:val="none" w:color="auto" w:sz="0" w:space="0"/>
          <w:shd w:val="clear" w:fill="FFFFFF"/>
          <w:lang w:val="en-US" w:eastAsia="zh-CN" w:bidi="ar"/>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2022年，霍邱县重点工程建设管理处在县政府信息公开办公室的精心指导下，认真贯彻落实《中华人民共和国政府信息公开条例》等文件精神，积极开展政府信息公开工作，现将2022年政府信息公开工作情况报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一）主动公开情况。2022年我处通过霍邱县重点工程建设管理处政府门户网站主动进行信息公开。围绕单位业务中心工作，聚焦重点工程项目建设，主动公开项目建设进度、疫情防控、安全生产、农民工工资等领域信息。强化重点领域公开，对单位一级栏目—工程建设项目招标投标，按季度公开</w:t>
      </w:r>
      <w:r>
        <w:rPr>
          <w:rFonts w:hint="eastAsia" w:ascii="仿宋_GB2312" w:hAnsi="微软雅黑" w:eastAsia="仿宋_GB2312" w:cs="仿宋_GB2312"/>
          <w:i w:val="0"/>
          <w:caps w:val="0"/>
          <w:color w:val="333333"/>
          <w:spacing w:val="0"/>
          <w:kern w:val="0"/>
          <w:sz w:val="32"/>
          <w:szCs w:val="32"/>
          <w:bdr w:val="none" w:color="auto" w:sz="0" w:space="0"/>
          <w:shd w:val="clear" w:fill="FFFFFF"/>
          <w:lang w:val="en-US" w:eastAsia="zh-CN" w:bidi="ar"/>
        </w:rPr>
        <w:t>重点工程项目实施过程中合同履约情况。做好重大建设项目批准与实施政府信息公开发布工作，收集整理涉及我处重点项目实施过程中的各信息，及时主动做好信息发布，积极回应社会关心关切。</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2022年</w:t>
      </w:r>
      <w:r>
        <w:rPr>
          <w:rFonts w:hint="default" w:ascii="Times New Roman" w:hAnsi="Times New Roman" w:eastAsia="仿宋_GB2312" w:cs="Times New Roman"/>
          <w:i w:val="0"/>
          <w:caps w:val="0"/>
          <w:color w:val="000000"/>
          <w:spacing w:val="0"/>
          <w:kern w:val="0"/>
          <w:sz w:val="32"/>
          <w:szCs w:val="32"/>
          <w:bdr w:val="none" w:color="auto" w:sz="0" w:space="0"/>
          <w:shd w:val="clear" w:fill="FFFFFF"/>
          <w:lang w:val="en-US" w:eastAsia="zh-CN" w:bidi="ar"/>
        </w:rPr>
        <w:t>1</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000000"/>
          <w:spacing w:val="0"/>
          <w:kern w:val="0"/>
          <w:sz w:val="32"/>
          <w:szCs w:val="32"/>
          <w:bdr w:val="none" w:color="auto" w:sz="0" w:space="0"/>
          <w:shd w:val="clear" w:fill="FFFFFF"/>
          <w:lang w:val="en-US" w:eastAsia="zh-CN" w:bidi="ar"/>
        </w:rPr>
        <w:t>1</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日至</w:t>
      </w:r>
      <w:r>
        <w:rPr>
          <w:rFonts w:hint="default" w:ascii="Times New Roman" w:hAnsi="Times New Roman" w:eastAsia="仿宋_GB2312" w:cs="Times New Roman"/>
          <w:i w:val="0"/>
          <w:caps w:val="0"/>
          <w:color w:val="000000"/>
          <w:spacing w:val="0"/>
          <w:kern w:val="0"/>
          <w:sz w:val="32"/>
          <w:szCs w:val="32"/>
          <w:bdr w:val="none" w:color="auto" w:sz="0" w:space="0"/>
          <w:shd w:val="clear" w:fill="FFFFFF"/>
          <w:lang w:val="en-US" w:eastAsia="zh-CN" w:bidi="ar"/>
        </w:rPr>
        <w:t>2022</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caps w:val="0"/>
          <w:color w:val="000000"/>
          <w:spacing w:val="0"/>
          <w:kern w:val="0"/>
          <w:sz w:val="32"/>
          <w:szCs w:val="32"/>
          <w:bdr w:val="none" w:color="auto" w:sz="0" w:space="0"/>
          <w:shd w:val="clear" w:fill="FFFFFF"/>
          <w:lang w:val="en-US" w:eastAsia="zh-CN" w:bidi="ar"/>
        </w:rPr>
        <w:t>12</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000000"/>
          <w:spacing w:val="0"/>
          <w:kern w:val="0"/>
          <w:sz w:val="32"/>
          <w:szCs w:val="32"/>
          <w:bdr w:val="none" w:color="auto" w:sz="0" w:space="0"/>
          <w:shd w:val="clear" w:fill="FFFFFF"/>
          <w:lang w:val="en-US" w:eastAsia="zh-CN" w:bidi="ar"/>
        </w:rPr>
        <w:t>31</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日期间共公开</w:t>
      </w:r>
      <w:r>
        <w:rPr>
          <w:rFonts w:hint="default" w:ascii="Times New Roman" w:hAnsi="Times New Roman" w:eastAsia="仿宋_GB2312" w:cs="Times New Roman"/>
          <w:i w:val="0"/>
          <w:caps w:val="0"/>
          <w:color w:val="000000"/>
          <w:spacing w:val="0"/>
          <w:kern w:val="0"/>
          <w:sz w:val="32"/>
          <w:szCs w:val="32"/>
          <w:bdr w:val="none" w:color="auto" w:sz="0" w:space="0"/>
          <w:shd w:val="clear" w:fill="FFFFFF"/>
          <w:lang w:val="en-US" w:eastAsia="zh-CN" w:bidi="ar"/>
        </w:rPr>
        <w:t>122</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条各类信息。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（二）依申请公开。我处2022年度未收到公众、法人或其他组织等要求公开信息的申请。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（三）政府信息管理。一是保证信息公开实效性。提升政府信息公开质量。全年废止的规范性文件0件，失效的规范性文件</w:t>
      </w:r>
      <w:r>
        <w:rPr>
          <w:rFonts w:hint="default" w:ascii="Times New Roman" w:hAnsi="Times New Roman" w:eastAsia="仿宋_GB2312" w:cs="Times New Roman"/>
          <w:i w:val="0"/>
          <w:caps w:val="0"/>
          <w:color w:val="000000"/>
          <w:spacing w:val="0"/>
          <w:kern w:val="0"/>
          <w:sz w:val="32"/>
          <w:szCs w:val="32"/>
          <w:bdr w:val="none" w:color="auto" w:sz="0" w:space="0"/>
          <w:shd w:val="clear" w:fill="FFFFFF"/>
          <w:lang w:val="en-US" w:eastAsia="zh-CN" w:bidi="ar"/>
        </w:rPr>
        <w:t>0</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件，继续有效（建议修改）的规范性文件</w:t>
      </w:r>
      <w:r>
        <w:rPr>
          <w:rFonts w:hint="default" w:ascii="Times New Roman" w:hAnsi="Times New Roman" w:eastAsia="仿宋_GB2312" w:cs="Times New Roman"/>
          <w:i w:val="0"/>
          <w:caps w:val="0"/>
          <w:color w:val="000000"/>
          <w:spacing w:val="0"/>
          <w:kern w:val="0"/>
          <w:sz w:val="32"/>
          <w:szCs w:val="32"/>
          <w:bdr w:val="none" w:color="auto" w:sz="0" w:space="0"/>
          <w:shd w:val="clear" w:fill="FFFFFF"/>
          <w:lang w:val="en-US" w:eastAsia="zh-CN" w:bidi="ar"/>
        </w:rPr>
        <w:t>0</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件。二是完善工作机制。严格落实信息公开“三审”制度，积极做好错敏信息整改，主动排查隐私泄露问题并及时整改，确保内容准确、表述规范，可公开，做到全程留痕、有据可查。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四）平台建设情况。在原有《政府信息主动公开基本目录》基础上，对照梳理编制的政府信息公开事项标准目录，认真编制调整、规范完善主动公开基本目录。加强与公众交流互动，定期开展平台维护、更新，配合做好上级安全评估和审查。积极参加市局、县政府办、公开办等部门召开的专题培训会，使广大干部群众更多地了解霍邱县重点工程项目建设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五）监督保障。加强信息发布审核把关，确保把行政审批环节做扎实。创新工作机制，将政府信息公开问题清单整改落实情况上传至“监督保障”栏目。认真听取社会各界的意见和建议，方便人民群众监督，及时进行调整改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4"/>
          <w:szCs w:val="24"/>
        </w:rPr>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二、主动公开政府信息情况</w:t>
      </w:r>
    </w:p>
    <w:tbl>
      <w:tblPr>
        <w:tblW w:w="9740" w:type="dxa"/>
        <w:jc w:val="center"/>
        <w:tblInd w:w="-660" w:type="dxa"/>
        <w:shd w:val="clear"/>
        <w:tblLayout w:type="fixed"/>
        <w:tblCellMar>
          <w:top w:w="15" w:type="dxa"/>
          <w:left w:w="15" w:type="dxa"/>
          <w:bottom w:w="15" w:type="dxa"/>
          <w:right w:w="15" w:type="dxa"/>
        </w:tblCellMar>
      </w:tblPr>
      <w:tblGrid>
        <w:gridCol w:w="2435"/>
        <w:gridCol w:w="2435"/>
        <w:gridCol w:w="2435"/>
        <w:gridCol w:w="2435"/>
      </w:tblGrid>
      <w:tr>
        <w:tblPrEx>
          <w:tblLayout w:type="fixed"/>
        </w:tblPrEx>
        <w:trPr>
          <w:trHeight w:val="33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第二十条第（一）项</w:t>
            </w:r>
          </w:p>
        </w:tc>
      </w:tr>
      <w:tr>
        <w:tblPrEx>
          <w:tblLayout w:type="fixed"/>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w:t>
            </w:r>
            <w:r>
              <w:rPr>
                <w:rFonts w:hint="eastAsia" w:ascii="宋体" w:hAnsi="宋体" w:eastAsia="宋体" w:cs="宋体"/>
                <w:kern w:val="0"/>
                <w:sz w:val="20"/>
                <w:szCs w:val="20"/>
                <w:bdr w:val="none" w:color="auto" w:sz="0" w:space="0"/>
                <w:lang w:val="en-US" w:eastAsia="zh-CN" w:bidi="ar"/>
              </w:rPr>
              <w:t>制发件数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现行有效件</w:t>
            </w:r>
            <w:r>
              <w:rPr>
                <w:rFonts w:hint="eastAsia" w:ascii="宋体" w:hAnsi="宋体" w:eastAsia="宋体" w:cs="宋体"/>
                <w:kern w:val="0"/>
                <w:sz w:val="20"/>
                <w:szCs w:val="20"/>
                <w:bdr w:val="none" w:color="auto" w:sz="0" w:space="0"/>
                <w:lang w:val="en-US" w:eastAsia="zh-CN" w:bidi="ar"/>
              </w:rPr>
              <w:t>数</w:t>
            </w:r>
          </w:p>
        </w:tc>
      </w:tr>
      <w:tr>
        <w:tblPrEx>
          <w:tblLayout w:type="fixed"/>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规章</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  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0 　</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  0 </w:t>
            </w:r>
          </w:p>
        </w:tc>
      </w:tr>
      <w:tr>
        <w:tblPrEx>
          <w:tblLayout w:type="fixed"/>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行政规范性文件</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　0　</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0 　</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0</w:t>
            </w:r>
          </w:p>
        </w:tc>
      </w:tr>
      <w:tr>
        <w:tblPrEx>
          <w:tblLayout w:type="fixed"/>
        </w:tblPrEx>
        <w:trPr>
          <w:trHeight w:val="33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第二十条第（五）项</w:t>
            </w:r>
          </w:p>
        </w:tc>
      </w:tr>
      <w:tr>
        <w:tblPrEx>
          <w:tblLayout w:type="fixed"/>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本年处理决定数量</w:t>
            </w:r>
          </w:p>
        </w:tc>
      </w:tr>
      <w:tr>
        <w:tblPrEx>
          <w:tblLayout w:type="fixed"/>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行政许可</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1"/>
                <w:szCs w:val="21"/>
                <w:bdr w:val="none" w:color="auto" w:sz="0" w:space="0"/>
                <w:lang w:val="en-US" w:eastAsia="zh-CN" w:bidi="ar"/>
              </w:rPr>
              <w:t>0</w:t>
            </w:r>
          </w:p>
        </w:tc>
      </w:tr>
      <w:tr>
        <w:tblPrEx>
          <w:tblLayout w:type="fixed"/>
        </w:tblPrEx>
        <w:trPr>
          <w:trHeight w:val="33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第二十条第（六）项</w:t>
            </w:r>
          </w:p>
        </w:tc>
      </w:tr>
      <w:tr>
        <w:tblPrEx>
          <w:tblLayout w:type="fixed"/>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本年处理决定数量</w:t>
            </w:r>
          </w:p>
        </w:tc>
      </w:tr>
      <w:tr>
        <w:tblPrEx>
          <w:tblLayout w:type="fixed"/>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行政处罚</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　0</w:t>
            </w:r>
          </w:p>
        </w:tc>
      </w:tr>
      <w:tr>
        <w:tblPrEx>
          <w:tblLayout w:type="fixed"/>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行政强制</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　0</w:t>
            </w:r>
          </w:p>
        </w:tc>
      </w:tr>
      <w:tr>
        <w:tblPrEx>
          <w:tblLayout w:type="fixed"/>
        </w:tblPrEx>
        <w:trPr>
          <w:trHeight w:val="33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第二十条第（八）项</w:t>
            </w:r>
          </w:p>
        </w:tc>
      </w:tr>
      <w:tr>
        <w:tblPrEx>
          <w:tblLayout w:type="fixed"/>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本年收费金额（单位：万元）</w:t>
            </w:r>
          </w:p>
        </w:tc>
      </w:tr>
      <w:tr>
        <w:tblPrEx>
          <w:tblLayout w:type="fixed"/>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bdr w:val="none" w:color="auto" w:sz="0" w:space="0"/>
                <w:lang w:val="en-US" w:eastAsia="zh-CN" w:bidi="ar"/>
              </w:rPr>
              <w:t>行政事业性收费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4"/>
                <w:szCs w:val="24"/>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4"/>
          <w:szCs w:val="24"/>
        </w:rPr>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三、收到和处理政府信息公开申请情况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tbl>
      <w:tblPr>
        <w:tblW w:w="9745" w:type="dxa"/>
        <w:jc w:val="center"/>
        <w:tblInd w:w="-61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767"/>
        <w:gridCol w:w="943"/>
        <w:gridCol w:w="3219"/>
        <w:gridCol w:w="688"/>
        <w:gridCol w:w="688"/>
        <w:gridCol w:w="688"/>
        <w:gridCol w:w="688"/>
        <w:gridCol w:w="688"/>
        <w:gridCol w:w="688"/>
        <w:gridCol w:w="688"/>
      </w:tblGrid>
      <w:tr>
        <w:tblPrEx>
          <w:tblLayout w:type="fixed"/>
        </w:tblPrEx>
        <w:trPr>
          <w:trHeight w:val="330" w:hRule="atLeast"/>
          <w:jc w:val="center"/>
        </w:trPr>
        <w:tc>
          <w:tcPr>
            <w:tcW w:w="4929" w:type="dxa"/>
            <w:gridSpan w:val="3"/>
            <w:vMerge w:val="restart"/>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bdr w:val="none" w:color="auto" w:sz="0" w:space="0"/>
                <w:lang w:val="en-US" w:eastAsia="zh-CN" w:bidi="ar"/>
              </w:rPr>
              <w:t>（本列数据的勾稽关系为：第一项加第二项之和，等于第三项加第四项之和）</w:t>
            </w:r>
          </w:p>
        </w:tc>
        <w:tc>
          <w:tcPr>
            <w:tcW w:w="4816" w:type="dxa"/>
            <w:gridSpan w:val="7"/>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申请人情况</w:t>
            </w:r>
          </w:p>
        </w:tc>
      </w:tr>
      <w:tr>
        <w:tblPrEx>
          <w:tblLayout w:type="fixed"/>
        </w:tblPrEx>
        <w:trPr>
          <w:trHeight w:val="330" w:hRule="atLeast"/>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88" w:type="dxa"/>
            <w:vMerge w:val="restar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自然人</w:t>
            </w:r>
          </w:p>
        </w:tc>
        <w:tc>
          <w:tcPr>
            <w:tcW w:w="344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法人或其他组织</w:t>
            </w:r>
          </w:p>
        </w:tc>
        <w:tc>
          <w:tcPr>
            <w:tcW w:w="688" w:type="dxa"/>
            <w:vMerge w:val="restart"/>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总计</w:t>
            </w:r>
          </w:p>
        </w:tc>
      </w:tr>
      <w:tr>
        <w:tblPrEx>
          <w:tblLayout w:type="fixed"/>
        </w:tblPrEx>
        <w:trPr>
          <w:trHeight w:val="330" w:hRule="atLeast"/>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88" w:type="dxa"/>
            <w:vMerge w:val="continue"/>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68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企业</w:t>
            </w:r>
          </w:p>
        </w:tc>
        <w:tc>
          <w:tcPr>
            <w:tcW w:w="68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机构</w:t>
            </w:r>
          </w:p>
        </w:tc>
        <w:tc>
          <w:tcPr>
            <w:tcW w:w="68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社会公益组织</w:t>
            </w:r>
          </w:p>
        </w:tc>
        <w:tc>
          <w:tcPr>
            <w:tcW w:w="68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法律服务机构</w:t>
            </w:r>
          </w:p>
        </w:tc>
        <w:tc>
          <w:tcPr>
            <w:tcW w:w="68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其他</w:t>
            </w:r>
          </w:p>
        </w:tc>
        <w:tc>
          <w:tcPr>
            <w:tcW w:w="688" w:type="dxa"/>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PrEx>
        <w:trPr>
          <w:trHeight w:val="330" w:hRule="atLeast"/>
          <w:jc w:val="center"/>
        </w:trPr>
        <w:tc>
          <w:tcPr>
            <w:tcW w:w="4929"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r>
              <w:rPr>
                <w:rFonts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r>
      <w:tr>
        <w:tblPrEx>
          <w:tblLayout w:type="fixed"/>
        </w:tblPrEx>
        <w:trPr>
          <w:trHeight w:val="330" w:hRule="atLeast"/>
          <w:jc w:val="center"/>
        </w:trPr>
        <w:tc>
          <w:tcPr>
            <w:tcW w:w="4929"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eastAsia" w:ascii="仿宋_GB2312" w:eastAsia="仿宋_GB2312" w:cs="仿宋_GB2312" w:hAnsiTheme="minorHAnsi"/>
                <w:kern w:val="0"/>
                <w:sz w:val="20"/>
                <w:szCs w:val="20"/>
                <w:bdr w:val="none" w:color="auto" w:sz="0" w:space="0"/>
                <w:lang w:val="en-US" w:eastAsia="zh-CN" w:bidi="ar"/>
              </w:rPr>
              <w:t>0</w:t>
            </w:r>
          </w:p>
        </w:tc>
      </w:tr>
      <w:tr>
        <w:tblPrEx>
          <w:tblLayout w:type="fixed"/>
        </w:tblPrEx>
        <w:trPr>
          <w:trHeight w:val="330" w:hRule="atLeast"/>
          <w:jc w:val="center"/>
        </w:trPr>
        <w:tc>
          <w:tcPr>
            <w:tcW w:w="767"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三、本年度办理结果</w:t>
            </w:r>
          </w:p>
        </w:tc>
        <w:tc>
          <w:tcPr>
            <w:tcW w:w="4162" w:type="dxa"/>
            <w:gridSpan w:val="2"/>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（一）予以公开</w:t>
            </w:r>
          </w:p>
        </w:tc>
        <w:tc>
          <w:tcPr>
            <w:tcW w:w="688" w:type="dxa"/>
            <w:tcBorders>
              <w:top w:val="single" w:color="auto" w:sz="8" w:space="0"/>
              <w:left w:val="double" w:color="auto" w:sz="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double" w:color="auto" w:sz="2"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eastAsia" w:ascii="仿宋_GB2312" w:eastAsia="仿宋_GB2312" w:cs="仿宋_GB2312" w:hAnsiTheme="minorHAnsi"/>
                <w:kern w:val="0"/>
                <w:sz w:val="20"/>
                <w:szCs w:val="20"/>
                <w:bdr w:val="none" w:color="auto" w:sz="0" w:space="0"/>
                <w:lang w:val="en-US" w:eastAsia="zh-CN" w:bidi="ar"/>
              </w:rPr>
              <w:t>0</w:t>
            </w:r>
          </w:p>
        </w:tc>
      </w:tr>
      <w:tr>
        <w:tblPrEx>
          <w:tblLayout w:type="fixed"/>
        </w:tblPrEx>
        <w:trPr>
          <w:trHeight w:val="330"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4162" w:type="dxa"/>
            <w:gridSpan w:val="2"/>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（二）部分公开</w:t>
            </w:r>
            <w:r>
              <w:rPr>
                <w:rFonts w:hint="eastAsia" w:ascii="楷体" w:hAnsi="楷体" w:eastAsia="楷体" w:cs="楷体"/>
                <w:kern w:val="0"/>
                <w:sz w:val="20"/>
                <w:szCs w:val="20"/>
                <w:bdr w:val="none" w:color="auto" w:sz="0" w:space="0"/>
                <w:lang w:val="en-US" w:eastAsia="zh-CN" w:bidi="ar"/>
              </w:rPr>
              <w:t>（区分处理的，只计这一情形，不计其他情形）</w:t>
            </w:r>
          </w:p>
        </w:tc>
        <w:tc>
          <w:tcPr>
            <w:tcW w:w="688" w:type="dxa"/>
            <w:tcBorders>
              <w:top w:val="single" w:color="auto" w:sz="8" w:space="0"/>
              <w:left w:val="double" w:color="auto" w:sz="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double" w:color="auto" w:sz="2"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eastAsia" w:ascii="仿宋_GB2312" w:eastAsia="仿宋_GB2312" w:cs="仿宋_GB2312" w:hAnsiTheme="minorHAnsi"/>
                <w:kern w:val="0"/>
                <w:sz w:val="20"/>
                <w:szCs w:val="20"/>
                <w:bdr w:val="none" w:color="auto" w:sz="0" w:space="0"/>
                <w:lang w:val="en-US" w:eastAsia="zh-CN" w:bidi="ar"/>
              </w:rPr>
              <w:t>0</w:t>
            </w:r>
          </w:p>
        </w:tc>
      </w:tr>
      <w:tr>
        <w:tblPrEx>
          <w:tblLayout w:type="fixed"/>
        </w:tblPrEx>
        <w:trPr>
          <w:trHeight w:val="330"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（三）不予公开</w:t>
            </w: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1.属于国家秘密</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eastAsia" w:ascii="仿宋_GB2312" w:eastAsia="仿宋_GB2312" w:cs="仿宋_GB2312" w:hAnsiTheme="minorHAnsi"/>
                <w:kern w:val="0"/>
                <w:sz w:val="20"/>
                <w:szCs w:val="20"/>
                <w:bdr w:val="none" w:color="auto" w:sz="0" w:space="0"/>
                <w:lang w:val="en-US" w:eastAsia="zh-CN" w:bidi="ar"/>
              </w:rPr>
              <w:t>0</w:t>
            </w:r>
          </w:p>
        </w:tc>
      </w:tr>
      <w:tr>
        <w:tblPrEx>
          <w:tblLayout w:type="fixed"/>
        </w:tblPrEx>
        <w:trPr>
          <w:trHeight w:val="330"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2.其他法律行政法规禁止公开</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eastAsia" w:ascii="仿宋_GB2312" w:eastAsia="仿宋_GB2312" w:cs="仿宋_GB2312" w:hAnsiTheme="minorHAnsi"/>
                <w:kern w:val="0"/>
                <w:sz w:val="20"/>
                <w:szCs w:val="20"/>
                <w:bdr w:val="none" w:color="auto" w:sz="0" w:space="0"/>
                <w:lang w:val="en-US" w:eastAsia="zh-CN" w:bidi="ar"/>
              </w:rPr>
              <w:t>0</w:t>
            </w:r>
          </w:p>
        </w:tc>
      </w:tr>
      <w:tr>
        <w:tblPrEx>
          <w:tblLayout w:type="fixed"/>
        </w:tblPrEx>
        <w:trPr>
          <w:trHeight w:val="330"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3.危及“三安全一稳定”</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eastAsia" w:ascii="仿宋_GB2312" w:eastAsia="仿宋_GB2312" w:cs="仿宋_GB2312" w:hAnsiTheme="minorHAnsi"/>
                <w:kern w:val="0"/>
                <w:sz w:val="20"/>
                <w:szCs w:val="20"/>
                <w:bdr w:val="none" w:color="auto" w:sz="0" w:space="0"/>
                <w:lang w:val="en-US" w:eastAsia="zh-CN" w:bidi="ar"/>
              </w:rPr>
              <w:t>0</w:t>
            </w:r>
          </w:p>
        </w:tc>
      </w:tr>
      <w:tr>
        <w:tblPrEx>
          <w:tblLayout w:type="fixed"/>
        </w:tblPrEx>
        <w:trPr>
          <w:trHeight w:val="330"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4.保护第三方合法权益</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r>
              <w:rPr>
                <w:rFonts w:hint="default" w:ascii="Calibri" w:hAnsi="Calibri" w:cs="Calibri" w:eastAsiaTheme="minorEastAsia"/>
                <w:kern w:val="0"/>
                <w:sz w:val="20"/>
                <w:szCs w:val="20"/>
                <w:bdr w:val="none" w:color="auto" w:sz="0" w:space="0"/>
                <w:lang w:val="en-US" w:eastAsia="zh-CN" w:bidi="ar"/>
              </w:rPr>
              <w:t> </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eastAsia" w:ascii="仿宋_GB2312" w:eastAsia="仿宋_GB2312" w:cs="仿宋_GB2312" w:hAnsiTheme="minorHAnsi"/>
                <w:kern w:val="0"/>
                <w:sz w:val="20"/>
                <w:szCs w:val="20"/>
                <w:bdr w:val="none" w:color="auto" w:sz="0" w:space="0"/>
                <w:lang w:val="en-US" w:eastAsia="zh-CN" w:bidi="ar"/>
              </w:rPr>
              <w:t>0</w:t>
            </w:r>
          </w:p>
        </w:tc>
      </w:tr>
      <w:tr>
        <w:tblPrEx>
          <w:tblLayout w:type="fixed"/>
        </w:tblPrEx>
        <w:trPr>
          <w:trHeight w:val="330"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5.属于三类内部事务信息</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r>
      <w:tr>
        <w:tblPrEx>
          <w:tblLayout w:type="fixed"/>
        </w:tblPrEx>
        <w:trPr>
          <w:trHeight w:val="330"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6.属于四类过程性信息</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r>
      <w:tr>
        <w:tblPrEx>
          <w:tblLayout w:type="fixed"/>
        </w:tblPrEx>
        <w:trPr>
          <w:trHeight w:val="330"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7.属于行政执法案卷</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r>
      <w:tr>
        <w:tblPrEx>
          <w:tblLayout w:type="fixed"/>
        </w:tblPrEx>
        <w:trPr>
          <w:trHeight w:val="330"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8.属于行政查询事项</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r>
      <w:tr>
        <w:tblPrEx>
          <w:tblLayout w:type="fixed"/>
        </w:tblPrEx>
        <w:trPr>
          <w:trHeight w:val="330"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（四）无法提供</w:t>
            </w: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1.本机关不掌握相关政府信息</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r>
      <w:tr>
        <w:tblPrEx>
          <w:tblLayout w:type="fixed"/>
        </w:tblPrEx>
        <w:trPr>
          <w:trHeight w:val="330"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2.没有现成信息需要另行制作</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r>
      <w:tr>
        <w:tblPrEx>
          <w:tblLayout w:type="fixed"/>
        </w:tblPrEx>
        <w:trPr>
          <w:trHeight w:val="330"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3.补正后申请内容仍不明确</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r>
      <w:tr>
        <w:tblPrEx>
          <w:tblLayout w:type="fixed"/>
        </w:tblPrEx>
        <w:trPr>
          <w:trHeight w:val="330"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（五）不予处理</w:t>
            </w: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1.信访举报投诉类申请</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r>
      <w:tr>
        <w:tblPrEx>
          <w:tblLayout w:type="fixed"/>
        </w:tblPrEx>
        <w:trPr>
          <w:trHeight w:val="330"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2.重复申请</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eastAsia" w:ascii="仿宋_GB2312" w:eastAsia="仿宋_GB2312" w:cs="仿宋_GB2312" w:hAnsiTheme="minorHAnsi"/>
                <w:kern w:val="0"/>
                <w:sz w:val="20"/>
                <w:szCs w:val="20"/>
                <w:bdr w:val="none" w:color="auto" w:sz="0" w:space="0"/>
                <w:lang w:val="en-US" w:eastAsia="zh-CN" w:bidi="ar"/>
              </w:rPr>
              <w:t>0</w:t>
            </w:r>
          </w:p>
        </w:tc>
      </w:tr>
      <w:tr>
        <w:tblPrEx>
          <w:tblLayout w:type="fixed"/>
        </w:tblPrEx>
        <w:trPr>
          <w:trHeight w:val="330"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3.要求提供公开出版物</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r>
      <w:tr>
        <w:tblPrEx>
          <w:tblLayout w:type="fixed"/>
        </w:tblPrEx>
        <w:trPr>
          <w:trHeight w:val="330"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4.无正当理由大量反复申请</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r>
      <w:tr>
        <w:tblPrEx>
          <w:tblLayout w:type="fixed"/>
        </w:tblPrEx>
        <w:trPr>
          <w:trHeight w:val="330"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5.要求行政机关确认或重新出具已获取信息</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r>
      <w:tr>
        <w:tblPrEx>
          <w:tblLayout w:type="fixed"/>
        </w:tblPrEx>
        <w:trPr>
          <w:trHeight w:val="330"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（六）其他处理</w:t>
            </w: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1.申请人无正当理由逾期不补正、行政机关不再处理其政府信息公开申请</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r>
      <w:tr>
        <w:tblPrEx>
          <w:tblLayout w:type="fixed"/>
        </w:tblPrEx>
        <w:trPr>
          <w:trHeight w:val="330"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2.申请人逾期未按收费通知要求缴纳费用、行政机关不再处理其政府信息公开申请</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r>
      <w:tr>
        <w:tblPrEx>
          <w:tblLayout w:type="fixed"/>
        </w:tblPrEx>
        <w:trPr>
          <w:trHeight w:val="330"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3.其他</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r>
      <w:tr>
        <w:tblPrEx>
          <w:tblLayout w:type="fixed"/>
        </w:tblPrEx>
        <w:trPr>
          <w:trHeight w:val="330" w:hRule="atLeast"/>
          <w:jc w:val="center"/>
        </w:trPr>
        <w:tc>
          <w:tcPr>
            <w:tcW w:w="767"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4162" w:type="dxa"/>
            <w:gridSpan w:val="2"/>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（七）总计</w:t>
            </w:r>
          </w:p>
        </w:tc>
        <w:tc>
          <w:tcPr>
            <w:tcW w:w="688" w:type="dxa"/>
            <w:tcBorders>
              <w:top w:val="nil"/>
              <w:left w:val="double" w:color="auto" w:sz="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double" w:color="auto" w:sz="2"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single" w:color="auto" w:sz="8" w:space="0"/>
              <w:left w:val="single" w:color="auto" w:sz="8" w:space="0"/>
              <w:bottom w:val="double" w:color="auto" w:sz="2" w:space="0"/>
              <w:right w:val="double" w:color="auto" w:sz="2"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double" w:color="auto" w:sz="2" w:space="0"/>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r>
      <w:tr>
        <w:tblPrEx>
          <w:tblLayout w:type="fixed"/>
        </w:tblPrEx>
        <w:trPr>
          <w:trHeight w:val="330" w:hRule="atLeast"/>
          <w:jc w:val="center"/>
        </w:trPr>
        <w:tc>
          <w:tcPr>
            <w:tcW w:w="4929"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四、结转下年度继续办理</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cs="Calibri" w:eastAsiaTheme="minorEastAsia"/>
                <w:kern w:val="0"/>
                <w:sz w:val="20"/>
                <w:szCs w:val="20"/>
                <w:bdr w:val="none" w:color="auto" w:sz="0" w:space="0"/>
                <w:lang w:val="en-US" w:eastAsia="zh-CN" w:bidi="ar"/>
              </w:rPr>
              <w:t> </w:t>
            </w: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4"/>
          <w:szCs w:val="24"/>
        </w:rPr>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tbl>
      <w:tblPr>
        <w:tblW w:w="9743" w:type="dxa"/>
        <w:jc w:val="center"/>
        <w:tblInd w:w="-61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Layout w:type="fixed"/>
        </w:tblPrEx>
        <w:trPr>
          <w:trHeight w:val="330"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行政复议</w:t>
            </w:r>
          </w:p>
        </w:tc>
        <w:tc>
          <w:tcPr>
            <w:tcW w:w="6498"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行政诉讼</w:t>
            </w:r>
          </w:p>
        </w:tc>
      </w:tr>
      <w:tr>
        <w:tblPrEx>
          <w:tblLayout w:type="fixed"/>
        </w:tblPrEx>
        <w:trPr>
          <w:trHeight w:val="330" w:hRule="atLeast"/>
          <w:jc w:val="center"/>
        </w:trPr>
        <w:tc>
          <w:tcPr>
            <w:tcW w:w="649"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结果维持</w:t>
            </w:r>
          </w:p>
        </w:tc>
        <w:tc>
          <w:tcPr>
            <w:tcW w:w="64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未经复议直接起诉</w:t>
            </w:r>
          </w:p>
        </w:tc>
        <w:tc>
          <w:tcPr>
            <w:tcW w:w="325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复议后起诉</w:t>
            </w:r>
          </w:p>
        </w:tc>
      </w:tr>
      <w:tr>
        <w:tblPrEx>
          <w:tblLayout w:type="fixed"/>
        </w:tblPrEx>
        <w:trPr>
          <w:trHeight w:val="330" w:hRule="atLeast"/>
          <w:jc w:val="center"/>
        </w:trPr>
        <w:tc>
          <w:tcPr>
            <w:tcW w:w="64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维持</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结果</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总计</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维持</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其他</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结果</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总计</w:t>
            </w:r>
          </w:p>
        </w:tc>
      </w:tr>
      <w:tr>
        <w:tblPrEx>
          <w:tblLayout w:type="fixed"/>
        </w:tblPrEx>
        <w:trPr>
          <w:trHeight w:val="330" w:hRule="atLeast"/>
          <w:jc w:val="center"/>
        </w:trPr>
        <w:tc>
          <w:tcPr>
            <w:tcW w:w="64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kern w:val="0"/>
                <w:sz w:val="20"/>
                <w:szCs w:val="20"/>
                <w:bdr w:val="none" w:color="auto" w:sz="0" w:space="0"/>
                <w:lang w:val="en-US" w:eastAsia="zh-CN" w:bidi="ar"/>
              </w:rPr>
              <w:t>0 </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hAnsiTheme="minorHAnsi"/>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4"/>
          <w:szCs w:val="24"/>
        </w:rPr>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五、政府信息公开工作存在的主要问题及改进情况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（一）存在问题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2022年我处在政府信息公开工作中取得了新进步，但是仍有不足，具体体现在以下几方面：一是信息公开较为滞后。存在不能及时公开信息的现象。二是部分栏目内容不够丰富，公开内容较为简单。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（二）改进情况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针对上述情况，我处高度重视，认真梳理，做了以下改进：一是提高信息员业务水平。对政府信息公开人员进行培训和教育，提高政府信息公开工作人员的综合素质和技术能力；二是完善和充实主动公开内容，把握工作重点，及时补差补缺，做到把握全面、突出重点，确保公开的完整性和准确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4"/>
          <w:szCs w:val="24"/>
        </w:rPr>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按照《国务院办公厅关于印发&lt;政府信息公开信息处理费管理办法</w:t>
      </w:r>
      <w:r>
        <w:rPr>
          <w:rFonts w:hint="default" w:ascii="Times New Roman" w:hAnsi="Times New Roman" w:eastAsia="仿宋_GB2312" w:cs="Times New Roman"/>
          <w:i w:val="0"/>
          <w:caps w:val="0"/>
          <w:color w:val="000000"/>
          <w:spacing w:val="0"/>
          <w:kern w:val="0"/>
          <w:sz w:val="32"/>
          <w:szCs w:val="32"/>
          <w:bdr w:val="none" w:color="auto" w:sz="0" w:space="0"/>
          <w:shd w:val="clear" w:fill="FFFFFF"/>
          <w:lang w:val="en-US" w:eastAsia="zh-CN" w:bidi="ar"/>
        </w:rPr>
        <w:t>&gt;</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的通知》（国办函〔</w:t>
      </w:r>
      <w:r>
        <w:rPr>
          <w:rFonts w:hint="default" w:ascii="Times New Roman" w:hAnsi="Times New Roman" w:eastAsia="仿宋_GB2312" w:cs="Times New Roman"/>
          <w:i w:val="0"/>
          <w:caps w:val="0"/>
          <w:color w:val="000000"/>
          <w:spacing w:val="0"/>
          <w:kern w:val="0"/>
          <w:sz w:val="32"/>
          <w:szCs w:val="32"/>
          <w:bdr w:val="none" w:color="auto" w:sz="0" w:space="0"/>
          <w:shd w:val="clear" w:fill="FFFFFF"/>
          <w:lang w:val="en-US" w:eastAsia="zh-CN" w:bidi="ar"/>
        </w:rPr>
        <w:t>2020</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仿宋_GB2312" w:cs="Times New Roman"/>
          <w:i w:val="0"/>
          <w:caps w:val="0"/>
          <w:color w:val="000000"/>
          <w:spacing w:val="0"/>
          <w:kern w:val="0"/>
          <w:sz w:val="32"/>
          <w:szCs w:val="32"/>
          <w:bdr w:val="none" w:color="auto" w:sz="0" w:space="0"/>
          <w:shd w:val="clear" w:fill="FFFFFF"/>
          <w:lang w:val="en-US" w:eastAsia="zh-CN" w:bidi="ar"/>
        </w:rPr>
        <w:t>109</w:t>
      </w:r>
      <w:r>
        <w:rPr>
          <w:rFonts w:hint="eastAsia"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号）规定的按件、按量收费标准，本年度没有产生信息公开处理费。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D7968"/>
    <w:rsid w:val="159D7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2410</Words>
  <Characters>2498</Characters>
  <Lines>0</Lines>
  <Paragraphs>0</Paragraphs>
  <TotalTime>4</TotalTime>
  <ScaleCrop>false</ScaleCrop>
  <LinksUpToDate>false</LinksUpToDate>
  <CharactersWithSpaces>2547</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2024-02-21T01:14:00Z</dcterms:created>
  <dc:creator>石榴吧</dc:creator>
  <cp:lastModifiedBy>石榴吧</cp:lastModifiedBy>
  <dcterms:modified xsi:type="dcterms:W3CDTF">2024-02-21T01:19:23Z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