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center"/>
        <w:rPr>
          <w:rFonts w:hint="eastAsia" w:ascii="微软雅黑" w:hAnsi="微软雅黑" w:eastAsia="微软雅黑" w:cs="微软雅黑"/>
          <w:i w:val="0"/>
          <w:iCs w:val="0"/>
          <w:caps w:val="0"/>
          <w:color w:val="000000"/>
          <w:spacing w:val="0"/>
          <w:sz w:val="32"/>
          <w:szCs w:val="32"/>
          <w:bdr w:val="none" w:color="auto" w:sz="0" w:space="0"/>
          <w:shd w:val="clear" w:fill="FFFFFF"/>
        </w:rPr>
      </w:pPr>
      <w:r>
        <w:rPr>
          <w:rFonts w:hint="eastAsia" w:ascii="Times New Roman" w:hAnsi="Times New Roman" w:eastAsia="方正小标宋简体" w:cs="Times New Roman"/>
          <w:color w:val="000000"/>
          <w:kern w:val="0"/>
          <w:sz w:val="44"/>
          <w:szCs w:val="44"/>
          <w:lang w:val="en-US" w:eastAsia="zh-CN"/>
        </w:rPr>
        <w:t>霍邱县文化旅游体育局2022年</w:t>
      </w:r>
      <w:r>
        <w:rPr>
          <w:rFonts w:ascii="Times New Roman" w:hAnsi="Times New Roman" w:eastAsia="方正小标宋简体" w:cs="Times New Roman"/>
          <w:color w:val="000000"/>
          <w:kern w:val="0"/>
          <w:sz w:val="44"/>
          <w:szCs w:val="44"/>
        </w:rPr>
        <w:t>政府信息公开工作年度报告</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shd w:val="clear" w:fill="FFFFFF"/>
        </w:rPr>
        <w:t>根据《国务院办公厅政府信息与政务公开办公室关于印发&lt;中华人民共和国政府信息公开工作年度报告格式&gt;的通知》（国办公开办函〔2021〕30号）、《安徽省政务公开办公室关于做好2022年度政府信息公开工作年度报告编制和发布工作的通知》、《六安市政务公开办公室关于做好政府信息公开年度报告编制和发布工作的通知》（六政务公开办〔2022〕53号）文件要求，霍邱县文化旅游体育局编制2022年政府信息公开年度报告。报告由总体情况、主动公开政府信息情况、收到和处理政府信息公开申请情况、政府信息公开行政复议、行政诉讼情况、政府信息公开工作存在的主要问题及改进情况和其他需要报告的事项六个部分组成。本报告所列数据的统计期限为2022年1月1日至2022年12月31日。如对本年报有任何疑问，请与霍邱县文化旅游体育局联系（地址：城关镇广电中心302号；邮编：237400；联系电话：0564-2726201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ascii="黑体" w:hAnsi="宋体" w:eastAsia="黑体" w:cs="黑体"/>
          <w:i w:val="0"/>
          <w:iCs w:val="0"/>
          <w:caps w:val="0"/>
          <w:color w:val="000000"/>
          <w:spacing w:val="0"/>
          <w:sz w:val="32"/>
          <w:szCs w:val="32"/>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shd w:val="clear" w:fill="FFFFFF"/>
        </w:rPr>
        <w:t>2022年，霍邱县文旅体育局在县委、县政府的领导下，在县政务公开领导小组的统一部署和指导下，以习近平新时代中国特色社会主义思想为指导，认真贯彻落实党的十九大和党的二十大精神，严格执行《中华人民共和国政府信息公开条例》，全年圆满地完成了局政务公开各项工作。现就2022年度霍邱县文旅体育局政务公开工作开展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shd w:val="clear" w:fill="FFFFFF"/>
        </w:rPr>
        <w:t>1. 主动公开。一是主动发布政府信息。全年主动公开各类政府信息255条,其中，政策法规14条，机构领导22条，行政权力运行52条。二是持续强化重点领域信息公开。全年公开重点领域信息36条，及时公开公共文化体育、财政预决算、“三公”经费、文化旅游“十四五”规划等重点领域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shd w:val="clear" w:fill="FFFFFF"/>
        </w:rPr>
        <w:t>2. 依申请公开。2022年度，我局未收到依申请公开信息申请。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shd w:val="clear" w:fill="FFFFFF"/>
        </w:rPr>
        <w:t>3.政府信息管理。一是健全政府信息发布审查制度。实行</w:t>
      </w:r>
      <w:r>
        <w:rPr>
          <w:rFonts w:hint="eastAsia" w:ascii="宋体" w:hAnsi="宋体" w:eastAsia="宋体" w:cs="宋体"/>
          <w:i w:val="0"/>
          <w:iCs w:val="0"/>
          <w:caps w:val="0"/>
          <w:color w:val="000000"/>
          <w:spacing w:val="0"/>
          <w:sz w:val="32"/>
          <w:szCs w:val="32"/>
          <w:bdr w:val="none" w:color="auto" w:sz="0" w:space="0"/>
          <w:shd w:val="clear" w:fill="FFFFFF"/>
        </w:rPr>
        <w:t>“</w:t>
      </w:r>
      <w:r>
        <w:rPr>
          <w:rFonts w:hint="eastAsia" w:ascii="微软雅黑" w:hAnsi="微软雅黑" w:eastAsia="微软雅黑" w:cs="微软雅黑"/>
          <w:i w:val="0"/>
          <w:iCs w:val="0"/>
          <w:caps w:val="0"/>
          <w:color w:val="000000"/>
          <w:spacing w:val="0"/>
          <w:sz w:val="32"/>
          <w:szCs w:val="32"/>
          <w:bdr w:val="none" w:color="auto" w:sz="0" w:space="0"/>
          <w:shd w:val="clear" w:fill="FFFFFF"/>
        </w:rPr>
        <w:t>发布人员、网站负责人、分管领导</w:t>
      </w:r>
      <w:r>
        <w:rPr>
          <w:rFonts w:hint="eastAsia" w:ascii="宋体" w:hAnsi="宋体" w:eastAsia="宋体" w:cs="宋体"/>
          <w:i w:val="0"/>
          <w:iCs w:val="0"/>
          <w:caps w:val="0"/>
          <w:color w:val="000000"/>
          <w:spacing w:val="0"/>
          <w:sz w:val="32"/>
          <w:szCs w:val="32"/>
          <w:bdr w:val="none" w:color="auto" w:sz="0" w:space="0"/>
          <w:shd w:val="clear" w:fill="FFFFFF"/>
        </w:rPr>
        <w:t>”</w:t>
      </w:r>
      <w:r>
        <w:rPr>
          <w:rFonts w:hint="eastAsia" w:ascii="微软雅黑" w:hAnsi="微软雅黑" w:eastAsia="微软雅黑" w:cs="微软雅黑"/>
          <w:i w:val="0"/>
          <w:iCs w:val="0"/>
          <w:caps w:val="0"/>
          <w:color w:val="000000"/>
          <w:spacing w:val="0"/>
          <w:sz w:val="32"/>
          <w:szCs w:val="32"/>
          <w:bdr w:val="none" w:color="auto" w:sz="0" w:space="0"/>
          <w:shd w:val="clear" w:fill="FFFFFF"/>
        </w:rPr>
        <w:t>三级审核制度，并建立了相应的工作台账。二是建立网络安全应急体系。制定出台了《霍邱县文化旅游体育局网络安全应急预案》，对我局网站安全突发应急处置做出了规定。三是修订完善了部分政务公开制度。修订完善了《霍邱县文旅体育局政策解读制度》、《霍邱县文旅体育局政务公开舆情回应管理制度》、《霍邱县文旅局重大行政决策公众参与制度》等，调整优化政府信息公开服务，规范发布流程，确保政府信息公开工作依法、有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shd w:val="clear" w:fill="FFFFFF"/>
        </w:rPr>
        <w:t>4.平台建设方面。2022年，按照统一部署，县文旅局认真做好局门户网站管理建设工作。加强局公共文化领域重大信息公开工作，重点发布财政资金预决算、行政权力运行、重点领域信息公开等人民群众关注热点信息。同时高度重视门户网站信息发布工作，严格按照</w:t>
      </w:r>
      <w:r>
        <w:rPr>
          <w:rFonts w:hint="eastAsia" w:ascii="宋体" w:hAnsi="宋体" w:eastAsia="宋体" w:cs="宋体"/>
          <w:i w:val="0"/>
          <w:iCs w:val="0"/>
          <w:caps w:val="0"/>
          <w:color w:val="000000"/>
          <w:spacing w:val="0"/>
          <w:sz w:val="32"/>
          <w:szCs w:val="32"/>
          <w:bdr w:val="none" w:color="auto" w:sz="0" w:space="0"/>
          <w:shd w:val="clear" w:fill="FFFFFF"/>
        </w:rPr>
        <w:t>“</w:t>
      </w:r>
      <w:r>
        <w:rPr>
          <w:rFonts w:hint="eastAsia" w:ascii="微软雅黑" w:hAnsi="微软雅黑" w:eastAsia="微软雅黑" w:cs="微软雅黑"/>
          <w:i w:val="0"/>
          <w:iCs w:val="0"/>
          <w:caps w:val="0"/>
          <w:color w:val="000000"/>
          <w:spacing w:val="0"/>
          <w:sz w:val="32"/>
          <w:szCs w:val="32"/>
          <w:bdr w:val="none" w:color="auto" w:sz="0" w:space="0"/>
          <w:shd w:val="clear" w:fill="FFFFFF"/>
        </w:rPr>
        <w:t>三审制</w:t>
      </w:r>
      <w:r>
        <w:rPr>
          <w:rFonts w:hint="eastAsia" w:ascii="宋体" w:hAnsi="宋体" w:eastAsia="宋体" w:cs="宋体"/>
          <w:i w:val="0"/>
          <w:iCs w:val="0"/>
          <w:caps w:val="0"/>
          <w:color w:val="000000"/>
          <w:spacing w:val="0"/>
          <w:sz w:val="32"/>
          <w:szCs w:val="32"/>
          <w:bdr w:val="none" w:color="auto" w:sz="0" w:space="0"/>
          <w:shd w:val="clear" w:fill="FFFFFF"/>
        </w:rPr>
        <w:t>”</w:t>
      </w:r>
      <w:r>
        <w:rPr>
          <w:rFonts w:hint="eastAsia" w:ascii="微软雅黑" w:hAnsi="微软雅黑" w:eastAsia="微软雅黑" w:cs="微软雅黑"/>
          <w:i w:val="0"/>
          <w:iCs w:val="0"/>
          <w:caps w:val="0"/>
          <w:color w:val="000000"/>
          <w:spacing w:val="0"/>
          <w:sz w:val="32"/>
          <w:szCs w:val="32"/>
          <w:bdr w:val="none" w:color="auto" w:sz="0" w:space="0"/>
          <w:shd w:val="clear" w:fill="FFFFFF"/>
        </w:rPr>
        <w:t>规定，严把内容，履行程序。加强我局网络值班工作，在节假日、重大活动期间实行24小时值班制度。 </w:t>
      </w:r>
      <w:r>
        <w:rPr>
          <w:rFonts w:hint="eastAsia" w:ascii="宋体" w:hAnsi="宋体" w:eastAsia="宋体" w:cs="宋体"/>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32"/>
          <w:szCs w:val="32"/>
          <w:bdr w:val="none" w:color="auto" w:sz="0" w:space="0"/>
          <w:shd w:val="clear" w:fill="FFFFFF"/>
        </w:rPr>
        <w:t>5.强化监督保障。建立健全局政务公开保障监督机制，制定了《关于印发县文旅体育局2022年政务公开任务分解的通知》，将政务公开工作任务分解到各股室、各二级单位，形成了责任到人、上下联动、整体推进的工作体系。将政务公开工作纳入局干部考核，并将考核结果作为干部任免和奖惩的重要依据。2022年，我局各股室及各二级单位积极配合开展政务公开工作，未出现因不履行政务公开义务而发生的责任追究情况。认真完成《霍邱县2022年政务公开重点工作任务分工》县文旅局承担的工作任务，调整完善公共文化服务领域基层政务公开事项指引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sz w:val="32"/>
          <w:szCs w:val="32"/>
          <w:bdr w:val="none" w:color="auto" w:sz="0" w:space="0"/>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sz w:val="32"/>
          <w:szCs w:val="32"/>
          <w:bdr w:val="none" w:color="auto" w:sz="0" w:space="0"/>
          <w:shd w:val="clear" w:fill="FFFFFF"/>
        </w:rPr>
        <w:t> </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w:t>
            </w:r>
            <w:r>
              <w:rPr>
                <w:rFonts w:hint="eastAsia" w:ascii="宋体" w:hAnsi="宋体" w:eastAsia="宋体" w:cs="宋体"/>
                <w:kern w:val="0"/>
                <w:sz w:val="20"/>
                <w:szCs w:val="20"/>
                <w:bdr w:val="none" w:color="auto" w:sz="0" w:space="0"/>
                <w:lang w:val="en-US" w:eastAsia="zh-CN" w:bidi="ar"/>
              </w:rPr>
              <w:t>制发件数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现行有效件</w:t>
            </w:r>
            <w:r>
              <w:rPr>
                <w:rFonts w:hint="eastAsia" w:ascii="宋体" w:hAnsi="宋体" w:eastAsia="宋体" w:cs="宋体"/>
                <w:kern w:val="0"/>
                <w:sz w:val="20"/>
                <w:szCs w:val="20"/>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4</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行政许可</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1"/>
                <w:szCs w:val="21"/>
                <w:bdr w:val="none" w:color="auto" w:sz="0" w:space="0"/>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行政处罚</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行政强制</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64"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行政事业性收费</w:t>
            </w:r>
          </w:p>
        </w:tc>
        <w:tc>
          <w:tcPr>
            <w:tcW w:w="7305"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9"/>
          <w:szCs w:val="19"/>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sz w:val="32"/>
          <w:szCs w:val="32"/>
          <w:bdr w:val="none" w:color="auto" w:sz="0" w:space="0"/>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333333"/>
          <w:spacing w:val="0"/>
          <w:sz w:val="24"/>
          <w:szCs w:val="24"/>
          <w:bdr w:val="none" w:color="auto" w:sz="0" w:space="0"/>
          <w:shd w:val="clear" w:fill="FFFFFF"/>
        </w:rPr>
        <w:t> </w:t>
      </w:r>
    </w:p>
    <w:tbl>
      <w:tblPr>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64" w:hRule="atLeast"/>
          <w:jc w:val="center"/>
        </w:trPr>
        <w:tc>
          <w:tcPr>
            <w:tcW w:w="4929" w:type="dxa"/>
            <w:gridSpan w:val="3"/>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bdr w:val="none" w:color="auto" w:sz="0" w:space="0"/>
                <w:lang w:val="en-US" w:eastAsia="zh-CN" w:bidi="ar"/>
              </w:rPr>
              <w:t>（本列数据的勾稽关系为：第一项加第二项之和，等于第三项加第四项之和）</w:t>
            </w:r>
          </w:p>
        </w:tc>
        <w:tc>
          <w:tcPr>
            <w:tcW w:w="4816" w:type="dxa"/>
            <w:gridSpan w:val="7"/>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64" w:hRule="atLeast"/>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8" w:type="dxa"/>
            <w:vMerge w:val="restar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自然人</w:t>
            </w:r>
          </w:p>
        </w:tc>
        <w:tc>
          <w:tcPr>
            <w:tcW w:w="344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法人或其他组织</w:t>
            </w:r>
          </w:p>
        </w:tc>
        <w:tc>
          <w:tcPr>
            <w:tcW w:w="688" w:type="dxa"/>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64" w:hRule="atLeast"/>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8" w:type="dxa"/>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6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企业</w:t>
            </w:r>
          </w:p>
        </w:tc>
        <w:tc>
          <w:tcPr>
            <w:tcW w:w="6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机构</w:t>
            </w:r>
          </w:p>
        </w:tc>
        <w:tc>
          <w:tcPr>
            <w:tcW w:w="6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社会公益组织</w:t>
            </w:r>
          </w:p>
        </w:tc>
        <w:tc>
          <w:tcPr>
            <w:tcW w:w="6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法律服务机构</w:t>
            </w:r>
          </w:p>
        </w:tc>
        <w:tc>
          <w:tcPr>
            <w:tcW w:w="6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其他</w:t>
            </w:r>
          </w:p>
        </w:tc>
        <w:tc>
          <w:tcPr>
            <w:tcW w:w="688" w:type="dxa"/>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0"/>
                <w:szCs w:val="20"/>
                <w:bdr w:val="none" w:color="auto" w:sz="0" w:space="0"/>
                <w:lang w:val="en-US" w:eastAsia="zh-CN" w:bidi="ar"/>
              </w:rPr>
              <w:t> </w:t>
            </w: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r>
              <w:rPr>
                <w:rFonts w:hint="default" w:ascii="Times New Roman" w:hAnsi="Times New Roman" w:cs="Times New Roman"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r>
              <w:rPr>
                <w:rFonts w:hint="default" w:ascii="Times New Roman" w:hAnsi="Times New Roman" w:cs="Times New Roman"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0"/>
                <w:szCs w:val="20"/>
                <w:bdr w:val="none" w:color="auto" w:sz="0" w:space="0"/>
                <w:lang w:val="en-US" w:eastAsia="zh-CN" w:bidi="ar"/>
              </w:rPr>
              <w:t> </w:t>
            </w: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0"/>
                <w:szCs w:val="20"/>
                <w:bdr w:val="none" w:color="auto" w:sz="0" w:space="0"/>
                <w:lang w:val="en-US" w:eastAsia="zh-CN" w:bidi="ar"/>
              </w:rPr>
              <w:t> </w:t>
            </w: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0"/>
                <w:szCs w:val="20"/>
                <w:bdr w:val="none" w:color="auto" w:sz="0" w:space="0"/>
                <w:lang w:val="en-US" w:eastAsia="zh-CN" w:bidi="ar"/>
              </w:rPr>
              <w:t> </w:t>
            </w: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r>
              <w:rPr>
                <w:rFonts w:hint="default" w:ascii="Times New Roman" w:hAnsi="Times New Roman" w:cs="Times New Roman"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0"/>
                <w:szCs w:val="20"/>
                <w:bdr w:val="none" w:color="auto" w:sz="0" w:space="0"/>
                <w:lang w:val="en-US" w:eastAsia="zh-CN" w:bidi="ar"/>
              </w:rPr>
              <w:t> </w:t>
            </w: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64" w:hRule="atLeast"/>
          <w:jc w:val="center"/>
        </w:trPr>
        <w:tc>
          <w:tcPr>
            <w:tcW w:w="767"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三、本年度办理结果</w:t>
            </w:r>
          </w:p>
        </w:tc>
        <w:tc>
          <w:tcPr>
            <w:tcW w:w="4162" w:type="dxa"/>
            <w:gridSpan w:val="2"/>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（一）予以公开</w:t>
            </w:r>
          </w:p>
        </w:tc>
        <w:tc>
          <w:tcPr>
            <w:tcW w:w="688" w:type="dxa"/>
            <w:tcBorders>
              <w:top w:val="single" w:color="auto" w:sz="8" w:space="0"/>
              <w:left w:val="double" w:color="auto" w:sz="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double" w:color="auto" w:sz="2"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r>
              <w:rPr>
                <w:rFonts w:hint="default" w:ascii="Times New Roman" w:hAnsi="Times New Roman" w:cs="Times New Roman" w:eastAsiaTheme="minorEastAsia"/>
                <w:kern w:val="0"/>
                <w:sz w:val="20"/>
                <w:szCs w:val="20"/>
                <w:bdr w:val="none" w:color="auto" w:sz="0" w:space="0"/>
                <w:lang w:val="en-US" w:eastAsia="zh-CN" w:bidi="ar"/>
              </w:rPr>
              <w:t>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r>
              <w:rPr>
                <w:rFonts w:hint="default" w:ascii="Times New Roman" w:hAnsi="Times New Roman" w:cs="Times New Roman" w:eastAsiaTheme="minorEastAsia"/>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4162" w:type="dxa"/>
            <w:gridSpan w:val="2"/>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（二）部分公开</w:t>
            </w:r>
            <w:r>
              <w:rPr>
                <w:rFonts w:hint="eastAsia" w:ascii="楷体" w:hAnsi="楷体" w:eastAsia="楷体" w:cs="楷体"/>
                <w:kern w:val="0"/>
                <w:sz w:val="20"/>
                <w:szCs w:val="20"/>
                <w:bdr w:val="none" w:color="auto" w:sz="0" w:space="0"/>
                <w:lang w:val="en-US" w:eastAsia="zh-CN" w:bidi="ar"/>
              </w:rPr>
              <w:t>（区分处理的，只计这一情形，不计其他情形）</w:t>
            </w:r>
          </w:p>
        </w:tc>
        <w:tc>
          <w:tcPr>
            <w:tcW w:w="688" w:type="dxa"/>
            <w:tcBorders>
              <w:top w:val="single" w:color="auto" w:sz="8" w:space="0"/>
              <w:left w:val="double" w:color="auto" w:sz="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double" w:color="auto" w:sz="2"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（三）不予公开</w:t>
            </w: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1.属于国家秘密</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2.其他法律行政法规禁止公开</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3.危及“三安全一稳定”</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4.保护第三方合法权益</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5.属于三类内部事务信息</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6.属于四类过程性信息</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7.属于行政执法案卷</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8.属于行政查询事项</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（四）无法提供</w:t>
            </w: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1.本机关不掌握相关政府信息</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2.没有现成信息需要另行制作</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3.补正后申请内容仍不明确</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（五）不予处理</w:t>
            </w: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1.信访举报投诉类申请</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2.重复申请</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3.要求提供公开出版物</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4.无正当理由大量反复申请</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5.要求行政机关确认或重新出具已获取信息</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（六）其他处理</w:t>
            </w: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1.申请人无正当理由逾期不补正、行政机关不再处理其政府信息公开申请</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2.申请人逾期未按收费通知要求缴纳费用、行政机关不再处理其政府信息公开申请</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3.其他</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4162" w:type="dxa"/>
            <w:gridSpan w:val="2"/>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（七）总计</w:t>
            </w:r>
          </w:p>
        </w:tc>
        <w:tc>
          <w:tcPr>
            <w:tcW w:w="688" w:type="dxa"/>
            <w:tcBorders>
              <w:top w:val="nil"/>
              <w:left w:val="double" w:color="auto" w:sz="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double" w:color="auto" w:sz="2"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single" w:color="auto" w:sz="8" w:space="0"/>
              <w:left w:val="single" w:color="auto" w:sz="8" w:space="0"/>
              <w:bottom w:val="double" w:color="auto" w:sz="2" w:space="0"/>
              <w:right w:val="double" w:color="auto" w:sz="2"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double" w:color="auto" w:sz="2" w:space="0"/>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四、结转下年度继续办理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kern w:val="0"/>
                <w:sz w:val="20"/>
                <w:szCs w:val="20"/>
                <w:bdr w:val="none" w:color="auto" w:sz="0" w:space="0"/>
                <w:lang w:val="en-US" w:eastAsia="zh-CN" w:bidi="ar"/>
              </w:rPr>
              <w:t> </w:t>
            </w: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0"/>
                <w:szCs w:val="20"/>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sz w:val="32"/>
          <w:szCs w:val="32"/>
          <w:bdr w:val="none" w:color="auto" w:sz="0" w:space="0"/>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tbl>
      <w:tblPr>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64"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行政复议</w:t>
            </w:r>
          </w:p>
        </w:tc>
        <w:tc>
          <w:tcPr>
            <w:tcW w:w="6498"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64" w:hRule="atLeast"/>
          <w:jc w:val="center"/>
        </w:trPr>
        <w:tc>
          <w:tcPr>
            <w:tcW w:w="649"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结果维持</w:t>
            </w:r>
          </w:p>
        </w:tc>
        <w:tc>
          <w:tcPr>
            <w:tcW w:w="64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未经复议直接起诉</w:t>
            </w:r>
          </w:p>
        </w:tc>
        <w:tc>
          <w:tcPr>
            <w:tcW w:w="325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64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总计</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其他</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64" w:hRule="atLeast"/>
          <w:jc w:val="center"/>
        </w:trPr>
        <w:tc>
          <w:tcPr>
            <w:tcW w:w="64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0"/>
                <w:szCs w:val="20"/>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2022年，县文旅局在政府信息公开工作方面取得了一定的成绩，但还存在许多问题，如：政策解读方面尚未真正做到文件和解读同时出台；个别股室主动公开意识尚未真正建立；政务信息发布仍有出现错别字现象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2023年，县文旅局将认真组织学习，狠抓落实，做好政务公开改进工作。一是强化责任，提升主动公开意识。做好2023年度局政务公开工作任务分解工作，制定任务清单、责任清单、问题清单等，明确责任主体和整改时限，提升各股室主动公开意识。二是加强调度，提升政务公开时效。针对重大决策预公开、政策解读、新闻发布等短板，提请局领导加强调度，严格执行信息公开时限要求，进一步提高信息公开的及时性。三是加强培训，提升政务公开质量。举办政务公开培训会议，对局相关责任股室进行政务公开培训，进一步了解政务公开发布信息的形式、内容、时限等要求，提高政务公开意识，提升政务公开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19"/>
          <w:szCs w:val="19"/>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kern w:val="0"/>
          <w:sz w:val="32"/>
          <w:szCs w:val="32"/>
          <w:bdr w:val="none" w:color="auto" w:sz="0" w:space="0"/>
          <w:shd w:val="clear" w:fill="FFFFFF"/>
          <w:lang w:val="en-US" w:eastAsia="zh-CN" w:bidi="ar"/>
        </w:rPr>
        <w:t>按照《国务院办公厅关于印发〈政府信息公开信息处理费管理办法〉的通知》（国办函〔2020〕109号）规定的按件、按量收费标准，本年度没有产生信息公开处理费。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2N2Q0Y2JjNDU4MWYxNmY4NmM1MDI2NDE1ZDZkNTUifQ=="/>
  </w:docVars>
  <w:rsids>
    <w:rsidRoot w:val="00000000"/>
    <w:rsid w:val="7C311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2695</Words>
  <Characters>2807</Characters>
  <Lines>0</Lines>
  <Paragraphs>0</Paragraphs>
  <TotalTime>0</TotalTime>
  <ScaleCrop>false</ScaleCrop>
  <LinksUpToDate>false</LinksUpToDate>
  <CharactersWithSpaces>2831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2024-02-21T00:48:55Z</dcterms:created>
  <dc:creator>Administrator</dc:creator>
  <cp:lastModifiedBy>微冷</cp:lastModifiedBy>
  <dcterms:modified xsi:type="dcterms:W3CDTF">2024-02-21T00:52:56Z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F3335C6935024BA39957346C95A4B16D_12</vt:lpwstr>
  </property>
</Properties>
</file>