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霍邱县发改委（粮食物资局、公管局）2022年度政府信息公开工作年度报告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根据《中华人民共和国政府信息公开条例》、《六安市政务公开办公室关于做好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 xml:space="preserve">2022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年政府信息公开年度报告编制和发布工作的通知》（六政务公开办﹝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53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号）、《霍邱县人民政府办公室关于做好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 xml:space="preserve">2022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年政府信息公开年度报告编制和发布工作的通知》（霍政办秘﹝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2023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号）等文件要求，编制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年度霍邱县发改委政府信息公开工作年度报告。全文包括总体情况、主动公开政府信息情况、收到和处理政府信息公开申请情况、存在的主要问题及改进情况和其他需要报告的事项。本年度报告中使用数据统计期限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日至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12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31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日，本年度报告电子版可在霍邱县发改委信息公开平台下载。如对本报告有任何疑问，请与霍邱县发改委办公室联系（地址：霍邱县行政中心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A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14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1403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室；邮编：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237000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；联系电话：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0564—6080217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年，我委认真贯彻落实《中华人民共和国政府信息公开条例》、《安徽省政府信息公开办法》、县政府及政务公开办有关文件精神，不断健全完善政府信息公开工作制度、提高政务公开工作水平、规范政府信息公开内容。坚持“以公开为原则，不公开为例外”的要求，在公开内容的基础上，重点公开与群众切身利益相关的事项以及群众最关心的热点问题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 xml:space="preserve">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rightChars="0" w:firstLine="643" w:firstLineChars="200"/>
        <w:jc w:val="both"/>
      </w:pPr>
      <w:r>
        <w:rPr>
          <w:rFonts w:ascii="楷体_GB2312" w:hAnsi="Times New Roman" w:eastAsia="楷体_GB2312" w:cs="楷体_GB2312"/>
          <w:b/>
          <w:bCs/>
          <w:color w:val="000000"/>
          <w:kern w:val="0"/>
          <w:sz w:val="32"/>
          <w:szCs w:val="32"/>
          <w:shd w:val="clear" w:fill="FFFFFF"/>
        </w:rPr>
        <w:t>（一）</w:t>
      </w:r>
      <w:r>
        <w:rPr>
          <w:rFonts w:hint="eastAsia" w:ascii="楷体_GB2312" w:hAnsi="Times New Roman" w:eastAsia="楷体_GB2312" w:cs="楷体_GB2312"/>
          <w:b/>
          <w:bCs/>
          <w:color w:val="000000"/>
          <w:kern w:val="0"/>
          <w:sz w:val="32"/>
          <w:szCs w:val="32"/>
          <w:shd w:val="clear" w:fill="FFFFFF"/>
        </w:rPr>
        <w:t>主动公开情况。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年，我委全面落实政府信息公开工作要求，积极完善行政规范性文件格式，按规定主动公开规范性文件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14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条，主动公开的项目批准、变更结果信息共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318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件，其中政府投资项目审批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219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件，企业投资项目核准、备案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87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件，节能审查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12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件。同时，为加强民生信息公开，建立民生价格采集、监测、发布制度，主动公开商品服务价格信息、行政许可类信息、意见征集类信息等重点工作结果。全年我委主动公开各类政府信息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798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rightChars="0" w:firstLine="643" w:firstLineChars="200"/>
        <w:jc w:val="both"/>
      </w:pPr>
      <w:r>
        <w:rPr>
          <w:rFonts w:hint="eastAsia" w:ascii="楷体_GB2312" w:hAnsi="Times New Roman" w:eastAsia="楷体_GB2312" w:cs="楷体_GB2312"/>
          <w:b/>
          <w:bCs/>
          <w:color w:val="000000"/>
          <w:kern w:val="0"/>
          <w:sz w:val="32"/>
          <w:szCs w:val="32"/>
          <w:shd w:val="clear" w:fill="FFFFFF"/>
        </w:rPr>
        <w:t>（二）依申请公开情况。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年，我委严格按照《中华人民共和国政府信息公开条例》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和依申请公开制度的要求，严格执行依申请各项制度和流程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，明确依申请公开申请受理、审查、处理、答复等各个环节的具体要求，不断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完善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依申请回复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工作。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年度，我委未收到依申请公开申请。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rightChars="0" w:firstLine="643" w:firstLineChars="200"/>
        <w:jc w:val="both"/>
      </w:pPr>
      <w:r>
        <w:rPr>
          <w:rFonts w:hint="eastAsia" w:ascii="楷体_GB2312" w:hAnsi="Times New Roman" w:eastAsia="楷体_GB2312" w:cs="楷体_GB2312"/>
          <w:b/>
          <w:bCs/>
          <w:color w:val="000000"/>
          <w:kern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我委认真制定和落实相关配套措施，调整优化政府信息公开服务，并进一步明确岗位职责、细化工作任务，明确专人负责，提升工作质效。完善工作机制，围绕信息公开的范围、内容、形式等，建立健全信息公开制度，遵循“谁公开、谁负责”和“先审查、后公开”的原则，对拟公开的信息逐级审核，确保内容准确、表述规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</w:pPr>
      <w:r>
        <w:rPr>
          <w:rFonts w:hint="eastAsia" w:ascii="楷体_GB2312" w:hAnsi="Times New Roman" w:eastAsia="楷体_GB2312" w:cs="楷体_GB2312"/>
          <w:b/>
          <w:bCs/>
          <w:color w:val="000000"/>
          <w:kern w:val="0"/>
          <w:sz w:val="32"/>
          <w:szCs w:val="32"/>
          <w:shd w:val="clear" w:fill="FFFFFF"/>
        </w:rPr>
        <w:t>（四）政府信息公开平台建设情况。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我委积极学习市发改委和先进县区信息公开经验，进一步完善政府信息公开平台栏目，对单位公开目录进行了完善调整，定期对网站平台进行维护、更新，配合做好上级安全评估和审查，保证及时公开信息，不上传涉密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rightChars="0" w:firstLine="643" w:firstLineChars="200"/>
        <w:jc w:val="both"/>
      </w:pPr>
      <w:r>
        <w:rPr>
          <w:rFonts w:hint="eastAsia" w:ascii="楷体_GB2312" w:hAnsi="Times New Roman" w:eastAsia="楷体_GB2312" w:cs="楷体_GB2312"/>
          <w:b/>
          <w:bCs/>
          <w:color w:val="000000"/>
          <w:kern w:val="0"/>
          <w:sz w:val="32"/>
          <w:szCs w:val="32"/>
          <w:shd w:val="clear" w:fill="FFFFFF"/>
        </w:rPr>
        <w:t>（五）监督和保障情况。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我委认真梳理整改市、县两级测评结果，按县公开办要求公开整改清单和整改报告到监督保障栏目，确保整改落实到位。为保障政务公开有序、高效开展，我委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将政务公开工作任务细化，明确责任，定期统计，确保政务公开信息及时、高效、准确发布。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</w:rPr>
        <w:t xml:space="preserve"> </w:t>
      </w:r>
    </w:p>
    <w:tbl>
      <w:tblPr>
        <w:tblStyle w:val="3"/>
        <w:tblW w:w="84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1824"/>
        <w:gridCol w:w="2051"/>
        <w:gridCol w:w="2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　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ascii="Calibri" w:hAnsi="Calibri" w:eastAsia="仿宋_GB2312" w:cs="Calibri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</w:rPr>
        <w:t xml:space="preserve"> </w:t>
      </w: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（一）予以公开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（二）部分公开（区分处理的，只计这一情形，不计其他情形）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00" w:firstLineChars="10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thinThickLargeGap" w:color="auto" w:sz="48" w:space="0"/>
              <w:left w:val="single" w:color="auto" w:sz="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00" w:firstLineChars="10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both"/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both"/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both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在政府信息公开方面虽做了很多努力，但仍存在一些不足，一是部分信息公布不够及时，信息数量、质量有待提升，公开的范围有待进一步扩大：二是部分公开内容不规范、不具体、重点不突出，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主动公开意识还需进一步加强。我委将进一步完善政府信息公开网站建设，保证信息公开的时效性，使政府信息公开工作经常化、制度化、规范化。及时公开人民群众关心的重大问题、重大决策，切实提升政府信息公开的效果和水平。加强负责政府信息公开工作人员的学习培训，并提高我委人员对政府信息公开工作的认识，确保政府信息公开顺利进行。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按照《国务院办公厅关于印发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&lt;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政府信息公开信息处理费管理办法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&gt;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的通知》（国办函〔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2020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>109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  <w:t>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 w:firstLineChars="20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NDVjODJmY2UwZGFhOTIxYzVhN2E3NGY5Njk3ZWEifQ=="/>
  </w:docVars>
  <w:rsids>
    <w:rsidRoot w:val="62D05773"/>
    <w:rsid w:val="62D05773"/>
    <w:rsid w:val="70A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2454</Words>
  <Characters>2548</Characters>
  <Lines>0</Lines>
  <Paragraphs>0</Paragraphs>
  <TotalTime>1</TotalTime>
  <ScaleCrop>false</ScaleCrop>
  <LinksUpToDate>false</LinksUpToDate>
  <CharactersWithSpaces>2759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2024-02-21T00:32:00Z</dcterms:created>
  <dc:creator>汪宏宇</dc:creator>
  <cp:lastModifiedBy>汪宏宇</cp:lastModifiedBy>
  <dcterms:modified xsi:type="dcterms:W3CDTF">2024-02-21T00:38:28Z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A873A08D89454C30952DF235BC1DE297_11</vt:lpwstr>
  </property>
</Properties>
</file>