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方正小标宋简体" w:hAnsi="方正小标宋简体" w:eastAsia="方正小标宋简体" w:cs="方正小标宋简体"/>
          <w:b w:val="0"/>
          <w:bCs w:val="0"/>
          <w:i w:val="0"/>
          <w:iCs w:val="0"/>
          <w:caps w:val="0"/>
          <w:color w:val="000000"/>
          <w:spacing w:val="0"/>
          <w:kern w:val="0"/>
          <w:sz w:val="44"/>
          <w:szCs w:val="44"/>
          <w:bdr w:val="none" w:color="auto" w:sz="0" w:space="0"/>
          <w:shd w:val="clear" w:fill="FFFFFF"/>
        </w:rPr>
      </w:pPr>
      <w:bookmarkStart w:id="0" w:name="_GoBack"/>
      <w:r>
        <w:rPr>
          <w:rFonts w:hint="eastAsia" w:ascii="方正小标宋简体" w:hAnsi="方正小标宋简体" w:eastAsia="方正小标宋简体" w:cs="方正小标宋简体"/>
          <w:b w:val="0"/>
          <w:bCs w:val="0"/>
          <w:i w:val="0"/>
          <w:iCs w:val="0"/>
          <w:caps w:val="0"/>
          <w:color w:val="000000"/>
          <w:spacing w:val="0"/>
          <w:kern w:val="0"/>
          <w:sz w:val="44"/>
          <w:szCs w:val="44"/>
          <w:bdr w:val="none" w:color="auto" w:sz="0" w:space="0"/>
          <w:shd w:val="clear" w:fill="FFFFFF"/>
        </w:rPr>
        <w:t>霍邱县临水镇人民政府2022年政府信息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方正小标宋简体" w:hAnsi="方正小标宋简体" w:eastAsia="方正小标宋简体" w:cs="方正小标宋简体"/>
          <w:b w:val="0"/>
          <w:bCs w:val="0"/>
          <w:i w:val="0"/>
          <w:iCs w:val="0"/>
          <w:caps w:val="0"/>
          <w:color w:val="000000"/>
          <w:spacing w:val="0"/>
          <w:kern w:val="0"/>
          <w:sz w:val="44"/>
          <w:szCs w:val="44"/>
          <w:bdr w:val="none" w:color="auto" w:sz="0" w:space="0"/>
          <w:shd w:val="clear" w:fill="FFFFFF"/>
        </w:rPr>
      </w:pPr>
      <w:r>
        <w:rPr>
          <w:rFonts w:hint="eastAsia" w:ascii="方正小标宋简体" w:hAnsi="方正小标宋简体" w:eastAsia="方正小标宋简体" w:cs="方正小标宋简体"/>
          <w:b w:val="0"/>
          <w:bCs w:val="0"/>
          <w:i w:val="0"/>
          <w:iCs w:val="0"/>
          <w:caps w:val="0"/>
          <w:color w:val="000000"/>
          <w:spacing w:val="0"/>
          <w:kern w:val="0"/>
          <w:sz w:val="44"/>
          <w:szCs w:val="44"/>
          <w:bdr w:val="none" w:color="auto" w:sz="0" w:space="0"/>
          <w:shd w:val="clear" w:fill="FFFFFF"/>
        </w:rPr>
        <w:t>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ightChars="0" w:firstLine="640" w:firstLineChars="200"/>
        <w:jc w:val="both"/>
      </w:pPr>
      <w:r>
        <w:rPr>
          <w:rFonts w:ascii="仿宋" w:hAnsi="仿宋" w:eastAsia="仿宋" w:cs="仿宋"/>
          <w:i w:val="0"/>
          <w:iCs w:val="0"/>
          <w:caps w:val="0"/>
          <w:color w:val="000000"/>
          <w:spacing w:val="0"/>
          <w:kern w:val="0"/>
          <w:sz w:val="32"/>
          <w:szCs w:val="32"/>
          <w:bdr w:val="none" w:color="auto" w:sz="0" w:space="0"/>
          <w:shd w:val="clear" w:fill="FFFFFF"/>
        </w:rPr>
        <w:t>根据《国务院办公厅政府信息与政务公开办公室关于印发</w:t>
      </w:r>
      <w:r>
        <w:rPr>
          <w:rFonts w:hint="eastAsia" w:ascii="仿宋" w:hAnsi="仿宋" w:eastAsia="仿宋" w:cs="仿宋"/>
          <w:i w:val="0"/>
          <w:iCs w:val="0"/>
          <w:caps w:val="0"/>
          <w:color w:val="000000"/>
          <w:spacing w:val="0"/>
          <w:kern w:val="0"/>
          <w:sz w:val="32"/>
          <w:szCs w:val="32"/>
          <w:bdr w:val="none" w:color="auto" w:sz="0" w:space="0"/>
          <w:shd w:val="clear" w:fill="FFFFFF"/>
        </w:rPr>
        <w:t>&lt;中华人民共和国政府信息公开工作年度报告格式&gt;的通知》（国办公开办函〔2021〕30号）、《安徽省政务公开办公室关于做好2022年度政府信息公开工作年度报告编制和发布工作的通知》、《六安市政务公开办公室关于做好政府信息公开年度报告编制和发布工作的通知》（六政务公开办〔2022〕53号）文件要求，霍邱县临水镇人民政府办公室编制2022年政府信息公开年度报告。报告全文包括总体情况、主动公开政府信息情况、收到和处理政府信息公开申请情况、政府信息公开行政复议、行政诉讼情况、存在的主要问题及改进措施和其他需要报告事项等6方面内容。本年度报告中所列数据统计期限为2022年1月1日起至2022年12月31日。如对本报告有疑问，请与霍邱县临水镇人民政府办公室联系(地址:霍邱县临水镇临水街道；邮编:237400；电话:0564-6363901)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ightChars="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一、</w:t>
      </w:r>
      <w:r>
        <w:rPr>
          <w:rFonts w:ascii="仿宋_GB2312" w:eastAsia="仿宋_GB2312" w:cs="仿宋_GB2312"/>
          <w:b/>
          <w:bCs/>
          <w:color w:val="000000"/>
          <w:kern w:val="0"/>
          <w:sz w:val="32"/>
          <w:szCs w:val="32"/>
          <w:bdr w:val="none" w:color="auto" w:sz="0" w:space="0"/>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ightChars="0" w:firstLine="600" w:firstLineChars="200"/>
        <w:jc w:val="both"/>
      </w:pPr>
      <w:r>
        <w:rPr>
          <w:rFonts w:hint="eastAsia" w:ascii="仿宋" w:hAnsi="仿宋" w:eastAsia="仿宋" w:cs="仿宋"/>
          <w:i w:val="0"/>
          <w:iCs w:val="0"/>
          <w:caps w:val="0"/>
          <w:color w:val="000000"/>
          <w:spacing w:val="0"/>
          <w:kern w:val="0"/>
          <w:sz w:val="30"/>
          <w:szCs w:val="30"/>
          <w:bdr w:val="none" w:color="auto" w:sz="0" w:space="0"/>
        </w:rPr>
        <w:t>2022年，临水镇紧紧围绕镇党委和政府中心工作及群众关注关切，把政务公开作为一项重点工作来抓，继续做好</w:t>
      </w:r>
      <w:r>
        <w:rPr>
          <w:rFonts w:hint="eastAsia" w:ascii="仿宋" w:hAnsi="仿宋" w:eastAsia="仿宋" w:cs="仿宋"/>
          <w:i w:val="0"/>
          <w:iCs w:val="0"/>
          <w:caps w:val="0"/>
          <w:color w:val="000000"/>
          <w:spacing w:val="0"/>
          <w:kern w:val="0"/>
          <w:sz w:val="30"/>
          <w:szCs w:val="30"/>
          <w:bdr w:val="none" w:color="auto" w:sz="0" w:space="0"/>
          <w:shd w:val="clear" w:fill="FFFFFF"/>
        </w:rPr>
        <w:t>基层政务公开标准化、规范化建设</w:t>
      </w:r>
      <w:r>
        <w:rPr>
          <w:rFonts w:hint="eastAsia" w:ascii="仿宋" w:hAnsi="仿宋" w:eastAsia="仿宋" w:cs="仿宋"/>
          <w:i w:val="0"/>
          <w:iCs w:val="0"/>
          <w:caps w:val="0"/>
          <w:color w:val="000000"/>
          <w:spacing w:val="0"/>
          <w:kern w:val="0"/>
          <w:sz w:val="30"/>
          <w:szCs w:val="30"/>
          <w:bdr w:val="none" w:color="auto" w:sz="0" w:space="0"/>
        </w:rPr>
        <w:t>。</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仿宋_GB2312" w:eastAsia="仿宋_GB2312" w:cs="仿宋_GB2312"/>
          <w:i w:val="0"/>
          <w:iCs w:val="0"/>
          <w:caps w:val="0"/>
          <w:color w:val="333333"/>
          <w:spacing w:val="0"/>
          <w:kern w:val="0"/>
          <w:sz w:val="32"/>
          <w:szCs w:val="32"/>
          <w:bdr w:val="none" w:color="auto" w:sz="0" w:space="0"/>
          <w:shd w:val="clear" w:fill="FFFFFF"/>
        </w:rPr>
        <w:t>（一）主动公开情况。按照县委、县政府对全面推进政府信息公开工作的具体实施要求，贯彻落实《中华人民共和国政府信息公开条例》有关规定,</w:t>
      </w:r>
      <w:r>
        <w:rPr>
          <w:rFonts w:hint="eastAsia" w:ascii="仿宋" w:hAnsi="仿宋" w:eastAsia="仿宋" w:cs="仿宋"/>
          <w:i w:val="0"/>
          <w:iCs w:val="0"/>
          <w:caps w:val="0"/>
          <w:color w:val="000000"/>
          <w:spacing w:val="0"/>
          <w:kern w:val="0"/>
          <w:sz w:val="30"/>
          <w:szCs w:val="30"/>
          <w:bdr w:val="none" w:color="auto" w:sz="0" w:space="0"/>
          <w:shd w:val="clear" w:fill="FFFFFF"/>
        </w:rPr>
        <w:t>做好政策解读、回应关切、财政专项资金管理和使用、社会救助、食品药品安全、医疗卫生等重点领域方面内容的公开，</w:t>
      </w:r>
      <w:r>
        <w:rPr>
          <w:rFonts w:hint="eastAsia" w:ascii="仿宋_GB2312" w:eastAsia="仿宋_GB2312" w:cs="仿宋_GB2312"/>
          <w:i w:val="0"/>
          <w:iCs w:val="0"/>
          <w:caps w:val="0"/>
          <w:color w:val="333333"/>
          <w:spacing w:val="0"/>
          <w:kern w:val="0"/>
          <w:sz w:val="32"/>
          <w:szCs w:val="32"/>
          <w:bdr w:val="none" w:color="auto" w:sz="0" w:space="0"/>
          <w:shd w:val="clear" w:fill="FFFFFF"/>
        </w:rPr>
        <w:t>2022年临水镇共公开基础栏目507条信息，两化栏目约1000条信息。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640" w:firstLineChars="200"/>
        <w:jc w:val="both"/>
      </w:pPr>
      <w:r>
        <w:rPr>
          <w:rFonts w:hint="eastAsia" w:ascii="仿宋_GB2312" w:eastAsia="仿宋_GB2312" w:cs="仿宋_GB2312"/>
          <w:i w:val="0"/>
          <w:iCs w:val="0"/>
          <w:caps w:val="0"/>
          <w:color w:val="333333"/>
          <w:spacing w:val="0"/>
          <w:kern w:val="0"/>
          <w:sz w:val="32"/>
          <w:szCs w:val="32"/>
          <w:bdr w:val="none" w:color="auto" w:sz="0" w:space="0"/>
          <w:shd w:val="clear" w:fill="FFFFFF"/>
        </w:rPr>
        <w:t>（二）依申请公开。2022年度临水镇</w:t>
      </w:r>
      <w:r>
        <w:rPr>
          <w:rFonts w:hint="eastAsia" w:ascii="仿宋_GB2312" w:hAnsi="宋体" w:eastAsia="仿宋_GB2312" w:cs="仿宋_GB2312"/>
          <w:b w:val="0"/>
          <w:bCs w:val="0"/>
          <w:i w:val="0"/>
          <w:iCs w:val="0"/>
          <w:caps w:val="0"/>
          <w:color w:val="000000"/>
          <w:spacing w:val="0"/>
          <w:kern w:val="0"/>
          <w:sz w:val="32"/>
          <w:szCs w:val="32"/>
          <w:bdr w:val="none" w:color="auto" w:sz="0" w:space="0"/>
          <w:shd w:val="clear" w:fill="FFFFFF"/>
        </w:rPr>
        <w:t>人民政府信息公开网“依申请公开”栏目收到申请0条，回复0条。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640" w:firstLineChars="200"/>
        <w:jc w:val="both"/>
      </w:pPr>
      <w:r>
        <w:rPr>
          <w:rFonts w:hint="eastAsia" w:ascii="仿宋_GB2312" w:eastAsia="仿宋_GB2312" w:cs="仿宋_GB2312"/>
          <w:i w:val="0"/>
          <w:iCs w:val="0"/>
          <w:caps w:val="0"/>
          <w:color w:val="333333"/>
          <w:spacing w:val="0"/>
          <w:kern w:val="0"/>
          <w:sz w:val="32"/>
          <w:szCs w:val="32"/>
          <w:bdr w:val="none" w:color="auto" w:sz="0" w:space="0"/>
          <w:shd w:val="clear" w:fill="FFFFFF"/>
        </w:rPr>
        <w:t>（三）政府信息管理。一是</w:t>
      </w:r>
      <w:r>
        <w:rPr>
          <w:rFonts w:hint="eastAsia" w:ascii="仿宋_GB2312" w:hAnsi="宋体" w:eastAsia="仿宋_GB2312" w:cs="仿宋_GB2312"/>
          <w:i w:val="0"/>
          <w:iCs w:val="0"/>
          <w:caps w:val="0"/>
          <w:color w:val="000000"/>
          <w:spacing w:val="0"/>
          <w:kern w:val="0"/>
          <w:sz w:val="32"/>
          <w:szCs w:val="32"/>
          <w:bdr w:val="none" w:color="auto" w:sz="0" w:space="0"/>
          <w:shd w:val="clear" w:fill="FFFFFF"/>
        </w:rPr>
        <w:t>严格遵守制度修订落实与文件按规清理章程，严格落实信息公开“三审”制度，未经三审的信息一律不得发，从政治导向、语言文字、政策法律等各方面把关。二是</w:t>
      </w:r>
      <w:r>
        <w:rPr>
          <w:rFonts w:hint="eastAsia" w:ascii="仿宋" w:hAnsi="仿宋" w:eastAsia="仿宋" w:cs="仿宋"/>
          <w:b w:val="0"/>
          <w:bCs w:val="0"/>
          <w:i w:val="0"/>
          <w:iCs w:val="0"/>
          <w:caps w:val="0"/>
          <w:color w:val="000000"/>
          <w:spacing w:val="0"/>
          <w:kern w:val="0"/>
          <w:sz w:val="32"/>
          <w:szCs w:val="32"/>
          <w:bdr w:val="none" w:color="auto" w:sz="0" w:space="0"/>
          <w:shd w:val="clear" w:fill="FFFFFF"/>
        </w:rPr>
        <w:t>部署落实</w:t>
      </w:r>
      <w:r>
        <w:rPr>
          <w:rFonts w:hint="eastAsia" w:ascii="仿宋" w:hAnsi="仿宋" w:eastAsia="仿宋" w:cs="仿宋"/>
          <w:i w:val="0"/>
          <w:iCs w:val="0"/>
          <w:caps w:val="0"/>
          <w:color w:val="000000"/>
          <w:spacing w:val="0"/>
          <w:kern w:val="0"/>
          <w:sz w:val="32"/>
          <w:szCs w:val="32"/>
          <w:bdr w:val="none" w:color="auto" w:sz="0" w:space="0"/>
          <w:shd w:val="clear" w:fill="FFFFFF"/>
        </w:rPr>
        <w:t>安排专人负责日常政府信息公开内容维护和更新、组织协调等工作，做到“以公开为常态、不公开为例外”。三是建立健全信息公开工作长效机制，完善政府信息主动公开制度、保密审查制度、依申请公开制度和考核评议等制度，把政府信息公开工作作为长期的动态工作落到实处，确保公开信息的及时性、准确性和有效性，为深化政府信息公开提供了坚强有力的组织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仿宋_GB2312" w:eastAsia="仿宋_GB2312" w:cs="仿宋_GB2312"/>
          <w:i w:val="0"/>
          <w:iCs w:val="0"/>
          <w:caps w:val="0"/>
          <w:color w:val="333333"/>
          <w:spacing w:val="0"/>
          <w:kern w:val="0"/>
          <w:sz w:val="32"/>
          <w:szCs w:val="32"/>
          <w:bdr w:val="none" w:color="auto" w:sz="0" w:space="0"/>
          <w:shd w:val="clear" w:fill="FFFFFF"/>
        </w:rPr>
        <w:t>（四）政府信息公开平台建设情况。一是依托六安市政府集约化网站，及时更新信息，</w:t>
      </w:r>
      <w:r>
        <w:rPr>
          <w:rFonts w:hint="eastAsia" w:ascii="仿宋" w:hAnsi="仿宋" w:eastAsia="仿宋" w:cs="仿宋"/>
          <w:i w:val="0"/>
          <w:iCs w:val="0"/>
          <w:caps w:val="0"/>
          <w:color w:val="000000"/>
          <w:spacing w:val="0"/>
          <w:kern w:val="0"/>
          <w:sz w:val="30"/>
          <w:szCs w:val="30"/>
          <w:bdr w:val="none" w:color="auto" w:sz="0" w:space="0"/>
          <w:shd w:val="clear" w:fill="FFFFFF"/>
        </w:rPr>
        <w:t>杜绝出现空白栏目，</w:t>
      </w:r>
      <w:r>
        <w:rPr>
          <w:rFonts w:hint="eastAsia" w:ascii="仿宋_GB2312" w:eastAsia="仿宋_GB2312" w:cs="仿宋_GB2312"/>
          <w:i w:val="0"/>
          <w:iCs w:val="0"/>
          <w:caps w:val="0"/>
          <w:color w:val="333333"/>
          <w:spacing w:val="0"/>
          <w:kern w:val="0"/>
          <w:sz w:val="32"/>
          <w:szCs w:val="32"/>
          <w:bdr w:val="none" w:color="auto" w:sz="0" w:space="0"/>
          <w:shd w:val="clear" w:fill="FFFFFF"/>
        </w:rPr>
        <w:t>充分发挥平台作用。</w:t>
      </w:r>
      <w:r>
        <w:rPr>
          <w:rFonts w:hint="eastAsia" w:ascii="仿宋" w:hAnsi="仿宋" w:eastAsia="仿宋" w:cs="仿宋"/>
          <w:b w:val="0"/>
          <w:bCs w:val="0"/>
          <w:i w:val="0"/>
          <w:iCs w:val="0"/>
          <w:caps w:val="0"/>
          <w:color w:val="000000"/>
          <w:spacing w:val="0"/>
          <w:kern w:val="0"/>
          <w:sz w:val="32"/>
          <w:szCs w:val="32"/>
          <w:bdr w:val="none" w:color="auto" w:sz="0" w:space="0"/>
          <w:shd w:val="clear" w:fill="FFFFFF"/>
        </w:rPr>
        <w:t>二是完善信息公开渠道，</w:t>
      </w:r>
      <w:r>
        <w:rPr>
          <w:rFonts w:hint="eastAsia" w:ascii="仿宋" w:hAnsi="仿宋" w:eastAsia="仿宋" w:cs="仿宋"/>
          <w:i w:val="0"/>
          <w:iCs w:val="0"/>
          <w:caps w:val="0"/>
          <w:color w:val="000000"/>
          <w:spacing w:val="0"/>
          <w:kern w:val="0"/>
          <w:sz w:val="32"/>
          <w:szCs w:val="32"/>
          <w:bdr w:val="none" w:color="auto" w:sz="0" w:space="0"/>
          <w:shd w:val="clear" w:fill="FFFFFF"/>
        </w:rPr>
        <w:t>政务信息除在网站上公开外，利用镇便民服务中心、镇政务公开栏、政务信息查阅点，及时把涉及群众切身利益的信息公开发布，群众获取信息的渠道更为通畅。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仿宋_GB2312" w:eastAsia="仿宋_GB2312" w:cs="仿宋_GB2312"/>
          <w:i w:val="0"/>
          <w:iCs w:val="0"/>
          <w:caps w:val="0"/>
          <w:color w:val="333333"/>
          <w:spacing w:val="0"/>
          <w:kern w:val="0"/>
          <w:sz w:val="32"/>
          <w:szCs w:val="32"/>
          <w:bdr w:val="none" w:color="auto" w:sz="0" w:space="0"/>
          <w:shd w:val="clear" w:fill="FFFFFF"/>
        </w:rPr>
        <w:t>（五）监督保障。为提升临水镇的政务信息公开工作，及时调整工作领导小组，强化督促指导政务信息公开工作。</w:t>
      </w:r>
      <w:r>
        <w:rPr>
          <w:rFonts w:hint="eastAsia" w:ascii="仿宋" w:hAnsi="仿宋" w:eastAsia="仿宋" w:cs="仿宋"/>
          <w:i w:val="0"/>
          <w:iCs w:val="0"/>
          <w:caps w:val="0"/>
          <w:color w:val="000000"/>
          <w:spacing w:val="0"/>
          <w:kern w:val="0"/>
          <w:sz w:val="32"/>
          <w:szCs w:val="32"/>
          <w:bdr w:val="none" w:color="auto" w:sz="0" w:space="0"/>
          <w:shd w:val="clear" w:fill="FFFFFF"/>
        </w:rPr>
        <w:t>加大自身监测力度，月度、季度监测均能第一时间落实整改完善。考评考核制度得以严格落实，对监测反馈中出现严重错误表述等情况及时进行纠正。纠正错误表述百十条，责任追究0人，依据第三方监测限时整改</w:t>
      </w:r>
      <w:r>
        <w:rPr>
          <w:rFonts w:hint="default" w:ascii="Times New Roman" w:hAnsi="Times New Roman" w:eastAsia="宋体" w:cs="Times New Roman"/>
          <w:i w:val="0"/>
          <w:iCs w:val="0"/>
          <w:caps w:val="0"/>
          <w:color w:val="000000"/>
          <w:spacing w:val="0"/>
          <w:kern w:val="0"/>
          <w:sz w:val="32"/>
          <w:szCs w:val="32"/>
          <w:bdr w:val="none" w:color="auto" w:sz="0" w:space="0"/>
          <w:shd w:val="clear" w:fill="FFFFFF"/>
        </w:rPr>
        <w:t>12</w:t>
      </w:r>
      <w:r>
        <w:rPr>
          <w:rFonts w:hint="eastAsia" w:ascii="仿宋" w:hAnsi="仿宋" w:eastAsia="仿宋" w:cs="仿宋"/>
          <w:i w:val="0"/>
          <w:iCs w:val="0"/>
          <w:caps w:val="0"/>
          <w:color w:val="000000"/>
          <w:spacing w:val="0"/>
          <w:kern w:val="0"/>
          <w:sz w:val="32"/>
          <w:szCs w:val="32"/>
          <w:bdr w:val="none" w:color="auto" w:sz="0" w:space="0"/>
          <w:shd w:val="clear" w:fill="FFFFFF"/>
        </w:rPr>
        <w:t>次。全年社会评议未出现不满意或差评等情形。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仿宋_GB2312" w:eastAsia="仿宋_GB2312" w:cs="仿宋_GB2312"/>
          <w:b/>
          <w:bCs/>
          <w:color w:val="000000"/>
          <w:kern w:val="0"/>
          <w:sz w:val="32"/>
          <w:szCs w:val="32"/>
          <w:bdr w:val="none" w:color="auto" w:sz="0" w:space="0"/>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ascii="Calibri" w:hAnsi="Calibri" w:eastAsia="宋体" w:cs="Calibri"/>
                <w:color w:val="000000"/>
                <w:kern w:val="0"/>
                <w:sz w:val="21"/>
                <w:szCs w:val="21"/>
                <w:bdr w:val="none" w:color="auto" w:sz="0" w:space="0"/>
                <w:lang w:val="en-US" w:eastAsia="zh-CN" w:bidi="ar"/>
              </w:rPr>
              <w:t> </w:t>
            </w:r>
            <w:r>
              <w:rPr>
                <w:rFonts w:hint="default" w:ascii="Calibri" w:hAnsi="Calibri" w:eastAsia="宋体" w:cs="Calibri"/>
                <w:color w:val="00000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color w:val="000000"/>
                <w:kern w:val="0"/>
                <w:sz w:val="21"/>
                <w:szCs w:val="21"/>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color w:val="000000"/>
                <w:kern w:val="0"/>
                <w:sz w:val="21"/>
                <w:szCs w:val="21"/>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仿宋_GB2312" w:eastAsia="仿宋_GB2312" w:cs="仿宋_GB2312"/>
          <w:b/>
          <w:bCs/>
          <w:color w:val="000000"/>
          <w:kern w:val="0"/>
          <w:sz w:val="32"/>
          <w:szCs w:val="32"/>
          <w:bdr w:val="none" w:color="auto" w:sz="0" w:space="0"/>
        </w:rPr>
        <w:t>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ascii="楷体" w:hAnsi="楷体" w:eastAsia="楷体" w:cs="楷体"/>
                <w:color w:val="000000"/>
                <w:kern w:val="0"/>
                <w:sz w:val="20"/>
                <w:szCs w:val="20"/>
                <w:bdr w:val="none" w:color="auto" w:sz="0" w:space="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商业</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企业</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科研</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（一）予以公开</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（二）部分公开</w:t>
            </w:r>
            <w:r>
              <w:rPr>
                <w:rFonts w:hint="eastAsia" w:ascii="楷体" w:hAnsi="楷体" w:eastAsia="楷体" w:cs="楷体"/>
                <w:color w:val="000000"/>
                <w:kern w:val="0"/>
                <w:sz w:val="20"/>
                <w:szCs w:val="20"/>
                <w:bdr w:val="none" w:color="auto" w:sz="0" w:space="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（三）不予公开</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1.属于国家秘密</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3.危及“三安全一稳定”</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7.属于行政执法案卷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8.属于行政查询事项</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（四）无法提供</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（五）不予处理</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2.重复申请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color w:val="000000"/>
                <w:kern w:val="0"/>
                <w:sz w:val="20"/>
                <w:szCs w:val="20"/>
                <w:bdr w:val="none" w:color="auto" w:sz="0" w:space="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（六）其他处理</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color w:val="000000"/>
                <w:kern w:val="0"/>
                <w:sz w:val="20"/>
                <w:szCs w:val="20"/>
                <w:bdr w:val="none" w:color="auto" w:sz="0" w:space="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color w:val="000000"/>
                <w:kern w:val="0"/>
                <w:sz w:val="20"/>
                <w:szCs w:val="20"/>
                <w:bdr w:val="none" w:color="auto" w:sz="0" w:space="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3.其他</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（七）总计</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仿宋_GB2312" w:eastAsia="仿宋_GB2312" w:cs="仿宋_GB2312"/>
          <w:b/>
          <w:bCs/>
          <w:color w:val="000000"/>
          <w:kern w:val="0"/>
          <w:sz w:val="32"/>
          <w:szCs w:val="32"/>
          <w:bdr w:val="none" w:color="auto" w:sz="0" w:space="0"/>
        </w:rPr>
        <w:t>四、政府信息公开行政复议、行政诉讼情况</w:t>
      </w:r>
    </w:p>
    <w:tbl>
      <w:tblPr>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16"/>
        <w:gridCol w:w="816"/>
        <w:gridCol w:w="816"/>
        <w:gridCol w:w="816"/>
        <w:gridCol w:w="416"/>
        <w:gridCol w:w="816"/>
        <w:gridCol w:w="816"/>
        <w:gridCol w:w="816"/>
        <w:gridCol w:w="816"/>
        <w:gridCol w:w="516"/>
        <w:gridCol w:w="816"/>
        <w:gridCol w:w="816"/>
        <w:gridCol w:w="816"/>
        <w:gridCol w:w="816"/>
        <w:gridCol w:w="4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结果 纠正</w:t>
            </w:r>
          </w:p>
        </w:tc>
        <w:tc>
          <w:tcPr>
            <w:tcW w:w="649"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其他 结果</w:t>
            </w:r>
          </w:p>
        </w:tc>
        <w:tc>
          <w:tcPr>
            <w:tcW w:w="649"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尚未 审结</w:t>
            </w:r>
          </w:p>
        </w:tc>
        <w:tc>
          <w:tcPr>
            <w:tcW w:w="649"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结果 维持</w:t>
            </w:r>
          </w:p>
        </w:tc>
        <w:tc>
          <w:tcPr>
            <w:tcW w:w="6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结果 纠正</w:t>
            </w:r>
          </w:p>
        </w:tc>
        <w:tc>
          <w:tcPr>
            <w:tcW w:w="65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其他 结果</w:t>
            </w:r>
          </w:p>
        </w:tc>
        <w:tc>
          <w:tcPr>
            <w:tcW w:w="65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尚未 审结</w:t>
            </w:r>
          </w:p>
        </w:tc>
        <w:tc>
          <w:tcPr>
            <w:tcW w:w="65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总计</w:t>
            </w:r>
          </w:p>
        </w:tc>
        <w:tc>
          <w:tcPr>
            <w:tcW w:w="65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结果 维持</w:t>
            </w:r>
          </w:p>
        </w:tc>
        <w:tc>
          <w:tcPr>
            <w:tcW w:w="65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结果 纠正</w:t>
            </w:r>
          </w:p>
        </w:tc>
        <w:tc>
          <w:tcPr>
            <w:tcW w:w="65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其他 结果</w:t>
            </w:r>
          </w:p>
        </w:tc>
        <w:tc>
          <w:tcPr>
            <w:tcW w:w="65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尚未 审结</w:t>
            </w:r>
          </w:p>
        </w:tc>
        <w:tc>
          <w:tcPr>
            <w:tcW w:w="65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 0</w:t>
            </w:r>
          </w:p>
        </w:tc>
        <w:tc>
          <w:tcPr>
            <w:tcW w:w="6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color w:val="000000"/>
                <w:kern w:val="0"/>
                <w:sz w:val="20"/>
                <w:szCs w:val="20"/>
                <w:bdr w:val="none" w:color="auto" w:sz="0" w:space="0"/>
                <w:lang w:val="en-US" w:eastAsia="zh-CN" w:bidi="ar"/>
              </w:rPr>
              <w:t>0 </w:t>
            </w:r>
          </w:p>
        </w:tc>
        <w:tc>
          <w:tcPr>
            <w:tcW w:w="6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 </w:t>
            </w:r>
            <w:r>
              <w:rPr>
                <w:rFonts w:ascii="黑体" w:hAnsi="宋体" w:eastAsia="黑体" w:cs="黑体"/>
                <w:color w:val="000000"/>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 </w:t>
            </w:r>
            <w:r>
              <w:rPr>
                <w:rFonts w:hint="eastAsia" w:ascii="黑体" w:hAnsi="宋体" w:eastAsia="黑体" w:cs="黑体"/>
                <w:color w:val="000000"/>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 </w:t>
            </w:r>
            <w:r>
              <w:rPr>
                <w:rFonts w:hint="eastAsia" w:ascii="黑体" w:hAnsi="宋体" w:eastAsia="黑体" w:cs="黑体"/>
                <w:color w:val="000000"/>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 </w:t>
            </w:r>
            <w:r>
              <w:rPr>
                <w:rFonts w:hint="eastAsia" w:ascii="黑体" w:hAnsi="宋体" w:eastAsia="黑体" w:cs="黑体"/>
                <w:color w:val="000000"/>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 </w:t>
            </w:r>
            <w:r>
              <w:rPr>
                <w:rFonts w:hint="eastAsia" w:ascii="黑体" w:hAnsi="宋体" w:eastAsia="黑体" w:cs="黑体"/>
                <w:color w:val="000000"/>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 </w:t>
            </w:r>
            <w:r>
              <w:rPr>
                <w:rFonts w:hint="eastAsia" w:ascii="黑体" w:hAnsi="宋体" w:eastAsia="黑体" w:cs="黑体"/>
                <w:color w:val="000000"/>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 </w:t>
            </w:r>
            <w:r>
              <w:rPr>
                <w:rFonts w:hint="eastAsia" w:ascii="黑体" w:hAnsi="宋体" w:eastAsia="黑体" w:cs="黑体"/>
                <w:color w:val="000000"/>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bdr w:val="none" w:color="auto" w:sz="0" w:space="0"/>
                <w:lang w:val="en-US" w:eastAsia="zh-CN" w:bidi="ar"/>
              </w:rPr>
              <w:t>0</w:t>
            </w:r>
          </w:p>
        </w:tc>
      </w:tr>
    </w:tbl>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仿宋_GB2312" w:eastAsia="仿宋_GB2312" w:cs="仿宋_GB2312"/>
          <w:b/>
          <w:bCs/>
          <w:color w:val="000000"/>
          <w:kern w:val="0"/>
          <w:sz w:val="32"/>
          <w:szCs w:val="32"/>
          <w:bdr w:val="none" w:color="auto" w:sz="0" w:space="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ightChars="0" w:firstLine="640" w:firstLineChars="200"/>
        <w:jc w:val="both"/>
      </w:pPr>
      <w:r>
        <w:rPr>
          <w:rFonts w:hint="eastAsia" w:ascii="仿宋_GB2312" w:eastAsia="仿宋_GB2312" w:cs="仿宋_GB2312"/>
          <w:kern w:val="0"/>
          <w:sz w:val="32"/>
          <w:szCs w:val="32"/>
          <w:bdr w:val="none" w:color="auto" w:sz="0" w:space="0"/>
        </w:rPr>
        <w:t>2022年，尽管我镇政务公开工作有序推进，但还存在一定问题，主要表现为信息公开不及时、不主动，信息公开内容不全面、信息质量不高等问题。2023年,我镇将认真落实各项制度，依托政府信息公开网,进一步扩大信息公开的深度和广度,加强信息公开业务学习和培训，进一步健全沟通协调机制，不断提升政府信息公开整体工作水平，确保政府信息公开的及时、高效、全面。</w:t>
      </w:r>
    </w:p>
    <w:p>
      <w:pPr>
        <w:keepNext w:val="0"/>
        <w:keepLines w:val="0"/>
        <w:widowControl/>
        <w:suppressLineNumbers w:val="0"/>
        <w:spacing w:before="0" w:beforeAutospacing="1" w:after="0" w:afterAutospacing="1"/>
        <w:ind w:left="0" w:right="0" w:firstLine="643" w:firstLineChars="200"/>
        <w:jc w:val="left"/>
      </w:pPr>
      <w:r>
        <w:rPr>
          <w:rFonts w:hint="eastAsia" w:ascii="仿宋_GB2312" w:eastAsia="仿宋_GB2312" w:cs="仿宋_GB2312" w:hAnsiTheme="minorHAnsi"/>
          <w:b/>
          <w:bCs/>
          <w:kern w:val="2"/>
          <w:sz w:val="32"/>
          <w:szCs w:val="32"/>
          <w:lang w:val="en-US" w:eastAsia="zh-CN" w:bidi="ar"/>
        </w:rPr>
        <w:t>六、其他需要报告的事项</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按照《国务院办公厅关于印发〈政府信息公开信息处理费管理办法〉的通知》（国办函〔2020〕109号）规定的按件、按量收费标准，本年度没有产生信息公开处理费。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87D5C0-2ACC-4861-AC8B-DD14FCC4918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865475D-2C84-4D5A-8BD9-A837AFA84DE2}"/>
  </w:font>
  <w:font w:name="仿宋">
    <w:panose1 w:val="02010609060101010101"/>
    <w:charset w:val="86"/>
    <w:family w:val="auto"/>
    <w:pitch w:val="default"/>
    <w:sig w:usb0="800002BF" w:usb1="38CF7CFA" w:usb2="00000016" w:usb3="00000000" w:csb0="00040001" w:csb1="00000000"/>
    <w:embedRegular r:id="rId3" w:fontKey="{4B794D0A-D271-4F70-AF3E-74F7470BE933}"/>
  </w:font>
  <w:font w:name="仿宋_GB2312">
    <w:panose1 w:val="02010609030101010101"/>
    <w:charset w:val="86"/>
    <w:family w:val="auto"/>
    <w:pitch w:val="default"/>
    <w:sig w:usb0="00000001" w:usb1="080E0000" w:usb2="00000000" w:usb3="00000000" w:csb0="00040000" w:csb1="00000000"/>
    <w:embedRegular r:id="rId4" w:fontKey="{10213928-EB5E-48F7-8D88-DB8F24E7D5D2}"/>
  </w:font>
  <w:font w:name="楷体">
    <w:panose1 w:val="02010609060101010101"/>
    <w:charset w:val="86"/>
    <w:family w:val="auto"/>
    <w:pitch w:val="default"/>
    <w:sig w:usb0="800002BF" w:usb1="38CF7CFA" w:usb2="00000016" w:usb3="00000000" w:csb0="00040001" w:csb1="00000000"/>
    <w:embedRegular r:id="rId5" w:fontKey="{648F84B0-22E0-430B-A53C-DA2CE0BBAC4C}"/>
  </w:font>
  <w:font w:name="方正仿宋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MTBmNWVjODU0ZTk2ZmE2ZmE2MDNkY2E5YTllYzkifQ=="/>
  </w:docVars>
  <w:rsids>
    <w:rsidRoot w:val="457C35E6"/>
    <w:rsid w:val="457C35E6"/>
    <w:rsid w:val="764F0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2024-02-21T00:36:00Z</dcterms:created>
  <dc:creator>WPS_1688108824</dc:creator>
  <cp:lastModifiedBy>WPS_1688108824</cp:lastModifiedBy>
  <dcterms:modified xsi:type="dcterms:W3CDTF">2024-02-21T00:38:08Z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6137DAB5D40341DC894B4778A3CBD744_13</vt:lpwstr>
  </property>
</Properties>
</file>