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8916" w:wrap="auto" w:vAnchor="margin" w:hAnchor="text" w:x="1646" w:y="2242"/>
        <w:widowControl w:val="0"/>
        <w:autoSpaceDE w:val="0"/>
        <w:autoSpaceDN w:val="0"/>
        <w:spacing w:before="0" w:after="0" w:line="36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VKVLTV+SimHei" w:hAnsi="VKVLTV+SimHei" w:cs="VKVLTV+SimHei"/>
          <w:color w:val="000000"/>
          <w:spacing w:val="-6"/>
          <w:sz w:val="36"/>
        </w:rPr>
        <w:t>霍邱县潘集镇人民政府</w:t>
      </w:r>
      <w:r>
        <w:rPr>
          <w:rFonts w:ascii="DejaVu Sans"/>
          <w:color w:val="000000"/>
          <w:spacing w:val="-27"/>
          <w:sz w:val="36"/>
        </w:rPr>
        <w:t xml:space="preserve"> </w:t>
      </w:r>
      <w:r>
        <w:rPr>
          <w:rFonts w:ascii="VKVLTV+SimHei"/>
          <w:color w:val="000000"/>
          <w:spacing w:val="-3"/>
          <w:sz w:val="36"/>
        </w:rPr>
        <w:t>2022</w:t>
      </w:r>
      <w:r>
        <w:rPr>
          <w:rFonts w:ascii="DejaVu Sans"/>
          <w:color w:val="000000"/>
          <w:spacing w:val="-25"/>
          <w:sz w:val="36"/>
        </w:rPr>
        <w:t xml:space="preserve"> </w:t>
      </w:r>
      <w:r>
        <w:rPr>
          <w:rFonts w:ascii="VKVLTV+SimHei" w:hAnsi="VKVLTV+SimHei" w:cs="VKVLTV+SimHei"/>
          <w:color w:val="000000"/>
          <w:spacing w:val="-6"/>
          <w:sz w:val="36"/>
        </w:rPr>
        <w:t>年度一般公共预算财政拨款</w:t>
      </w:r>
    </w:p>
    <w:p>
      <w:pPr>
        <w:framePr w:w="8916" w:wrap="auto" w:vAnchor="margin" w:hAnchor="text" w:x="1646" w:y="2242"/>
        <w:widowControl w:val="0"/>
        <w:autoSpaceDE w:val="0"/>
        <w:autoSpaceDN w:val="0"/>
        <w:spacing w:before="209" w:after="0" w:line="360" w:lineRule="exact"/>
        <w:ind w:left="2566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VKVLTV+SimHei" w:hAnsi="VKVLTV+SimHei" w:cs="VKVLTV+SimHei"/>
          <w:color w:val="000000"/>
          <w:spacing w:val="-6"/>
          <w:sz w:val="36"/>
        </w:rPr>
        <w:t>“三公”经费支出决算</w:t>
      </w:r>
    </w:p>
    <w:p>
      <w:pPr>
        <w:framePr w:w="8534" w:wrap="auto" w:vAnchor="margin" w:hAnchor="text" w:x="2215" w:y="4022"/>
        <w:widowControl w:val="0"/>
        <w:autoSpaceDE w:val="0"/>
        <w:autoSpaceDN w:val="0"/>
        <w:spacing w:before="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VKVLTV+SimHei" w:hAnsi="VKVLTV+SimHei" w:cs="VKVLTV+SimHei"/>
          <w:color w:val="000000"/>
          <w:spacing w:val="-8"/>
          <w:sz w:val="32"/>
        </w:rPr>
        <w:t>一、2022</w:t>
      </w:r>
      <w:r>
        <w:rPr>
          <w:rFonts w:ascii="DejaVu Sans"/>
          <w:color w:val="000000"/>
          <w:spacing w:val="-19"/>
          <w:sz w:val="32"/>
        </w:rPr>
        <w:t xml:space="preserve"> </w:t>
      </w:r>
      <w:r>
        <w:rPr>
          <w:rFonts w:ascii="VKVLTV+SimHei" w:hAnsi="VKVLTV+SimHei" w:cs="VKVLTV+SimHei"/>
          <w:color w:val="000000"/>
          <w:spacing w:val="-9"/>
          <w:sz w:val="32"/>
        </w:rPr>
        <w:t>年度一般公共预算财政拨款“三公”经费支出决算</w:t>
      </w:r>
    </w:p>
    <w:p>
      <w:pPr>
        <w:framePr w:w="559" w:wrap="auto" w:vAnchor="margin" w:hAnchor="text" w:x="1589" w:y="4593"/>
        <w:widowControl w:val="0"/>
        <w:autoSpaceDE w:val="0"/>
        <w:autoSpaceDN w:val="0"/>
        <w:spacing w:before="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VKVLTV+SimHei" w:hAnsi="VKVLTV+SimHei" w:cs="VKVLTV+SimHei"/>
          <w:color w:val="000000"/>
          <w:spacing w:val="0"/>
          <w:sz w:val="32"/>
        </w:rPr>
        <w:t>表</w:t>
      </w:r>
    </w:p>
    <w:p>
      <w:pPr>
        <w:framePr w:w="1835" w:wrap="auto" w:vAnchor="margin" w:hAnchor="text" w:x="8801" w:y="5162"/>
        <w:widowControl w:val="0"/>
        <w:autoSpaceDE w:val="0"/>
        <w:autoSpaceDN w:val="0"/>
        <w:spacing w:before="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单位：万元</w:t>
      </w:r>
    </w:p>
    <w:p>
      <w:pPr>
        <w:framePr w:w="1071" w:wrap="auto" w:vAnchor="margin" w:hAnchor="text" w:x="3257" w:y="6126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0"/>
          <w:sz w:val="28"/>
        </w:rPr>
        <w:t>项</w:t>
      </w:r>
      <w:r>
        <w:rPr>
          <w:rFonts w:ascii="DejaVu Sans"/>
          <w:color w:val="000000"/>
          <w:spacing w:val="181"/>
          <w:sz w:val="28"/>
        </w:rPr>
        <w:t xml:space="preserve"> </w:t>
      </w:r>
      <w:r>
        <w:rPr>
          <w:rFonts w:ascii="HGURGT+FangSong" w:hAnsi="HGURGT+FangSong" w:cs="HGURGT+FangSong"/>
          <w:color w:val="000000"/>
          <w:spacing w:val="0"/>
          <w:sz w:val="28"/>
        </w:rPr>
        <w:t>目</w:t>
      </w:r>
    </w:p>
    <w:p>
      <w:pPr>
        <w:framePr w:w="1071" w:wrap="auto" w:vAnchor="margin" w:hAnchor="text" w:x="3257" w:y="6126"/>
        <w:widowControl w:val="0"/>
        <w:autoSpaceDE w:val="0"/>
        <w:autoSpaceDN w:val="0"/>
        <w:spacing w:before="319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0"/>
          <w:sz w:val="28"/>
        </w:rPr>
        <w:t>合</w:t>
      </w:r>
      <w:r>
        <w:rPr>
          <w:rFonts w:ascii="DejaVu Sans"/>
          <w:color w:val="000000"/>
          <w:spacing w:val="181"/>
          <w:sz w:val="28"/>
        </w:rPr>
        <w:t xml:space="preserve"> </w:t>
      </w:r>
      <w:r>
        <w:rPr>
          <w:rFonts w:ascii="HGURGT+FangSong" w:hAnsi="HGURGT+FangSong" w:cs="HGURGT+FangSong"/>
          <w:color w:val="000000"/>
          <w:spacing w:val="0"/>
          <w:sz w:val="28"/>
        </w:rPr>
        <w:t>计</w:t>
      </w:r>
    </w:p>
    <w:p>
      <w:pPr>
        <w:framePr w:w="1347" w:wrap="auto" w:vAnchor="margin" w:hAnchor="text" w:x="6386" w:y="6126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0"/>
          <w:sz w:val="28"/>
        </w:rPr>
        <w:t>预</w:t>
      </w:r>
      <w:r>
        <w:rPr>
          <w:rFonts w:ascii="DejaVu Sans"/>
          <w:color w:val="000000"/>
          <w:spacing w:val="44"/>
          <w:sz w:val="28"/>
        </w:rPr>
        <w:t xml:space="preserve"> </w:t>
      </w:r>
      <w:r>
        <w:rPr>
          <w:rFonts w:ascii="HGURGT+FangSong" w:hAnsi="HGURGT+FangSong" w:cs="HGURGT+FangSong"/>
          <w:color w:val="000000"/>
          <w:spacing w:val="0"/>
          <w:sz w:val="28"/>
        </w:rPr>
        <w:t>算</w:t>
      </w:r>
      <w:r>
        <w:rPr>
          <w:rFonts w:ascii="DejaVu Sans"/>
          <w:color w:val="000000"/>
          <w:spacing w:val="44"/>
          <w:sz w:val="28"/>
        </w:rPr>
        <w:t xml:space="preserve"> </w:t>
      </w:r>
      <w:r>
        <w:rPr>
          <w:rFonts w:ascii="HGURGT+FangSong" w:hAnsi="HGURGT+FangSong" w:cs="HGURGT+FangSong"/>
          <w:color w:val="000000"/>
          <w:spacing w:val="0"/>
          <w:sz w:val="28"/>
        </w:rPr>
        <w:t>数</w:t>
      </w:r>
    </w:p>
    <w:p>
      <w:pPr>
        <w:framePr w:w="1347" w:wrap="auto" w:vAnchor="margin" w:hAnchor="text" w:x="8575" w:y="6126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0"/>
          <w:sz w:val="28"/>
        </w:rPr>
        <w:t>决</w:t>
      </w:r>
      <w:r>
        <w:rPr>
          <w:rFonts w:ascii="DejaVu Sans"/>
          <w:color w:val="000000"/>
          <w:spacing w:val="44"/>
          <w:sz w:val="28"/>
        </w:rPr>
        <w:t xml:space="preserve"> </w:t>
      </w:r>
      <w:r>
        <w:rPr>
          <w:rFonts w:ascii="HGURGT+FangSong" w:hAnsi="HGURGT+FangSong" w:cs="HGURGT+FangSong"/>
          <w:color w:val="000000"/>
          <w:spacing w:val="0"/>
          <w:sz w:val="28"/>
        </w:rPr>
        <w:t>算</w:t>
      </w:r>
      <w:r>
        <w:rPr>
          <w:rFonts w:ascii="DejaVu Sans"/>
          <w:color w:val="000000"/>
          <w:spacing w:val="44"/>
          <w:sz w:val="28"/>
        </w:rPr>
        <w:t xml:space="preserve"> </w:t>
      </w:r>
      <w:r>
        <w:rPr>
          <w:rFonts w:ascii="HGURGT+FangSong" w:hAnsi="HGURGT+FangSong" w:cs="HGURGT+FangSong"/>
          <w:color w:val="000000"/>
          <w:spacing w:val="0"/>
          <w:sz w:val="28"/>
        </w:rPr>
        <w:t>数</w:t>
      </w:r>
    </w:p>
    <w:p>
      <w:pPr>
        <w:framePr w:w="942" w:wrap="auto" w:vAnchor="margin" w:hAnchor="text" w:x="6593" w:y="6726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-1"/>
          <w:sz w:val="28"/>
        </w:rPr>
        <w:t>38.00</w:t>
      </w:r>
    </w:p>
    <w:p>
      <w:pPr>
        <w:framePr w:w="942" w:wrap="auto" w:vAnchor="margin" w:hAnchor="text" w:x="8782" w:y="6726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-1"/>
          <w:sz w:val="28"/>
        </w:rPr>
        <w:t>38.00</w:t>
      </w:r>
    </w:p>
    <w:p>
      <w:pPr>
        <w:framePr w:w="2488" w:wrap="auto" w:vAnchor="margin" w:hAnchor="text" w:x="1589" w:y="7323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-6"/>
          <w:sz w:val="28"/>
        </w:rPr>
        <w:t>因公出国（境）费</w:t>
      </w:r>
    </w:p>
    <w:p>
      <w:pPr>
        <w:framePr w:w="521" w:wrap="auto" w:vAnchor="margin" w:hAnchor="text" w:x="6799" w:y="7340"/>
        <w:widowControl w:val="0"/>
        <w:autoSpaceDE w:val="0"/>
        <w:autoSpaceDN w:val="0"/>
        <w:spacing w:before="0" w:after="0" w:line="281" w:lineRule="exact"/>
        <w:ind w:left="7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0"/>
          <w:sz w:val="28"/>
        </w:rPr>
        <w:t>0</w:t>
      </w:r>
    </w:p>
    <w:p>
      <w:pPr>
        <w:framePr w:w="521" w:wrap="auto" w:vAnchor="margin" w:hAnchor="text" w:x="6799" w:y="7340"/>
        <w:widowControl w:val="0"/>
        <w:autoSpaceDE w:val="0"/>
        <w:autoSpaceDN w:val="0"/>
        <w:spacing w:before="127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-1"/>
          <w:sz w:val="28"/>
        </w:rPr>
        <w:t>38</w:t>
      </w:r>
    </w:p>
    <w:p>
      <w:pPr>
        <w:framePr w:w="521" w:wrap="auto" w:vAnchor="margin" w:hAnchor="text" w:x="6799" w:y="7340"/>
        <w:widowControl w:val="0"/>
        <w:autoSpaceDE w:val="0"/>
        <w:autoSpaceDN w:val="0"/>
        <w:spacing w:before="125" w:after="0" w:line="281" w:lineRule="exact"/>
        <w:ind w:left="7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0"/>
          <w:sz w:val="28"/>
        </w:rPr>
        <w:t>0</w:t>
      </w:r>
    </w:p>
    <w:p>
      <w:pPr>
        <w:framePr w:w="521" w:wrap="auto" w:vAnchor="margin" w:hAnchor="text" w:x="8988" w:y="7340"/>
        <w:widowControl w:val="0"/>
        <w:autoSpaceDE w:val="0"/>
        <w:autoSpaceDN w:val="0"/>
        <w:spacing w:before="0" w:after="0" w:line="281" w:lineRule="exact"/>
        <w:ind w:left="7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0"/>
          <w:sz w:val="28"/>
        </w:rPr>
        <w:t>0</w:t>
      </w:r>
    </w:p>
    <w:p>
      <w:pPr>
        <w:framePr w:w="521" w:wrap="auto" w:vAnchor="margin" w:hAnchor="text" w:x="8988" w:y="7340"/>
        <w:widowControl w:val="0"/>
        <w:autoSpaceDE w:val="0"/>
        <w:autoSpaceDN w:val="0"/>
        <w:spacing w:before="127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-1"/>
          <w:sz w:val="28"/>
        </w:rPr>
        <w:t>38</w:t>
      </w:r>
    </w:p>
    <w:p>
      <w:pPr>
        <w:framePr w:w="521" w:wrap="auto" w:vAnchor="margin" w:hAnchor="text" w:x="8988" w:y="7340"/>
        <w:widowControl w:val="0"/>
        <w:autoSpaceDE w:val="0"/>
        <w:autoSpaceDN w:val="0"/>
        <w:spacing w:before="125" w:after="0" w:line="281" w:lineRule="exact"/>
        <w:ind w:left="7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0"/>
          <w:sz w:val="28"/>
        </w:rPr>
        <w:t>0</w:t>
      </w:r>
    </w:p>
    <w:p>
      <w:pPr>
        <w:framePr w:w="1645" w:wrap="auto" w:vAnchor="margin" w:hAnchor="text" w:x="1589" w:y="7731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-6"/>
          <w:sz w:val="28"/>
        </w:rPr>
        <w:t>公务接待费</w:t>
      </w:r>
    </w:p>
    <w:p>
      <w:pPr>
        <w:framePr w:w="3804" w:wrap="auto" w:vAnchor="margin" w:hAnchor="text" w:x="1589" w:y="8137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-6"/>
          <w:sz w:val="28"/>
        </w:rPr>
        <w:t>公务用车购置及运行维护费</w:t>
      </w:r>
    </w:p>
    <w:p>
      <w:pPr>
        <w:framePr w:w="3804" w:wrap="auto" w:vAnchor="margin" w:hAnchor="text" w:x="1589" w:y="8137"/>
        <w:widowControl w:val="0"/>
        <w:autoSpaceDE w:val="0"/>
        <w:autoSpaceDN w:val="0"/>
        <w:spacing w:before="127" w:after="0" w:line="281" w:lineRule="exact"/>
        <w:ind w:left="27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-6"/>
          <w:sz w:val="28"/>
        </w:rPr>
        <w:t>其中：公务用车运行维护费</w:t>
      </w:r>
    </w:p>
    <w:p>
      <w:pPr>
        <w:framePr w:w="3804" w:wrap="auto" w:vAnchor="margin" w:hAnchor="text" w:x="1589" w:y="8137"/>
        <w:widowControl w:val="0"/>
        <w:autoSpaceDE w:val="0"/>
        <w:autoSpaceDN w:val="0"/>
        <w:spacing w:before="125" w:after="0" w:line="281" w:lineRule="exact"/>
        <w:ind w:left="109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-6"/>
          <w:sz w:val="28"/>
        </w:rPr>
        <w:t>公务用车购置费</w:t>
      </w:r>
    </w:p>
    <w:p>
      <w:pPr>
        <w:framePr w:w="380" w:wrap="auto" w:vAnchor="margin" w:hAnchor="text" w:x="6869" w:y="8562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0"/>
          <w:sz w:val="28"/>
        </w:rPr>
        <w:t>0</w:t>
      </w:r>
    </w:p>
    <w:p>
      <w:pPr>
        <w:framePr w:w="380" w:wrap="auto" w:vAnchor="margin" w:hAnchor="text" w:x="9058" w:y="8562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0"/>
          <w:sz w:val="28"/>
        </w:rPr>
        <w:t>0</w:t>
      </w:r>
    </w:p>
    <w:p>
      <w:pPr>
        <w:framePr w:w="380" w:wrap="auto" w:vAnchor="margin" w:hAnchor="text" w:x="6869" w:y="8970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0"/>
          <w:sz w:val="28"/>
        </w:rPr>
        <w:t>0</w:t>
      </w:r>
    </w:p>
    <w:p>
      <w:pPr>
        <w:framePr w:w="380" w:wrap="auto" w:vAnchor="margin" w:hAnchor="text" w:x="9058" w:y="8970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IKKULK+SimSun"/>
          <w:color w:val="000000"/>
          <w:spacing w:val="0"/>
          <w:sz w:val="28"/>
        </w:rPr>
        <w:t>0</w:t>
      </w:r>
    </w:p>
    <w:p>
      <w:pPr>
        <w:framePr w:w="9232" w:wrap="auto" w:vAnchor="margin" w:hAnchor="text" w:x="1589" w:y="9301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-5"/>
          <w:sz w:val="28"/>
        </w:rPr>
        <w:t>注：本表反映部门本年度一般公共预算财政拨款“三公”经费支出预决算</w:t>
      </w:r>
    </w:p>
    <w:p>
      <w:pPr>
        <w:framePr w:w="9232" w:wrap="auto" w:vAnchor="margin" w:hAnchor="text" w:x="1589" w:y="9301"/>
        <w:widowControl w:val="0"/>
        <w:autoSpaceDE w:val="0"/>
        <w:autoSpaceDN w:val="0"/>
        <w:spacing w:before="18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-5"/>
          <w:sz w:val="28"/>
        </w:rPr>
        <w:t>情况。其中，预算数为“三公”经费全年预算数，反映按规定程序调整后</w:t>
      </w:r>
    </w:p>
    <w:p>
      <w:pPr>
        <w:framePr w:w="9232" w:wrap="auto" w:vAnchor="margin" w:hAnchor="text" w:x="1589" w:y="9301"/>
        <w:widowControl w:val="0"/>
        <w:autoSpaceDE w:val="0"/>
        <w:autoSpaceDN w:val="0"/>
        <w:spacing w:before="19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-1"/>
          <w:sz w:val="28"/>
        </w:rPr>
        <w:t>的预算数;决算数是包括当年一般公共预算财政拨款和以前年度结转资金</w:t>
      </w:r>
    </w:p>
    <w:p>
      <w:pPr>
        <w:framePr w:w="9232" w:wrap="auto" w:vAnchor="margin" w:hAnchor="text" w:x="1589" w:y="9301"/>
        <w:widowControl w:val="0"/>
        <w:autoSpaceDE w:val="0"/>
        <w:autoSpaceDN w:val="0"/>
        <w:spacing w:before="19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 w:hAnsi="HGURGT+FangSong" w:cs="HGURGT+FangSong"/>
          <w:color w:val="000000"/>
          <w:spacing w:val="-6"/>
          <w:sz w:val="28"/>
        </w:rPr>
        <w:t>安排的实际支出。</w:t>
      </w:r>
    </w:p>
    <w:p>
      <w:pPr>
        <w:framePr w:w="9033" w:wrap="auto" w:vAnchor="margin" w:hAnchor="text" w:x="1589" w:y="10629"/>
        <w:widowControl w:val="0"/>
        <w:autoSpaceDE w:val="0"/>
        <w:autoSpaceDN w:val="0"/>
        <w:spacing w:before="0" w:after="0" w:line="319" w:lineRule="exact"/>
        <w:ind w:left="626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VKVLTV+SimHei" w:hAnsi="VKVLTV+SimHei" w:cs="VKVLTV+SimHei"/>
          <w:color w:val="000000"/>
          <w:spacing w:val="-8"/>
          <w:sz w:val="32"/>
        </w:rPr>
        <w:t>二、2022</w:t>
      </w:r>
      <w:r>
        <w:rPr>
          <w:rFonts w:ascii="DejaVu Sans"/>
          <w:color w:val="000000"/>
          <w:spacing w:val="-19"/>
          <w:sz w:val="32"/>
        </w:rPr>
        <w:t xml:space="preserve"> </w:t>
      </w:r>
      <w:r>
        <w:rPr>
          <w:rFonts w:ascii="VKVLTV+SimHei" w:hAnsi="VKVLTV+SimHei" w:cs="VKVLTV+SimHei"/>
          <w:color w:val="000000"/>
          <w:spacing w:val="-9"/>
          <w:sz w:val="32"/>
        </w:rPr>
        <w:t>年度一般公共预算财政拨款“三公”经费支出情况</w:t>
      </w:r>
    </w:p>
    <w:p>
      <w:pPr>
        <w:framePr w:w="9033" w:wrap="auto" w:vAnchor="margin" w:hAnchor="text" w:x="1589" w:y="10629"/>
        <w:widowControl w:val="0"/>
        <w:autoSpaceDE w:val="0"/>
        <w:autoSpaceDN w:val="0"/>
        <w:spacing w:before="25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VKVLTV+SimHei" w:hAnsi="VKVLTV+SimHei" w:cs="VKVLTV+SimHei"/>
          <w:color w:val="000000"/>
          <w:spacing w:val="-6"/>
          <w:sz w:val="32"/>
        </w:rPr>
        <w:t>说明</w:t>
      </w:r>
    </w:p>
    <w:p>
      <w:pPr>
        <w:framePr w:w="9029" w:wrap="auto" w:vAnchor="margin" w:hAnchor="text" w:x="1589" w:y="11766"/>
        <w:widowControl w:val="0"/>
        <w:autoSpaceDE w:val="0"/>
        <w:autoSpaceDN w:val="0"/>
        <w:spacing w:before="0" w:after="0" w:line="319" w:lineRule="exact"/>
        <w:ind w:left="626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（一）一般公共预算财政拨款“三公”经费支出决算总体情</w:t>
      </w:r>
    </w:p>
    <w:p>
      <w:pPr>
        <w:framePr w:w="9029" w:wrap="auto" w:vAnchor="margin" w:hAnchor="text" w:x="1589" w:y="11766"/>
        <w:widowControl w:val="0"/>
        <w:autoSpaceDE w:val="0"/>
        <w:autoSpaceDN w:val="0"/>
        <w:spacing w:before="25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5"/>
          <w:sz w:val="32"/>
        </w:rPr>
        <w:t>况说明。</w:t>
      </w:r>
    </w:p>
    <w:p>
      <w:pPr>
        <w:framePr w:w="9172" w:wrap="auto" w:vAnchor="margin" w:hAnchor="text" w:x="1589" w:y="12904"/>
        <w:widowControl w:val="0"/>
        <w:autoSpaceDE w:val="0"/>
        <w:autoSpaceDN w:val="0"/>
        <w:spacing w:before="0" w:after="0" w:line="319" w:lineRule="exact"/>
        <w:ind w:left="626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霍邱县潘集镇人民政府</w:t>
      </w:r>
      <w:r>
        <w:rPr>
          <w:rFonts w:ascii="DejaVu Sans"/>
          <w:color w:val="000000"/>
          <w:spacing w:val="-24"/>
          <w:sz w:val="32"/>
        </w:rPr>
        <w:t xml:space="preserve"> </w:t>
      </w:r>
      <w:r>
        <w:rPr>
          <w:rFonts w:ascii="HGURGT+FangSong"/>
          <w:color w:val="000000"/>
          <w:spacing w:val="-3"/>
          <w:sz w:val="32"/>
        </w:rPr>
        <w:t>2022</w:t>
      </w:r>
      <w:r>
        <w:rPr>
          <w:rFonts w:ascii="DejaVu Sans"/>
          <w:color w:val="000000"/>
          <w:spacing w:val="-23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17"/>
          <w:sz w:val="32"/>
        </w:rPr>
        <w:t>年度一般公共预算财政拨款“三</w:t>
      </w:r>
    </w:p>
    <w:p>
      <w:pPr>
        <w:framePr w:w="9172" w:wrap="auto" w:vAnchor="margin" w:hAnchor="text" w:x="1589" w:y="12904"/>
        <w:widowControl w:val="0"/>
        <w:autoSpaceDE w:val="0"/>
        <w:autoSpaceDN w:val="0"/>
        <w:spacing w:before="25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公”经费支出预算为</w:t>
      </w:r>
      <w:r>
        <w:rPr>
          <w:rFonts w:ascii="DejaVu Sans"/>
          <w:color w:val="000000"/>
          <w:spacing w:val="-24"/>
          <w:sz w:val="32"/>
        </w:rPr>
        <w:t xml:space="preserve"> </w:t>
      </w:r>
      <w:r>
        <w:rPr>
          <w:rFonts w:ascii="HGURGT+FangSong"/>
          <w:color w:val="000000"/>
          <w:spacing w:val="-2"/>
          <w:sz w:val="32"/>
        </w:rPr>
        <w:t>38</w:t>
      </w:r>
      <w:r>
        <w:rPr>
          <w:rFonts w:ascii="DejaVu Sans"/>
          <w:color w:val="000000"/>
          <w:spacing w:val="-25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6"/>
          <w:sz w:val="32"/>
        </w:rPr>
        <w:t>万元，支出决算为</w:t>
      </w:r>
      <w:r>
        <w:rPr>
          <w:rFonts w:ascii="DejaVu Sans"/>
          <w:color w:val="000000"/>
          <w:spacing w:val="-24"/>
          <w:sz w:val="32"/>
        </w:rPr>
        <w:t xml:space="preserve"> </w:t>
      </w:r>
      <w:r>
        <w:rPr>
          <w:rFonts w:ascii="HGURGT+FangSong"/>
          <w:color w:val="000000"/>
          <w:spacing w:val="-2"/>
          <w:sz w:val="32"/>
        </w:rPr>
        <w:t>38</w:t>
      </w:r>
      <w:r>
        <w:rPr>
          <w:rFonts w:ascii="DejaVu Sans"/>
          <w:color w:val="000000"/>
          <w:spacing w:val="-25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6"/>
          <w:sz w:val="32"/>
        </w:rPr>
        <w:t>万元，完成预算的</w:t>
      </w:r>
    </w:p>
    <w:p>
      <w:pPr>
        <w:framePr w:w="9172" w:wrap="auto" w:vAnchor="margin" w:hAnchor="text" w:x="1589" w:y="12904"/>
        <w:widowControl w:val="0"/>
        <w:autoSpaceDE w:val="0"/>
        <w:autoSpaceDN w:val="0"/>
        <w:spacing w:before="25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100%；较上年无变化。为全面反映“三公”经费支出，本次公布</w:t>
      </w:r>
    </w:p>
    <w:p>
      <w:pPr>
        <w:framePr w:w="662" w:wrap="auto" w:vAnchor="margin" w:hAnchor="text" w:x="9955" w:y="14910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/>
          <w:color w:val="000000"/>
          <w:spacing w:val="0"/>
          <w:sz w:val="28"/>
        </w:rPr>
        <w:t>-1-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0" o:spid="_x0000_s1026" o:spt="75" type="#_x0000_t75" style="position:absolute;left:0pt;margin-left:72.75pt;margin-top:301.95pt;height:164.85pt;width:44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9172" w:wrap="auto" w:vAnchor="margin" w:hAnchor="text" w:x="1589" w:y="2262"/>
        <w:widowControl w:val="0"/>
        <w:autoSpaceDE w:val="0"/>
        <w:autoSpaceDN w:val="0"/>
        <w:spacing w:before="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的“三公”经费决算为部门汇总数，包含单位本级和所属单位。</w:t>
      </w:r>
    </w:p>
    <w:p>
      <w:pPr>
        <w:framePr w:w="9172" w:wrap="auto" w:vAnchor="margin" w:hAnchor="text" w:x="1589" w:y="2262"/>
        <w:widowControl w:val="0"/>
        <w:autoSpaceDE w:val="0"/>
        <w:autoSpaceDN w:val="0"/>
        <w:spacing w:before="250" w:after="0" w:line="319" w:lineRule="exact"/>
        <w:ind w:left="626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（二）一般公共预算财政拨款“三公”经费支出决算具体情</w:t>
      </w:r>
    </w:p>
    <w:p>
      <w:pPr>
        <w:framePr w:w="9172" w:wrap="auto" w:vAnchor="margin" w:hAnchor="text" w:x="1589" w:y="2262"/>
        <w:widowControl w:val="0"/>
        <w:autoSpaceDE w:val="0"/>
        <w:autoSpaceDN w:val="0"/>
        <w:spacing w:before="25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5"/>
          <w:sz w:val="32"/>
        </w:rPr>
        <w:t>况说明。</w:t>
      </w:r>
    </w:p>
    <w:p>
      <w:pPr>
        <w:framePr w:w="9172" w:wrap="auto" w:vAnchor="margin" w:hAnchor="text" w:x="1589" w:y="3969"/>
        <w:widowControl w:val="0"/>
        <w:autoSpaceDE w:val="0"/>
        <w:autoSpaceDN w:val="0"/>
        <w:spacing w:before="0" w:after="0" w:line="319" w:lineRule="exact"/>
        <w:ind w:left="626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霍邱县潘集镇人民政府</w:t>
      </w:r>
      <w:r>
        <w:rPr>
          <w:rFonts w:ascii="DejaVu Sans"/>
          <w:color w:val="000000"/>
          <w:spacing w:val="-24"/>
          <w:sz w:val="32"/>
        </w:rPr>
        <w:t xml:space="preserve"> </w:t>
      </w:r>
      <w:r>
        <w:rPr>
          <w:rFonts w:ascii="HGURGT+FangSong"/>
          <w:color w:val="000000"/>
          <w:spacing w:val="-3"/>
          <w:sz w:val="32"/>
        </w:rPr>
        <w:t>2022</w:t>
      </w:r>
      <w:r>
        <w:rPr>
          <w:rFonts w:ascii="DejaVu Sans"/>
          <w:color w:val="000000"/>
          <w:spacing w:val="-23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17"/>
          <w:sz w:val="32"/>
        </w:rPr>
        <w:t>年度一般公共预算财政拨款“三</w:t>
      </w:r>
    </w:p>
    <w:p>
      <w:pPr>
        <w:framePr w:w="9172" w:wrap="auto" w:vAnchor="margin" w:hAnchor="text" w:x="1589" w:y="3969"/>
        <w:widowControl w:val="0"/>
        <w:autoSpaceDE w:val="0"/>
        <w:autoSpaceDN w:val="0"/>
        <w:spacing w:before="25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15"/>
          <w:sz w:val="32"/>
        </w:rPr>
        <w:t>公”经费支出决算中，因公出国（境）费支出决算</w:t>
      </w:r>
      <w:r>
        <w:rPr>
          <w:rFonts w:ascii="DejaVu Sans"/>
          <w:color w:val="000000"/>
          <w:spacing w:val="-16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  <w:r>
        <w:rPr>
          <w:rFonts w:ascii="DejaVu Sans"/>
          <w:color w:val="000000"/>
          <w:spacing w:val="-24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16"/>
          <w:sz w:val="32"/>
        </w:rPr>
        <w:t>万元，占</w:t>
      </w:r>
      <w:r>
        <w:rPr>
          <w:rFonts w:ascii="DejaVu Sans"/>
          <w:color w:val="000000"/>
          <w:spacing w:val="-14"/>
          <w:sz w:val="32"/>
        </w:rPr>
        <w:t xml:space="preserve"> </w:t>
      </w:r>
      <w:r>
        <w:rPr>
          <w:rFonts w:ascii="HGURGT+FangSong"/>
          <w:color w:val="000000"/>
          <w:spacing w:val="-3"/>
          <w:sz w:val="32"/>
        </w:rPr>
        <w:t>0%;</w:t>
      </w:r>
    </w:p>
    <w:p>
      <w:pPr>
        <w:framePr w:w="9172" w:wrap="auto" w:vAnchor="margin" w:hAnchor="text" w:x="1589" w:y="3969"/>
        <w:widowControl w:val="0"/>
        <w:autoSpaceDE w:val="0"/>
        <w:autoSpaceDN w:val="0"/>
        <w:spacing w:before="252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公务接待费支出决算</w:t>
      </w:r>
      <w:r>
        <w:rPr>
          <w:rFonts w:ascii="DejaVu Sans"/>
          <w:color w:val="000000"/>
          <w:spacing w:val="-24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  <w:r>
        <w:rPr>
          <w:rFonts w:ascii="DejaVu Sans"/>
          <w:color w:val="000000"/>
          <w:spacing w:val="-27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14"/>
          <w:sz w:val="32"/>
        </w:rPr>
        <w:t>万元，占</w:t>
      </w:r>
      <w:r>
        <w:rPr>
          <w:rFonts w:ascii="DejaVu Sans"/>
          <w:color w:val="000000"/>
          <w:spacing w:val="-14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8"/>
          <w:sz w:val="32"/>
        </w:rPr>
        <w:t>0%；公务用车购置及运行维护费</w:t>
      </w:r>
    </w:p>
    <w:p>
      <w:pPr>
        <w:framePr w:w="9172" w:wrap="auto" w:vAnchor="margin" w:hAnchor="text" w:x="1589" w:y="3969"/>
        <w:widowControl w:val="0"/>
        <w:autoSpaceDE w:val="0"/>
        <w:autoSpaceDN w:val="0"/>
        <w:spacing w:before="25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支出决算</w:t>
      </w:r>
      <w:r>
        <w:rPr>
          <w:rFonts w:ascii="DejaVu Sans"/>
          <w:color w:val="000000"/>
          <w:spacing w:val="-24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  <w:r>
        <w:rPr>
          <w:rFonts w:ascii="DejaVu Sans"/>
          <w:color w:val="000000"/>
          <w:spacing w:val="-27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6"/>
          <w:sz w:val="32"/>
        </w:rPr>
        <w:t>万元，占</w:t>
      </w:r>
      <w:r>
        <w:rPr>
          <w:rFonts w:ascii="DejaVu Sans"/>
          <w:color w:val="000000"/>
          <w:spacing w:val="-22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6"/>
          <w:sz w:val="32"/>
        </w:rPr>
        <w:t>0%。具体情况如下：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319" w:lineRule="exact"/>
        <w:ind w:left="626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5"/>
          <w:sz w:val="32"/>
        </w:rPr>
        <w:t>1.因公出国（境）费预算为</w:t>
      </w:r>
      <w:r>
        <w:rPr>
          <w:rFonts w:ascii="DejaVu Sans"/>
          <w:color w:val="000000"/>
          <w:spacing w:val="-26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  <w:r>
        <w:rPr>
          <w:rFonts w:ascii="DejaVu Sans"/>
          <w:color w:val="000000"/>
          <w:spacing w:val="-27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6"/>
          <w:sz w:val="32"/>
        </w:rPr>
        <w:t>万元，支出决算为</w:t>
      </w:r>
      <w:r>
        <w:rPr>
          <w:rFonts w:ascii="DejaVu Sans"/>
          <w:color w:val="000000"/>
          <w:spacing w:val="-22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  <w:r>
        <w:rPr>
          <w:rFonts w:ascii="DejaVu Sans"/>
          <w:color w:val="000000"/>
          <w:spacing w:val="-24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6"/>
          <w:sz w:val="32"/>
        </w:rPr>
        <w:t>万元，；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exac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8"/>
          <w:sz w:val="32"/>
        </w:rPr>
        <w:t>较上年无变化。2022</w:t>
      </w:r>
      <w:r>
        <w:rPr>
          <w:rFonts w:ascii="DejaVu Sans"/>
          <w:color w:val="000000"/>
          <w:spacing w:val="-19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9"/>
          <w:sz w:val="32"/>
        </w:rPr>
        <w:t>年霍邱县潘集镇人民政府因公出国（境）团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exac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0"/>
          <w:sz w:val="32"/>
        </w:rPr>
        <w:t>组</w:t>
      </w:r>
      <w:r>
        <w:rPr>
          <w:rFonts w:ascii="DejaVu Sans"/>
          <w:color w:val="000000"/>
          <w:spacing w:val="-28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  <w:r>
        <w:rPr>
          <w:rFonts w:ascii="DejaVu Sans"/>
          <w:color w:val="000000"/>
          <w:spacing w:val="-22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3"/>
          <w:sz w:val="32"/>
        </w:rPr>
        <w:t>次，累计出国（境）0</w:t>
      </w:r>
      <w:r>
        <w:rPr>
          <w:rFonts w:ascii="DejaVu Sans"/>
          <w:color w:val="000000"/>
          <w:spacing w:val="-18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3"/>
          <w:sz w:val="32"/>
        </w:rPr>
        <w:t>人次。该项经费根据省外办批准的因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exac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公临时出国（境）计划，按照规定标准安排。经费使用严格按照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exac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0"/>
          <w:sz w:val="32"/>
        </w:rPr>
        <w:t>《霍邱县财政局外事办转发&lt;六安市市直党政机关因公临时出国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exac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13"/>
          <w:sz w:val="32"/>
        </w:rPr>
        <w:t>经费管理办法&gt;的通知》（财行〔2015〕115</w:t>
      </w:r>
      <w:r>
        <w:rPr>
          <w:rFonts w:ascii="DejaVu Sans"/>
          <w:color w:val="000000"/>
          <w:spacing w:val="-16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10"/>
          <w:sz w:val="32"/>
        </w:rPr>
        <w:t>号）等相关规定执行。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exact"/>
        <w:ind w:left="626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4"/>
          <w:sz w:val="32"/>
        </w:rPr>
        <w:t>2.公务接待费预算为</w:t>
      </w:r>
      <w:r>
        <w:rPr>
          <w:rFonts w:ascii="DejaVu Sans"/>
          <w:color w:val="000000"/>
          <w:spacing w:val="-26"/>
          <w:sz w:val="32"/>
        </w:rPr>
        <w:t xml:space="preserve"> </w:t>
      </w:r>
      <w:r>
        <w:rPr>
          <w:rFonts w:ascii="HGURGT+FangSong"/>
          <w:color w:val="000000"/>
          <w:spacing w:val="-2"/>
          <w:sz w:val="32"/>
        </w:rPr>
        <w:t>38</w:t>
      </w:r>
      <w:r>
        <w:rPr>
          <w:rFonts w:ascii="DejaVu Sans"/>
          <w:color w:val="000000"/>
          <w:spacing w:val="-25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7"/>
          <w:sz w:val="32"/>
        </w:rPr>
        <w:t>万元，支出决算为</w:t>
      </w:r>
      <w:r>
        <w:rPr>
          <w:rFonts w:ascii="DejaVu Sans"/>
          <w:color w:val="000000"/>
          <w:spacing w:val="-21"/>
          <w:sz w:val="32"/>
        </w:rPr>
        <w:t xml:space="preserve"> </w:t>
      </w:r>
      <w:r>
        <w:rPr>
          <w:rFonts w:ascii="HGURGT+FangSong"/>
          <w:color w:val="000000"/>
          <w:spacing w:val="-2"/>
          <w:sz w:val="32"/>
        </w:rPr>
        <w:t>38</w:t>
      </w:r>
      <w:r>
        <w:rPr>
          <w:rFonts w:ascii="DejaVu Sans"/>
          <w:color w:val="000000"/>
          <w:spacing w:val="-27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7"/>
          <w:sz w:val="32"/>
        </w:rPr>
        <w:t>万元，完成预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exac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算的</w:t>
      </w:r>
      <w:r>
        <w:rPr>
          <w:rFonts w:ascii="DejaVu Sans"/>
          <w:color w:val="000000"/>
          <w:spacing w:val="-25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8"/>
          <w:sz w:val="32"/>
        </w:rPr>
        <w:t>100%；较上年无变化。经费使用贯彻中央八项规定和省委实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afterLines="50" w:line="260" w:lineRule="exact"/>
        <w:ind w:left="0" w:right="0" w:firstLine="0"/>
        <w:jc w:val="left"/>
        <w:textAlignment w:val="auto"/>
        <w:rPr>
          <w:rFonts w:hint="default" w:ascii="Times New Roman" w:eastAsia="宋体"/>
          <w:color w:val="000000"/>
          <w:spacing w:val="0"/>
          <w:sz w:val="32"/>
          <w:lang w:val="en-US" w:eastAsia="zh-CN"/>
        </w:rPr>
      </w:pPr>
      <w:r>
        <w:rPr>
          <w:rFonts w:ascii="HGURGT+FangSong" w:hAnsi="HGURGT+FangSong" w:cs="HGURGT+FangSong"/>
          <w:color w:val="282828"/>
          <w:spacing w:val="-6"/>
          <w:sz w:val="32"/>
        </w:rPr>
        <w:t>施细则</w:t>
      </w:r>
      <w:r>
        <w:rPr>
          <w:rFonts w:ascii="HGURGT+FangSong" w:hAnsi="HGURGT+FangSong" w:cs="HGURGT+FangSong"/>
          <w:color w:val="000000"/>
          <w:spacing w:val="-6"/>
          <w:sz w:val="32"/>
        </w:rPr>
        <w:t>，严格执行《党政机关厉行节约反对浪费条例》、《</w:t>
      </w:r>
      <w:r>
        <w:rPr>
          <w:rFonts w:hint="eastAsia" w:ascii="HGURGT+FangSong" w:hAnsi="HGURGT+FangSong" w:cs="HGURGT+FangSong"/>
          <w:color w:val="000000"/>
          <w:spacing w:val="-6"/>
          <w:sz w:val="32"/>
          <w:lang w:val="en-US" w:eastAsia="zh-CN"/>
        </w:rPr>
        <w:t>中共霍邱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afterLines="50" w:afterAutospacing="0" w:line="260" w:lineRule="exact"/>
        <w:ind w:left="0" w:right="0" w:firstLine="0"/>
        <w:jc w:val="left"/>
        <w:textAlignment w:val="auto"/>
        <w:rPr>
          <w:rFonts w:hint="eastAsia" w:asciiTheme="minorEastAsia" w:hAnsiTheme="minorEastAsia" w:eastAsiaTheme="minorEastAsia" w:cstheme="minorEastAsia"/>
          <w:color w:val="000000"/>
          <w:spacing w:val="-8"/>
          <w:sz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000000"/>
          <w:spacing w:val="-8"/>
          <w:sz w:val="32"/>
        </w:rPr>
        <w:t>县</w:t>
      </w:r>
      <w:r>
        <w:rPr>
          <w:rFonts w:hint="eastAsia" w:asciiTheme="minorEastAsia" w:hAnsiTheme="minorEastAsia" w:eastAsiaTheme="minorEastAsia" w:cstheme="minorEastAsia"/>
          <w:color w:val="000000"/>
          <w:spacing w:val="-8"/>
          <w:sz w:val="32"/>
          <w:lang w:val="en-US" w:eastAsia="zh-CN"/>
        </w:rPr>
        <w:t>委办公室 霍邱县人民政府办公室关于印发&lt;霍邱县党政机关国内公</w:t>
      </w:r>
    </w:p>
    <w:p>
      <w:pPr>
        <w:keepNext w:val="0"/>
        <w:keepLines w:val="0"/>
        <w:pageBreakBefore w:val="0"/>
        <w:framePr w:w="9491" w:h="6417" w:hRule="exact" w:wrap="auto" w:vAnchor="margin" w:hAnchor="text" w:x="1589" w:y="624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afterLines="50" w:afterAutospacing="0" w:line="260" w:lineRule="exact"/>
        <w:ind w:left="0" w:right="0" w:firstLine="0"/>
        <w:jc w:val="left"/>
        <w:textAlignment w:val="auto"/>
        <w:rPr>
          <w:rFonts w:hint="default" w:eastAsia="宋体" w:asciiTheme="minorEastAsia" w:hAnsiTheme="minorEastAsia" w:cstheme="minorEastAsia"/>
          <w:color w:val="000000"/>
          <w:spacing w:val="-8"/>
          <w:sz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000000"/>
          <w:spacing w:val="-8"/>
          <w:sz w:val="32"/>
          <w:lang w:val="en-US" w:eastAsia="zh-CN"/>
        </w:rPr>
        <w:t>务接待管理细则&gt;的通知》(邱办</w:t>
      </w:r>
      <w:r>
        <w:rPr>
          <w:rFonts w:ascii="HGURGT+FangSong" w:hAnsi="HGURGT+FangSong" w:cs="HGURGT+FangSong"/>
          <w:color w:val="000000"/>
          <w:spacing w:val="-13"/>
          <w:sz w:val="32"/>
        </w:rPr>
        <w:t>〔</w:t>
      </w:r>
      <w:r>
        <w:rPr>
          <w:rFonts w:hint="eastAsia" w:ascii="HGURGT+FangSong" w:hAnsi="HGURGT+FangSong" w:cs="HGURGT+FangSong"/>
          <w:color w:val="000000"/>
          <w:spacing w:val="-13"/>
          <w:sz w:val="32"/>
          <w:lang w:val="en-US" w:eastAsia="zh-CN"/>
        </w:rPr>
        <w:t>2015</w:t>
      </w:r>
      <w:r>
        <w:rPr>
          <w:rFonts w:ascii="HGURGT+FangSong" w:hAnsi="HGURGT+FangSong" w:cs="HGURGT+FangSong"/>
          <w:color w:val="000000"/>
          <w:spacing w:val="-13"/>
          <w:sz w:val="32"/>
        </w:rPr>
        <w:t>〕</w:t>
      </w:r>
      <w:r>
        <w:rPr>
          <w:rFonts w:hint="eastAsia" w:ascii="HGURGT+FangSong" w:hAnsi="HGURGT+FangSong" w:cs="HGURGT+FangSong"/>
          <w:color w:val="000000"/>
          <w:spacing w:val="-13"/>
          <w:sz w:val="32"/>
          <w:lang w:val="en-US" w:eastAsia="zh-CN"/>
        </w:rPr>
        <w:t>3号）。</w:t>
      </w:r>
      <w:bookmarkStart w:id="0" w:name="_GoBack"/>
      <w:bookmarkEnd w:id="0"/>
    </w:p>
    <w:p>
      <w:pPr>
        <w:keepNext w:val="0"/>
        <w:keepLines w:val="0"/>
        <w:pageBreakBefore w:val="0"/>
        <w:framePr w:w="9172" w:wrap="auto" w:vAnchor="page" w:hAnchor="page" w:x="1638" w:y="1306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319" w:lineRule="atLeast"/>
        <w:ind w:left="626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5"/>
          <w:sz w:val="32"/>
        </w:rPr>
        <w:t>3.公务用车购置及运行维护费预算为</w:t>
      </w:r>
      <w:r>
        <w:rPr>
          <w:rFonts w:ascii="DejaVu Sans"/>
          <w:color w:val="000000"/>
          <w:spacing w:val="-35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  <w:r>
        <w:rPr>
          <w:rFonts w:ascii="DejaVu Sans"/>
          <w:color w:val="000000"/>
          <w:spacing w:val="-34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25"/>
          <w:sz w:val="32"/>
        </w:rPr>
        <w:t>万元，支出决算为</w:t>
      </w:r>
      <w:r>
        <w:rPr>
          <w:rFonts w:ascii="DejaVu Sans"/>
          <w:color w:val="000000"/>
          <w:spacing w:val="230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</w:p>
    <w:p>
      <w:pPr>
        <w:keepNext w:val="0"/>
        <w:keepLines w:val="0"/>
        <w:pageBreakBefore w:val="0"/>
        <w:framePr w:w="9172" w:wrap="auto" w:vAnchor="page" w:hAnchor="page" w:x="1638" w:y="1306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atLeas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9"/>
          <w:sz w:val="32"/>
        </w:rPr>
        <w:t>万元，完成预算的</w:t>
      </w:r>
      <w:r>
        <w:rPr>
          <w:rFonts w:ascii="DejaVu Sans"/>
          <w:color w:val="000000"/>
          <w:spacing w:val="-21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9"/>
          <w:sz w:val="32"/>
        </w:rPr>
        <w:t>0%；较上年无变化。其中，公务用车购置费预</w:t>
      </w:r>
    </w:p>
    <w:p>
      <w:pPr>
        <w:keepNext w:val="0"/>
        <w:keepLines w:val="0"/>
        <w:pageBreakBefore w:val="0"/>
        <w:framePr w:w="9172" w:wrap="auto" w:vAnchor="page" w:hAnchor="page" w:x="1638" w:y="1306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atLeas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HGURGT+FangSong" w:hAnsi="HGURGT+FangSong" w:cs="HGURGT+FangSong"/>
          <w:color w:val="000000"/>
          <w:spacing w:val="-6"/>
          <w:sz w:val="32"/>
        </w:rPr>
        <w:t>算为</w:t>
      </w:r>
      <w:r>
        <w:rPr>
          <w:rFonts w:ascii="DejaVu Sans"/>
          <w:color w:val="000000"/>
          <w:spacing w:val="-25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  <w:r>
        <w:rPr>
          <w:rFonts w:ascii="DejaVu Sans"/>
          <w:color w:val="000000"/>
          <w:spacing w:val="-27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10"/>
          <w:sz w:val="32"/>
        </w:rPr>
        <w:t>万元，支出决算为</w:t>
      </w:r>
      <w:r>
        <w:rPr>
          <w:rFonts w:ascii="DejaVu Sans"/>
          <w:color w:val="000000"/>
          <w:spacing w:val="-18"/>
          <w:sz w:val="32"/>
        </w:rPr>
        <w:t xml:space="preserve"> </w:t>
      </w:r>
      <w:r>
        <w:rPr>
          <w:rFonts w:ascii="HGURGT+FangSong"/>
          <w:color w:val="000000"/>
          <w:spacing w:val="0"/>
          <w:sz w:val="32"/>
        </w:rPr>
        <w:t>0</w:t>
      </w:r>
      <w:r>
        <w:rPr>
          <w:rFonts w:ascii="DejaVu Sans"/>
          <w:color w:val="000000"/>
          <w:spacing w:val="-27"/>
          <w:sz w:val="32"/>
        </w:rPr>
        <w:t xml:space="preserve"> </w:t>
      </w:r>
      <w:r>
        <w:rPr>
          <w:rFonts w:ascii="HGURGT+FangSong" w:hAnsi="HGURGT+FangSong" w:cs="HGURGT+FangSong"/>
          <w:color w:val="000000"/>
          <w:spacing w:val="-8"/>
          <w:sz w:val="32"/>
        </w:rPr>
        <w:t>万元；较上年无变化。</w:t>
      </w:r>
      <w:r>
        <w:rPr>
          <w:rFonts w:ascii="VRLCKC+KaiTi"/>
          <w:color w:val="000000"/>
          <w:spacing w:val="-2"/>
          <w:sz w:val="32"/>
        </w:rPr>
        <w:t>2022</w:t>
      </w:r>
      <w:r>
        <w:rPr>
          <w:rFonts w:ascii="DejaVu Sans"/>
          <w:color w:val="000000"/>
          <w:spacing w:val="-24"/>
          <w:sz w:val="32"/>
        </w:rPr>
        <w:t xml:space="preserve"> </w:t>
      </w:r>
      <w:r>
        <w:rPr>
          <w:rFonts w:ascii="VRLCKC+KaiTi" w:hAnsi="VRLCKC+KaiTi" w:cs="VRLCKC+KaiTi"/>
          <w:color w:val="000000"/>
          <w:spacing w:val="-6"/>
          <w:sz w:val="32"/>
        </w:rPr>
        <w:t>年没有安</w:t>
      </w:r>
    </w:p>
    <w:p>
      <w:pPr>
        <w:keepNext w:val="0"/>
        <w:keepLines w:val="0"/>
        <w:pageBreakBefore w:val="0"/>
        <w:framePr w:w="9172" w:wrap="auto" w:vAnchor="page" w:hAnchor="page" w:x="1638" w:y="13066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250" w:after="0" w:line="319" w:lineRule="atLeas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32"/>
        </w:rPr>
      </w:pPr>
      <w:r>
        <w:rPr>
          <w:rFonts w:ascii="VRLCKC+KaiTi" w:hAnsi="VRLCKC+KaiTi" w:cs="VRLCKC+KaiTi"/>
          <w:color w:val="000000"/>
          <w:spacing w:val="-6"/>
          <w:sz w:val="32"/>
        </w:rPr>
        <w:t>排公务用车购置费。</w:t>
      </w:r>
    </w:p>
    <w:p>
      <w:pPr>
        <w:keepNext w:val="0"/>
        <w:keepLines w:val="0"/>
        <w:pageBreakBefore w:val="0"/>
        <w:framePr w:w="662" w:wrap="auto" w:vAnchor="margin" w:hAnchor="text" w:x="9955" w:y="1491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319" w:lineRule="atLeast"/>
        <w:ind w:left="0" w:right="0" w:firstLine="0"/>
        <w:jc w:val="left"/>
        <w:textAlignment w:val="auto"/>
        <w:rPr>
          <w:rFonts w:ascii="Times New Roman"/>
          <w:color w:val="000000"/>
          <w:spacing w:val="0"/>
          <w:sz w:val="28"/>
        </w:rPr>
      </w:pPr>
      <w:r>
        <w:rPr>
          <w:rFonts w:ascii="HGURGT+FangSong"/>
          <w:color w:val="000000"/>
          <w:spacing w:val="0"/>
          <w:sz w:val="28"/>
        </w:rPr>
        <w:t>-2-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before="0" w:after="0" w:line="319" w:lineRule="atLeast"/>
        <w:ind w:left="0" w:right="0" w:firstLine="0"/>
        <w:jc w:val="left"/>
        <w:textAlignment w:val="auto"/>
        <w:rPr>
          <w:rFonts w:ascii="Arial"/>
          <w:color w:val="FF0000"/>
          <w:spacing w:val="0"/>
          <w:sz w:val="2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before="0" w:after="0" w:line="319" w:lineRule="atLeast"/>
        <w:ind w:left="0" w:right="0" w:firstLine="0"/>
        <w:jc w:val="left"/>
        <w:textAlignment w:val="auto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662" w:wrap="auto" w:vAnchor="margin" w:hAnchor="text" w:x="9955" w:y="14910"/>
        <w:widowControl w:val="0"/>
        <w:autoSpaceDE w:val="0"/>
        <w:autoSpaceDN w:val="0"/>
        <w:spacing w:before="0" w:after="0" w:line="28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HGURGT+FangSong"/>
          <w:color w:val="000000"/>
          <w:spacing w:val="0"/>
          <w:sz w:val="28"/>
        </w:rPr>
        <w:t>-3-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sectPr>
      <w:pgSz w:w="11900" w:h="16820"/>
      <w:pgMar w:top="0" w:right="0" w:bottom="0" w:left="0" w:header="720" w:footer="720" w:gutter="0"/>
      <w:pgNumType w:start="1"/>
      <w:cols w:space="72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  <w:embedRegular r:id="rId1" w:fontKey="{E81684EA-567D-4241-872F-2B971C6C6370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DBA1A313-9107-40B7-A5DA-9B1223EC9575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6CFBF5F-A60B-4E31-ACF2-1F87268BCE0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D2615CEE-DC35-43D3-8BC1-4A4F8CC4F5B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D22FBCE0-36F0-4725-9621-B276ADA2FD8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06F4EEA9-5A81-4FF9-80DB-6EEB5FE1D3F9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536F6B5D-D94B-41FA-B79A-C1B828D1981D}"/>
  </w:font>
  <w:font w:name="VKVLTV+SimHei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8" w:fontKey="{CF9CD411-62AE-49AC-BFE8-C2DD278AECFC}"/>
  </w:font>
  <w:font w:name="DejaVu Sans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9" w:fontKey="{3BC6C443-51D5-4129-B190-2C5E1980A396}"/>
  </w:font>
  <w:font w:name="HGURGT+FangSong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0" w:fontKey="{528F7B62-454C-438B-9126-EE5AE3C48E72}"/>
  </w:font>
  <w:font w:name="IKKULK+SimSun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1" w:fontKey="{A23E06E4-5A2E-46BE-A017-2E5CC0427B78}"/>
  </w:font>
  <w:font w:name="VRLCKC+KaiTi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2" w:fontKey="{75584494-23A1-4275-9148-B1A0F0C4DC8A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3" w:fontKey="{14DDBBD3-2A31-4A4D-A982-E7F56DCB7E83}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14" w:fontKey="{28505B41-1A60-401D-A723-3877974BB971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TrueTypeFonts/>
  <w:embedSystemFonts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M4OGQ0ZjdkYTA3NjU1MTE4YTI5MzU2NTI5NjdhYzMifQ=="/>
  </w:docVars>
  <w:rsids>
    <w:rsidRoot w:val="00BA5B2D"/>
    <w:rsid w:val="00B06B85"/>
    <w:rsid w:val="00B610B6"/>
    <w:rsid w:val="00BA5B2D"/>
    <w:rsid w:val="6B5850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unhideWhenUsed="0" w:uiPriority="4294967295" w:semiHidden="0" w:name="Normal Table"/>
    <w:lsdException w:unhideWhenUsed="0" w:uiPriority="4294967295" w:semiHidden="0" w:name="annotation subject"/>
    <w:lsdException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3"/>
    <w:uiPriority w:val="0"/>
    <w:pPr>
      <w:spacing w:before="120" w:after="240"/>
      <w:jc w:val="both"/>
    </w:pPr>
    <w:rPr>
      <w:rFonts w:ascii="Times New Roman" w:hAnsi="Times New Roman" w:eastAsia="宋体" w:cs="Times New Roman"/>
      <w:sz w:val="22"/>
      <w:szCs w:val="22"/>
      <w:lang w:val="en-US" w:eastAsia="en-US" w:bidi="ar-SA"/>
    </w:rPr>
  </w:style>
  <w:style w:type="character" w:default="1" w:styleId="3">
    <w:name w:val="Default Paragraph Font"/>
    <w:link w:val="1"/>
    <w:semiHidden/>
    <w:uiPriority w:val="0"/>
  </w:style>
  <w:style w:type="table" w:default="1" w:styleId="2">
    <w:name w:val="Normal Table"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4">
    <w:name w:val="No List"/>
    <w:semiHidden/>
    <w:uiPriority w:val="0"/>
    <w:rPr>
      <w:rFonts w:ascii="Times New Roman" w:hAnsi="Times New Roman" w:eastAsia="宋体" w:cs="Times New Roman"/>
      <w:sz w:val="21"/>
      <w:szCs w:val="22"/>
    </w:rPr>
  </w:style>
  <w:style w:type="table" w:customStyle="1" w:styleId="5">
    <w:name w:val="Table Normal"/>
    <w:semiHidden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3</Pages>
  <Words>115</Words>
  <Characters>959</Characters>
  <Lines>62</Lines>
  <Paragraphs>62</Paragraphs>
  <TotalTime>14</TotalTime>
  <ScaleCrop>false</ScaleCrop>
  <LinksUpToDate>false</LinksUpToDate>
  <CharactersWithSpaces>1010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2023-11-08T09:32:00Z</dcterms:created>
  <dc:creator>bae</dc:creator>
  <cp:lastModifiedBy>风起了</cp:lastModifiedBy>
  <dcterms:modified xsi:type="dcterms:W3CDTF">2023-11-08T02:07:09Z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3BEA8393E3724CA19BED6FC008672EBA_12</vt:lpwstr>
  </property>
</Properties>
</file>