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407" w:lineRule="auto"/>
        <w:rPr>
          <w:rFonts w:ascii="Arial"/>
          <w:sz w:val="21"/>
        </w:rPr>
      </w:pPr>
    </w:p>
    <w:p>
      <w:pPr>
        <w:spacing w:before="104" w:line="223" w:lineRule="auto"/>
        <w:ind w:right="21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霍农秘〔2023〕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43号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43" w:line="219" w:lineRule="auto"/>
        <w:ind w:left="26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7"/>
          <w:sz w:val="44"/>
          <w:szCs w:val="44"/>
        </w:rPr>
        <w:t>霍邱县农业农村局</w:t>
      </w:r>
    </w:p>
    <w:p>
      <w:pPr>
        <w:spacing w:before="111" w:line="219" w:lineRule="auto"/>
        <w:ind w:left="2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2"/>
          <w:sz w:val="44"/>
          <w:szCs w:val="44"/>
        </w:rPr>
        <w:t>关于印发《2023年霍邱县化学农药减量化</w:t>
      </w:r>
    </w:p>
    <w:p>
      <w:pPr>
        <w:spacing w:before="109" w:line="220" w:lineRule="auto"/>
        <w:ind w:left="21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8"/>
          <w:sz w:val="44"/>
          <w:szCs w:val="44"/>
        </w:rPr>
        <w:t>行动实施方案》的通知</w:t>
      </w:r>
    </w:p>
    <w:p>
      <w:pPr>
        <w:spacing w:before="330" w:line="221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各乡镇、开发区、局属有关单位：</w:t>
      </w:r>
    </w:p>
    <w:p>
      <w:pPr>
        <w:spacing w:before="156" w:line="323" w:lineRule="auto"/>
        <w:ind w:left="20" w:right="199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推进化学农药减量化是全方位夯实粮食安全根</w:t>
      </w:r>
      <w:r>
        <w:rPr>
          <w:rFonts w:ascii="仿宋" w:hAnsi="仿宋" w:eastAsia="仿宋" w:cs="仿宋"/>
          <w:spacing w:val="-5"/>
          <w:sz w:val="32"/>
          <w:szCs w:val="32"/>
        </w:rPr>
        <w:t>基、加快农业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全面绿色转型的必然要求，也是保障农产品质量安全、加强生态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文明建设的重要举措。为加快推进化学农药减量增效工作，健全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农药减量化机制，我县制定了《2023年化学农药减量化行动实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施方案》,现印发给你们，请结合本地实际，认真组织实施，有</w:t>
      </w:r>
    </w:p>
    <w:p>
      <w:pPr>
        <w:spacing w:line="220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力有序推进相关工作，确保取得实效。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4" w:line="222" w:lineRule="auto"/>
        <w:ind w:left="54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1"/>
          <w:sz w:val="32"/>
          <w:szCs w:val="32"/>
        </w:rPr>
        <w:t>2023年5月19日</w:t>
      </w:r>
    </w:p>
    <w:p>
      <w:pPr>
        <w:sectPr>
          <w:pgSz w:w="12190" w:h="17030"/>
          <w:pgMar w:top="1447" w:right="1539" w:bottom="0" w:left="1589" w:header="0" w:footer="0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30" w:line="219" w:lineRule="auto"/>
        <w:ind w:left="122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"/>
          <w:sz w:val="40"/>
          <w:szCs w:val="40"/>
        </w:rPr>
        <w:t>2023年化学农药减量化行动实施方案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4" w:line="317" w:lineRule="auto"/>
        <w:ind w:right="36" w:firstLine="7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坚持以习近平生态文明思想为指引，全面贯彻落实党的二十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大和中央一号文件精神，深入实施“两强一增”行动，根据省、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市相关工作要求，为切实做好我县2023年化学农</w:t>
      </w:r>
      <w:r>
        <w:rPr>
          <w:rFonts w:ascii="仿宋" w:hAnsi="仿宋" w:eastAsia="仿宋" w:cs="仿宋"/>
          <w:spacing w:val="-4"/>
          <w:sz w:val="32"/>
          <w:szCs w:val="32"/>
        </w:rPr>
        <w:t>药减量化工作，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提升绿色防控水平，全力保障农作物生产安全、农产品质量安全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和生态环境安全，特制定本方案。</w:t>
      </w:r>
    </w:p>
    <w:p>
      <w:pPr>
        <w:spacing w:before="199" w:line="224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一、总体目标</w:t>
      </w:r>
    </w:p>
    <w:p>
      <w:pPr>
        <w:spacing w:before="177" w:line="323" w:lineRule="auto"/>
        <w:ind w:right="79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做好对主要农作物化学农药使用强度(单位播种面积化学农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药使用折百量)监测调查。科学安全用药水平进一步提高，化学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农药使用量实现负增长。主要农作物病虫害绿色防控覆盖率达到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56%,统防统治覆盖率达到48%,农药包装废弃物回收率达到80%。</w:t>
      </w:r>
    </w:p>
    <w:p>
      <w:pPr>
        <w:spacing w:before="146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二、</w:t>
      </w:r>
      <w:r>
        <w:rPr>
          <w:rFonts w:ascii="黑体" w:hAnsi="黑体" w:eastAsia="黑体" w:cs="黑体"/>
          <w:spacing w:val="-8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工作措施</w:t>
      </w:r>
    </w:p>
    <w:p>
      <w:pPr>
        <w:spacing w:before="187" w:line="227" w:lineRule="auto"/>
        <w:ind w:left="83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6"/>
          <w:sz w:val="32"/>
          <w:szCs w:val="32"/>
        </w:rPr>
        <w:t>(一)加强病虫监测预警。</w:t>
      </w:r>
    </w:p>
    <w:p>
      <w:pPr>
        <w:spacing w:before="158" w:line="323" w:lineRule="auto"/>
        <w:ind w:right="47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充分利用植物保护能力提升工程项目，着力推进病虫疫情监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测智能化、网络化、可视化，完善病虫疫情监测预警网络体系建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设，全面提升监测预警能力。完善农作物重大</w:t>
      </w:r>
      <w:r>
        <w:rPr>
          <w:rFonts w:ascii="仿宋" w:hAnsi="仿宋" w:eastAsia="仿宋" w:cs="仿宋"/>
          <w:spacing w:val="-6"/>
          <w:sz w:val="32"/>
          <w:szCs w:val="32"/>
        </w:rPr>
        <w:t>病虫草鼠疫情监测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网点布局。加强草地贪夜蛾、水稻“两迁”害虫、小麦赤霉病、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水稻穗期病害等重大病虫，以及农田杂草、农区鼠害和植物疫情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的监测调查。继续协助开展农作物重大病虫草害抗药性监测评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估，为制定科学用药策略、实现精准用药和抗药性综合治理提供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支撑。加强与省市业务部门联系，强化县乡两级病虫情发生趋势</w:t>
      </w:r>
    </w:p>
    <w:p>
      <w:pPr>
        <w:sectPr>
          <w:footerReference r:id="rId5" w:type="default"/>
          <w:pgSz w:w="11860" w:h="16800"/>
          <w:pgMar w:top="1428" w:right="1420" w:bottom="1588" w:left="1540" w:header="0" w:footer="1334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568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8"/>
          <w:sz w:val="32"/>
          <w:szCs w:val="32"/>
        </w:rPr>
        <w:t>会商，集体研判发生形势。充分利用互联网、手机短信、电视、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广播等方式，提高病虫预警信息发布时效性和覆盖率。</w:t>
      </w:r>
    </w:p>
    <w:p>
      <w:pPr>
        <w:spacing w:before="148" w:line="227" w:lineRule="auto"/>
        <w:ind w:left="8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5"/>
          <w:sz w:val="32"/>
          <w:szCs w:val="32"/>
        </w:rPr>
        <w:t>(二)推广绿色防控技术。</w:t>
      </w:r>
    </w:p>
    <w:p>
      <w:pPr>
        <w:spacing w:before="180" w:line="317" w:lineRule="auto"/>
        <w:ind w:right="19"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推进三大主粮全程病虫害绿色防控行动，建设一批可复制推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广的示范片，加强对全县农户推广应用绿色防控技术的</w:t>
      </w:r>
      <w:r>
        <w:rPr>
          <w:rFonts w:ascii="仿宋" w:hAnsi="仿宋" w:eastAsia="仿宋" w:cs="仿宋"/>
          <w:spacing w:val="-8"/>
          <w:sz w:val="32"/>
          <w:szCs w:val="32"/>
        </w:rPr>
        <w:t>辐射带动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作用。开展重大病虫害生态调控、农业防治、生物防治、理化诱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控等绿色防控技术试验示范，加大虾田稻、果菜优势经济作物示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范区病虫害绿色防控力度，注重创新集成绿色防控技术，</w:t>
      </w:r>
      <w:r>
        <w:rPr>
          <w:rFonts w:ascii="仿宋" w:hAnsi="仿宋" w:eastAsia="仿宋" w:cs="仿宋"/>
          <w:spacing w:val="-7"/>
          <w:sz w:val="32"/>
          <w:szCs w:val="32"/>
        </w:rPr>
        <w:t>积极探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索小麦、水稻、果菜等病虫害全程绿色防控技术模式，促进</w:t>
      </w:r>
      <w:r>
        <w:rPr>
          <w:rFonts w:ascii="仿宋" w:hAnsi="仿宋" w:eastAsia="仿宋" w:cs="仿宋"/>
          <w:spacing w:val="-8"/>
          <w:sz w:val="32"/>
          <w:szCs w:val="32"/>
        </w:rPr>
        <w:t>病虫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害绿色防控工作可持续发展。在重大病虫防控关键时期，组</w:t>
      </w:r>
      <w:r>
        <w:rPr>
          <w:rFonts w:ascii="仿宋" w:hAnsi="仿宋" w:eastAsia="仿宋" w:cs="仿宋"/>
          <w:spacing w:val="-7"/>
          <w:sz w:val="32"/>
          <w:szCs w:val="32"/>
        </w:rPr>
        <w:t>织植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保专家和技术人员深入田间地头开展病虫疫情防控指导、政策宣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传和技术培训，落实防控工作措施，提高技术到位率。</w:t>
      </w:r>
    </w:p>
    <w:p>
      <w:pPr>
        <w:spacing w:before="226" w:line="225" w:lineRule="auto"/>
        <w:ind w:left="84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7"/>
          <w:sz w:val="32"/>
          <w:szCs w:val="32"/>
        </w:rPr>
        <w:t>(三)推进专业化统防统治。</w:t>
      </w:r>
    </w:p>
    <w:p>
      <w:pPr>
        <w:spacing w:before="168" w:line="318" w:lineRule="auto"/>
        <w:ind w:firstLine="6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认真贯彻《农作物病虫害专业化防治服务管理办法》,持续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推进农作物病虫害专业化统防统治体系与能力建设</w:t>
      </w:r>
      <w:r>
        <w:rPr>
          <w:rFonts w:ascii="仿宋" w:hAnsi="仿宋" w:eastAsia="仿宋" w:cs="仿宋"/>
          <w:spacing w:val="5"/>
          <w:sz w:val="32"/>
          <w:szCs w:val="32"/>
        </w:rPr>
        <w:t>。落实小麦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“一喷三防”、水稻玉米“一喷多促”等关键措施，培育一批管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理规范、装备精良、技术先进的专业化防治服务组织。加大购买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服务等项目资金对统防统治的支持力度，发挥专业化防治服务组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织的主力军作用，科学做好农作物病虫草害及检疫性病虫的联防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联控、统防统治和应急防治，促进统防统治和绿色防控融合发展，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不断提升全县统防统治社会化程度和科学化水平，努力减轻灾害</w:t>
      </w:r>
    </w:p>
    <w:p>
      <w:pPr>
        <w:spacing w:before="2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损失。</w:t>
      </w:r>
    </w:p>
    <w:p>
      <w:pPr>
        <w:sectPr>
          <w:footerReference r:id="rId6" w:type="default"/>
          <w:pgSz w:w="11860" w:h="16800"/>
          <w:pgMar w:top="1428" w:right="1429" w:bottom="1589" w:left="1540" w:header="0" w:footer="132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7" w:line="224" w:lineRule="auto"/>
        <w:ind w:left="89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(四)开展科学安全用药培训指导。</w:t>
      </w:r>
    </w:p>
    <w:p>
      <w:pPr>
        <w:spacing w:before="198" w:line="339" w:lineRule="auto"/>
        <w:ind w:firstLine="7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开展小麦赤霉病、主要农田杂草等重大病虫草害防治</w:t>
      </w:r>
      <w:r>
        <w:rPr>
          <w:rFonts w:ascii="仿宋" w:hAnsi="仿宋" w:eastAsia="仿宋" w:cs="仿宋"/>
          <w:spacing w:val="13"/>
          <w:sz w:val="30"/>
          <w:szCs w:val="30"/>
        </w:rPr>
        <w:t>药剂对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比试验，加强新型农药助剂、生长调节剂、新型纳</w:t>
      </w:r>
      <w:r>
        <w:rPr>
          <w:rFonts w:ascii="仿宋" w:hAnsi="仿宋" w:eastAsia="仿宋" w:cs="仿宋"/>
          <w:spacing w:val="12"/>
          <w:sz w:val="30"/>
          <w:szCs w:val="30"/>
        </w:rPr>
        <w:t>米航空制剂等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试验示范力度，筛选高效低风险药剂。开展主要农作物病虫害全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程防控技术试验示范，集成行之有效的精简化综合施药技术。进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一步加强重大病虫草抗药性监测与抗性综合治理技术集成。结合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新型职业农民培训工程、农药经营者培训、新型植保机械使用与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维修培训、植保无人机培训等项目，加强对种植大户、统防统治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组织技术人员和农药经营销售人员指导培训，切实提升全县科学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安全用药水平。</w:t>
      </w:r>
    </w:p>
    <w:p>
      <w:pPr>
        <w:spacing w:before="235" w:line="228" w:lineRule="auto"/>
        <w:ind w:left="84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3"/>
          <w:sz w:val="30"/>
          <w:szCs w:val="30"/>
        </w:rPr>
        <w:t>(五)加强农药使用调查监测。</w:t>
      </w:r>
    </w:p>
    <w:p>
      <w:pPr>
        <w:spacing w:before="175" w:line="339" w:lineRule="auto"/>
        <w:ind w:right="21" w:firstLine="66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推进实施全省农业县(市、区)种植业农药使用监测调查工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作。加强对农药使用监测调查人员和调查农户的指导培训，指导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农户及时准确记录使用情况，做到随用随记，以防数据丢失。县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级植保部门要加强对农户提供数据的审核，发现错误数据要及时 </w:t>
      </w:r>
      <w:r>
        <w:rPr>
          <w:rFonts w:ascii="仿宋" w:hAnsi="仿宋" w:eastAsia="仿宋" w:cs="仿宋"/>
          <w:spacing w:val="16"/>
          <w:sz w:val="30"/>
          <w:szCs w:val="30"/>
        </w:rPr>
        <w:t>核对更正，市、县级植保部门要对系统生成数据进行认真分析，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消除错误，减小误差，确保数据的科学性、真实性。完善农药调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查监测平台数据，为农药科学使用、安全使用、减量使用提供支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撑。</w:t>
      </w:r>
    </w:p>
    <w:p>
      <w:pPr>
        <w:spacing w:before="237" w:line="223" w:lineRule="auto"/>
        <w:ind w:left="80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(六)推进农药使用监督管理。</w:t>
      </w:r>
    </w:p>
    <w:p>
      <w:pPr>
        <w:spacing w:before="205" w:line="577" w:lineRule="exact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20"/>
          <w:sz w:val="30"/>
          <w:szCs w:val="30"/>
        </w:rPr>
        <w:t>强化省农药数字监督管理平台应用培训指导，</w:t>
      </w:r>
      <w:r>
        <w:rPr>
          <w:rFonts w:ascii="仿宋" w:hAnsi="仿宋" w:eastAsia="仿宋" w:cs="仿宋"/>
          <w:spacing w:val="12"/>
          <w:position w:val="20"/>
          <w:sz w:val="30"/>
          <w:szCs w:val="30"/>
        </w:rPr>
        <w:t>扎实推进农药</w:t>
      </w:r>
    </w:p>
    <w:p>
      <w:pPr>
        <w:spacing w:before="1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购买实名制。新建一批标准化示范门店，充分发挥其在规范经营、</w:t>
      </w:r>
    </w:p>
    <w:p>
      <w:pPr>
        <w:sectPr>
          <w:footerReference r:id="rId7" w:type="default"/>
          <w:pgSz w:w="11860" w:h="16800"/>
          <w:pgMar w:top="1428" w:right="1438" w:bottom="1620" w:left="1540" w:header="0" w:footer="1322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317" w:lineRule="auto"/>
        <w:ind w:right="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门店布局、实名制购买、电子台账和使用指导等方面的示范引领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作用。农业农村部门要强化农药执法监督，加大市场农药质量抽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查力度，依法打击制售假劣农药行为，完成全年农药市场质</w:t>
      </w:r>
      <w:r>
        <w:rPr>
          <w:rFonts w:ascii="仿宋" w:hAnsi="仿宋" w:eastAsia="仿宋" w:cs="仿宋"/>
          <w:spacing w:val="-7"/>
          <w:sz w:val="32"/>
          <w:szCs w:val="32"/>
        </w:rPr>
        <w:t>量监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督抽检任务。开展禁限用农药整治，加强行业指导、网格</w:t>
      </w:r>
      <w:r>
        <w:rPr>
          <w:rFonts w:ascii="仿宋" w:hAnsi="仿宋" w:eastAsia="仿宋" w:cs="仿宋"/>
          <w:spacing w:val="-7"/>
          <w:sz w:val="32"/>
          <w:szCs w:val="32"/>
        </w:rPr>
        <w:t>化管理</w:t>
      </w:r>
      <w:r>
        <w:rPr>
          <w:rFonts w:ascii="仿宋" w:hAnsi="仿宋" w:eastAsia="仿宋" w:cs="仿宋"/>
          <w:sz w:val="32"/>
          <w:szCs w:val="32"/>
        </w:rPr>
        <w:t xml:space="preserve"> 和执法检查工作，持续优化营商环境。选择重点区域构建回收-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贮存-转运-处理(利用)闭环体系，集中打造一批农药包装废弃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物回收处理示范区，稳步提高农药包装废弃物回收率。</w:t>
      </w:r>
    </w:p>
    <w:p>
      <w:pPr>
        <w:spacing w:before="210" w:line="227" w:lineRule="auto"/>
        <w:ind w:left="8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(七)完成环保督察反馈问题整改。</w:t>
      </w:r>
    </w:p>
    <w:p>
      <w:pPr>
        <w:spacing w:before="174" w:line="318" w:lineRule="auto"/>
        <w:ind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提高政治站位，进一步提升对中央环保督察、省委环保督察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反馈问题整改重要性的认识。坚定不移走生态优先、绿色发展之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路。建立长效机制，巩固环保督察反馈问题整改成效。以环</w:t>
      </w:r>
      <w:r>
        <w:rPr>
          <w:rFonts w:ascii="仿宋" w:hAnsi="仿宋" w:eastAsia="仿宋" w:cs="仿宋"/>
          <w:spacing w:val="-7"/>
          <w:sz w:val="32"/>
          <w:szCs w:val="32"/>
        </w:rPr>
        <w:t>保督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察反馈问题整改为契机，系统深入推进化学农药减</w:t>
      </w:r>
      <w:r>
        <w:rPr>
          <w:rFonts w:ascii="仿宋" w:hAnsi="仿宋" w:eastAsia="仿宋" w:cs="仿宋"/>
          <w:spacing w:val="-6"/>
          <w:sz w:val="32"/>
          <w:szCs w:val="32"/>
        </w:rPr>
        <w:t>量化工作，创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新发展模式，促进可持续发展。</w:t>
      </w:r>
    </w:p>
    <w:p>
      <w:pPr>
        <w:spacing w:before="176" w:line="223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三、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保障措施</w:t>
      </w:r>
    </w:p>
    <w:p>
      <w:pPr>
        <w:spacing w:before="165" w:line="224" w:lineRule="auto"/>
        <w:ind w:left="84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7"/>
          <w:sz w:val="32"/>
          <w:szCs w:val="32"/>
        </w:rPr>
        <w:t>(一)强化组织领导。</w:t>
      </w:r>
    </w:p>
    <w:p>
      <w:pPr>
        <w:spacing w:before="189" w:line="317" w:lineRule="auto"/>
        <w:ind w:right="22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各地要把化学农药减量化工作作为保障农业生产安全</w:t>
      </w:r>
      <w:r>
        <w:rPr>
          <w:rFonts w:ascii="仿宋" w:hAnsi="仿宋" w:eastAsia="仿宋" w:cs="仿宋"/>
          <w:spacing w:val="4"/>
          <w:sz w:val="32"/>
          <w:szCs w:val="32"/>
        </w:rPr>
        <w:t>与农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产品质量安全，推动农业绿色高质量发展的重要抓手，切实抓紧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抓好。各地要结合实际认真组织实施，明确目标任务，细化工作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措施，把各项工作措施落到实处。</w:t>
      </w:r>
    </w:p>
    <w:p>
      <w:pPr>
        <w:spacing w:before="177" w:line="226" w:lineRule="auto"/>
        <w:ind w:left="82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9"/>
          <w:sz w:val="32"/>
          <w:szCs w:val="32"/>
        </w:rPr>
        <w:t>(二)强化资金投入。</w:t>
      </w:r>
    </w:p>
    <w:p>
      <w:pPr>
        <w:spacing w:before="190" w:line="570" w:lineRule="exact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8"/>
          <w:sz w:val="32"/>
          <w:szCs w:val="32"/>
        </w:rPr>
        <w:t>强化与财政、生态环境等相关部门协作，建立协调机</w:t>
      </w: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制，积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极争取当地财政投入，充分利用农业生产救灾补助资金、农作物</w:t>
      </w:r>
    </w:p>
    <w:p>
      <w:pPr>
        <w:sectPr>
          <w:footerReference r:id="rId8" w:type="default"/>
          <w:pgSz w:w="11860" w:h="16800"/>
          <w:pgMar w:top="1428" w:right="1519" w:bottom="1597" w:left="1519" w:header="0" w:footer="1331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983615</wp:posOffset>
            </wp:positionH>
            <wp:positionV relativeFrom="page">
              <wp:posOffset>8838565</wp:posOffset>
            </wp:positionV>
            <wp:extent cx="5626100" cy="12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6107" cy="1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551" w:lineRule="exact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7"/>
          <w:sz w:val="31"/>
          <w:szCs w:val="31"/>
        </w:rPr>
        <w:t>重大病虫害防控补助资金等，加大病虫害防治资金投入，整合资</w:t>
      </w:r>
    </w:p>
    <w:p>
      <w:pPr>
        <w:spacing w:line="222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源，形成合力，切实推进化学农药减化。</w:t>
      </w:r>
    </w:p>
    <w:p>
      <w:pPr>
        <w:spacing w:before="168" w:line="224" w:lineRule="auto"/>
        <w:ind w:left="86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(三)强化宣传引导。</w:t>
      </w:r>
    </w:p>
    <w:p>
      <w:pPr>
        <w:spacing w:before="210" w:line="328" w:lineRule="auto"/>
        <w:ind w:left="22" w:right="12" w:firstLine="7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充分利用广播、电视、报刊、互联网等媒体，广泛宣传化学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农药减量化对促进农业高质量发展、提高农产品质量、保护生态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环境的作用意义，推进农业生产者的积极配合参与，争取社会各</w:t>
      </w:r>
    </w:p>
    <w:p>
      <w:pPr>
        <w:spacing w:line="222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界关心与技持，营造良好社会氛围。</w:t>
      </w:r>
    </w:p>
    <w:p>
      <w:pPr>
        <w:spacing w:before="184" w:line="227" w:lineRule="auto"/>
        <w:ind w:left="8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8"/>
          <w:sz w:val="31"/>
          <w:szCs w:val="31"/>
        </w:rPr>
        <w:t>(四)强化科技支撑。</w:t>
      </w:r>
    </w:p>
    <w:p>
      <w:pPr>
        <w:spacing w:before="182" w:line="333" w:lineRule="auto"/>
        <w:ind w:left="22" w:firstLine="6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坚持问题导向，及早聚焦农药使用中的关键突出问题，充分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整合政、企、研、学、推资源力量，充分发挥农作物病虫害技术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人员作用，加强新型高效农药药械产品、关键重大技术应</w:t>
      </w:r>
      <w:r>
        <w:rPr>
          <w:rFonts w:ascii="仿宋" w:hAnsi="仿宋" w:eastAsia="仿宋" w:cs="仿宋"/>
          <w:spacing w:val="2"/>
          <w:sz w:val="31"/>
          <w:szCs w:val="31"/>
        </w:rPr>
        <w:t>用探索</w:t>
      </w:r>
    </w:p>
    <w:p>
      <w:pPr>
        <w:spacing w:before="1" w:line="221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和集成推广。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2" w:line="223" w:lineRule="auto"/>
        <w:ind w:left="22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250825</wp:posOffset>
            </wp:positionV>
            <wp:extent cx="5420995" cy="241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1058" cy="2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3"/>
          <w:position w:val="1"/>
          <w:sz w:val="31"/>
          <w:szCs w:val="31"/>
        </w:rPr>
        <w:t>霍邱县农业农村局</w:t>
      </w:r>
      <w:r>
        <w:rPr>
          <w:rFonts w:ascii="仿宋" w:hAnsi="仿宋" w:eastAsia="仿宋" w:cs="仿宋"/>
          <w:spacing w:val="12"/>
          <w:position w:val="1"/>
          <w:sz w:val="31"/>
          <w:szCs w:val="31"/>
        </w:rPr>
        <w:t xml:space="preserve">          </w:t>
      </w:r>
      <w:r>
        <w:rPr>
          <w:rFonts w:hint="eastAsia" w:ascii="仿宋" w:hAnsi="仿宋" w:eastAsia="仿宋" w:cs="仿宋"/>
          <w:spacing w:val="12"/>
          <w:position w:val="1"/>
          <w:sz w:val="31"/>
          <w:szCs w:val="31"/>
          <w:lang w:val="en-US" w:eastAsia="zh-CN"/>
        </w:rPr>
        <w:t xml:space="preserve">           </w:t>
      </w:r>
      <w:bookmarkStart w:id="0" w:name="_GoBack"/>
      <w:bookmarkEnd w:id="0"/>
      <w:r>
        <w:rPr>
          <w:rFonts w:ascii="仿宋" w:hAnsi="仿宋" w:eastAsia="仿宋" w:cs="仿宋"/>
          <w:spacing w:val="3"/>
          <w:position w:val="-1"/>
          <w:sz w:val="31"/>
          <w:szCs w:val="31"/>
        </w:rPr>
        <w:t>2023年5月19日印发</w:t>
      </w:r>
    </w:p>
    <w:sectPr>
      <w:footerReference r:id="rId9" w:type="default"/>
      <w:pgSz w:w="11860" w:h="16800"/>
      <w:pgMar w:top="1428" w:right="1450" w:bottom="1589" w:left="1547" w:header="0" w:footer="13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79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spacing w:val="-9"/>
        <w:w w:val="66"/>
        <w:sz w:val="26"/>
        <w:szCs w:val="26"/>
      </w:rPr>
      <w:t>—</w:t>
    </w:r>
    <w:r>
      <w:rPr>
        <w:rFonts w:ascii="仿宋" w:hAnsi="仿宋" w:eastAsia="仿宋" w:cs="仿宋"/>
        <w:spacing w:val="-18"/>
        <w:w w:val="97"/>
        <w:sz w:val="26"/>
        <w:szCs w:val="26"/>
      </w:rPr>
      <w:t>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9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w w:val="65"/>
        <w:sz w:val="27"/>
        <w:szCs w:val="27"/>
      </w:rPr>
      <w:t>—</w:t>
    </w:r>
    <w:r>
      <w:rPr>
        <w:rFonts w:ascii="宋体" w:hAnsi="宋体" w:eastAsia="宋体" w:cs="宋体"/>
        <w:spacing w:val="-22"/>
        <w:w w:val="98"/>
        <w:sz w:val="27"/>
        <w:szCs w:val="27"/>
      </w:rPr>
      <w:t>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9"/>
        <w:w w:val="57"/>
        <w:sz w:val="30"/>
        <w:szCs w:val="30"/>
      </w:rPr>
      <w:t>—</w:t>
    </w:r>
    <w:r>
      <w:rPr>
        <w:rFonts w:ascii="宋体" w:hAnsi="宋体" w:eastAsia="宋体" w:cs="宋体"/>
        <w:spacing w:val="-16"/>
        <w:w w:val="92"/>
        <w:sz w:val="30"/>
        <w:szCs w:val="30"/>
      </w:rPr>
      <w:t>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19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w w:val="65"/>
        <w:sz w:val="27"/>
        <w:szCs w:val="27"/>
      </w:rPr>
      <w:t>—</w:t>
    </w:r>
    <w:r>
      <w:rPr>
        <w:rFonts w:ascii="宋体" w:hAnsi="宋体" w:eastAsia="宋体" w:cs="宋体"/>
        <w:spacing w:val="-22"/>
        <w:w w:val="98"/>
        <w:sz w:val="27"/>
        <w:szCs w:val="27"/>
      </w:rPr>
      <w:t>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2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w w:val="65"/>
        <w:sz w:val="27"/>
        <w:szCs w:val="27"/>
      </w:rPr>
      <w:t>—</w:t>
    </w:r>
    <w:r>
      <w:rPr>
        <w:rFonts w:ascii="宋体" w:hAnsi="宋体" w:eastAsia="宋体" w:cs="宋体"/>
        <w:spacing w:val="-19"/>
        <w:w w:val="97"/>
        <w:sz w:val="27"/>
        <w:szCs w:val="27"/>
      </w:rPr>
      <w:t>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M0YmE5NGQzYmZkZmFjOWYxYzUxYmE2ODlhNGY4MDMifQ=="/>
  </w:docVars>
  <w:rsids>
    <w:rsidRoot w:val="00000000"/>
    <w:rsid w:val="6F383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2569</Words>
  <Characters>2597</Characters>
  <TotalTime>0</TotalTime>
  <ScaleCrop>false</ScaleCrop>
  <LinksUpToDate>false</LinksUpToDate>
  <CharactersWithSpaces>2681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2023-07-07T21:32:00Z</dcterms:created>
  <dc:creator>Kingsoft-PDF</dc:creator>
  <cp:lastModifiedBy>张锐</cp:lastModifiedBy>
  <dcterms:modified xsi:type="dcterms:W3CDTF">2023-07-07T13:33:18Z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2023-07-07T21:32:42Z</vt:filetime>
  </property>
  <property fmtid="{D5CDD505-2E9C-101B-9397-08002B2CF9AE}" pid="4" name="UsrData">
    <vt:lpwstr>64a813f7423552001f9f11f4wl</vt:lpwstr>
  </property>
  <property fmtid="{D5CDD505-2E9C-101B-9397-08002B2CF9AE}" pid="5" name="KSOProductBuildVer">
    <vt:lpwstr>2052-11.1.0.14309</vt:lpwstr>
  </property>
  <property fmtid="{D5CDD505-2E9C-101B-9397-08002B2CF9AE}" pid="6" name="ICV">
    <vt:lpwstr>7A58033CCB0D449CB52698E15B63E566_12</vt:lpwstr>
  </property>
</Properties>
</file>