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hint="default" w:ascii="Times New Roman" w:hAnsi="Times New Roman" w:cs="Times New Roman"/>
          <w:sz w:val="21"/>
        </w:rPr>
      </w:pPr>
    </w:p>
    <w:p>
      <w:pPr>
        <w:spacing w:line="283" w:lineRule="auto"/>
        <w:rPr>
          <w:rFonts w:hint="default" w:ascii="Times New Roman" w:hAnsi="Times New Roman" w:cs="Times New Roman"/>
          <w:sz w:val="21"/>
        </w:rPr>
      </w:pPr>
    </w:p>
    <w:p>
      <w:pPr>
        <w:spacing w:line="283" w:lineRule="auto"/>
        <w:rPr>
          <w:rFonts w:hint="default" w:ascii="Times New Roman" w:hAnsi="Times New Roman" w:cs="Times New Roman"/>
          <w:sz w:val="21"/>
        </w:rPr>
      </w:pPr>
    </w:p>
    <w:p>
      <w:pPr>
        <w:spacing w:line="283" w:lineRule="auto"/>
        <w:rPr>
          <w:rFonts w:hint="default" w:ascii="Times New Roman" w:hAnsi="Times New Roman" w:cs="Times New Roman"/>
          <w:sz w:val="21"/>
        </w:rPr>
      </w:pPr>
    </w:p>
    <w:p>
      <w:pPr>
        <w:spacing w:line="284" w:lineRule="auto"/>
        <w:rPr>
          <w:rFonts w:hint="default" w:ascii="Times New Roman" w:hAnsi="Times New Roman" w:cs="Times New Roman"/>
          <w:sz w:val="21"/>
        </w:rPr>
      </w:pPr>
    </w:p>
    <w:p>
      <w:pPr>
        <w:spacing w:line="407" w:lineRule="auto"/>
        <w:rPr>
          <w:rFonts w:hint="default" w:ascii="Times New Roman" w:hAnsi="Times New Roman" w:cs="Times New Roman"/>
          <w:sz w:val="21"/>
        </w:rPr>
      </w:pPr>
    </w:p>
    <w:p>
      <w:pPr>
        <w:spacing w:before="104" w:line="223" w:lineRule="auto"/>
        <w:ind w:right="213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2"/>
          <w:sz w:val="32"/>
          <w:szCs w:val="32"/>
        </w:rPr>
        <w:t>霍农秘〔2023〕43号</w:t>
      </w:r>
    </w:p>
    <w:p>
      <w:pPr>
        <w:spacing w:line="284" w:lineRule="auto"/>
        <w:rPr>
          <w:rFonts w:hint="default" w:ascii="Times New Roman" w:hAnsi="Times New Roman" w:cs="Times New Roman"/>
          <w:sz w:val="21"/>
        </w:rPr>
      </w:pPr>
    </w:p>
    <w:p>
      <w:pPr>
        <w:spacing w:line="284" w:lineRule="auto"/>
        <w:rPr>
          <w:rFonts w:hint="default" w:ascii="Times New Roman" w:hAnsi="Times New Roman" w:cs="Times New Roman"/>
          <w:sz w:val="21"/>
        </w:rPr>
      </w:pPr>
    </w:p>
    <w:p>
      <w:pPr>
        <w:spacing w:line="284" w:lineRule="auto"/>
        <w:rPr>
          <w:rFonts w:hint="default" w:ascii="Times New Roman" w:hAnsi="Times New Roman" w:cs="Times New Roman"/>
          <w:sz w:val="21"/>
        </w:rPr>
      </w:pPr>
    </w:p>
    <w:p>
      <w:pPr>
        <w:spacing w:before="143" w:line="219" w:lineRule="auto"/>
        <w:ind w:left="2606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7"/>
          <w:sz w:val="44"/>
          <w:szCs w:val="44"/>
        </w:rPr>
        <w:t>霍邱县农业农村局</w:t>
      </w:r>
    </w:p>
    <w:p>
      <w:pPr>
        <w:spacing w:before="111" w:line="219" w:lineRule="auto"/>
        <w:ind w:left="226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2"/>
          <w:sz w:val="44"/>
          <w:szCs w:val="44"/>
        </w:rPr>
        <w:t>关于印发《2023年霍邱县化学农药减量化</w:t>
      </w:r>
    </w:p>
    <w:p>
      <w:pPr>
        <w:spacing w:before="109" w:line="220" w:lineRule="auto"/>
        <w:ind w:left="2146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8"/>
          <w:sz w:val="44"/>
          <w:szCs w:val="44"/>
        </w:rPr>
        <w:t>行动实施方案》的通知</w:t>
      </w:r>
    </w:p>
    <w:p>
      <w:pPr>
        <w:spacing w:before="330" w:line="221" w:lineRule="auto"/>
        <w:ind w:left="2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各乡镇、开发区、局属有关单位：</w:t>
      </w:r>
      <w:bookmarkStart w:id="0" w:name="_GoBack"/>
      <w:bookmarkEnd w:id="0"/>
    </w:p>
    <w:p>
      <w:pPr>
        <w:spacing w:before="156" w:line="323" w:lineRule="auto"/>
        <w:ind w:left="20" w:right="199" w:firstLine="62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推进化学农药减量化是全方位夯实粮食安全根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基、加快农业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全面绿色转型的必然要求，也是保障农产品质量安全、加强生态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文明建设的重要举措。为加快推进化学农药减量增效工作，健全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>农药减量化机制，我县制定了《2023年化学农药减量化行动实</w:t>
      </w:r>
      <w:r>
        <w:rPr>
          <w:rFonts w:hint="default" w:ascii="Times New Roman" w:hAnsi="Times New Roman" w:eastAsia="仿宋" w:cs="Times New Roman"/>
          <w:spacing w:val="13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>施方案》,现印发给你们，请结合本地实际，认真组织实施，有</w:t>
      </w:r>
    </w:p>
    <w:p>
      <w:pPr>
        <w:spacing w:line="220" w:lineRule="auto"/>
        <w:ind w:left="2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力有序推进相关工作，确保取得实效。</w:t>
      </w:r>
    </w:p>
    <w:p>
      <w:pPr>
        <w:spacing w:line="287" w:lineRule="auto"/>
        <w:rPr>
          <w:rFonts w:hint="default" w:ascii="Times New Roman" w:hAnsi="Times New Roman" w:cs="Times New Roman"/>
          <w:sz w:val="21"/>
        </w:rPr>
      </w:pPr>
    </w:p>
    <w:p>
      <w:pPr>
        <w:spacing w:line="288" w:lineRule="auto"/>
        <w:rPr>
          <w:rFonts w:hint="default" w:ascii="Times New Roman" w:hAnsi="Times New Roman" w:cs="Times New Roman"/>
          <w:sz w:val="21"/>
        </w:rPr>
      </w:pPr>
    </w:p>
    <w:p>
      <w:pPr>
        <w:spacing w:line="288" w:lineRule="auto"/>
        <w:rPr>
          <w:rFonts w:hint="default" w:ascii="Times New Roman" w:hAnsi="Times New Roman" w:cs="Times New Roman"/>
          <w:sz w:val="21"/>
        </w:rPr>
      </w:pPr>
    </w:p>
    <w:p>
      <w:pPr>
        <w:spacing w:line="288" w:lineRule="auto"/>
        <w:rPr>
          <w:rFonts w:hint="default" w:ascii="Times New Roman" w:hAnsi="Times New Roman" w:cs="Times New Roman"/>
          <w:sz w:val="21"/>
        </w:rPr>
      </w:pPr>
    </w:p>
    <w:p>
      <w:pPr>
        <w:spacing w:before="104" w:line="222" w:lineRule="auto"/>
        <w:ind w:left="54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41"/>
          <w:sz w:val="32"/>
          <w:szCs w:val="32"/>
        </w:rPr>
        <w:t>2023年5月19日</w:t>
      </w:r>
    </w:p>
    <w:p>
      <w:pPr>
        <w:rPr>
          <w:rFonts w:hint="default" w:ascii="Times New Roman" w:hAnsi="Times New Roman" w:cs="Times New Roman"/>
        </w:rPr>
        <w:sectPr>
          <w:pgSz w:w="12190" w:h="17030"/>
          <w:pgMar w:top="1447" w:right="1539" w:bottom="0" w:left="1589" w:header="0" w:footer="0" w:gutter="0"/>
          <w:cols w:space="720" w:num="1"/>
        </w:sectPr>
      </w:pPr>
    </w:p>
    <w:p>
      <w:pPr>
        <w:spacing w:line="334" w:lineRule="auto"/>
        <w:rPr>
          <w:rFonts w:hint="default" w:ascii="Times New Roman" w:hAnsi="Times New Roman" w:cs="Times New Roman"/>
          <w:sz w:val="21"/>
        </w:rPr>
      </w:pPr>
    </w:p>
    <w:p>
      <w:pPr>
        <w:spacing w:before="130" w:line="219" w:lineRule="auto"/>
        <w:ind w:left="1225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"/>
          <w:sz w:val="40"/>
          <w:szCs w:val="40"/>
        </w:rPr>
        <w:t>2023年化学农药减量化行动实施方案</w:t>
      </w:r>
    </w:p>
    <w:p>
      <w:pPr>
        <w:spacing w:line="289" w:lineRule="auto"/>
        <w:rPr>
          <w:rFonts w:hint="default" w:ascii="Times New Roman" w:hAnsi="Times New Roman" w:cs="Times New Roman"/>
          <w:sz w:val="21"/>
        </w:rPr>
      </w:pPr>
    </w:p>
    <w:p>
      <w:pPr>
        <w:spacing w:line="289" w:lineRule="auto"/>
        <w:rPr>
          <w:rFonts w:hint="default" w:ascii="Times New Roman" w:hAnsi="Times New Roman" w:cs="Times New Roman"/>
          <w:sz w:val="21"/>
        </w:rPr>
      </w:pPr>
    </w:p>
    <w:p>
      <w:pPr>
        <w:spacing w:before="104" w:line="317" w:lineRule="auto"/>
        <w:ind w:right="36" w:firstLine="72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>坚持以习近平生态文明思想为指引，全面贯彻落实党的二十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大和中央一号文件精神，深入实施“两强一增”行动，根据省、</w:t>
      </w:r>
      <w:r>
        <w:rPr>
          <w:rFonts w:hint="default" w:ascii="Times New Roman" w:hAnsi="Times New Roman" w:eastAsia="仿宋" w:cs="Times New Roman"/>
          <w:spacing w:val="18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市相关工作要求，为切实做好我县2023年化学农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药减量化工作，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提升绿色防控水平，全力保障农作物生产安全、农产品质量安全</w:t>
      </w:r>
    </w:p>
    <w:p>
      <w:pPr>
        <w:spacing w:before="1" w:line="221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和生态环境安全，特制定本方案。</w:t>
      </w:r>
    </w:p>
    <w:p>
      <w:pPr>
        <w:spacing w:before="199" w:line="224" w:lineRule="auto"/>
        <w:ind w:left="664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pacing w:val="-2"/>
          <w:sz w:val="32"/>
          <w:szCs w:val="32"/>
        </w:rPr>
        <w:t>一、总体目标</w:t>
      </w:r>
    </w:p>
    <w:p>
      <w:pPr>
        <w:spacing w:before="177" w:line="323" w:lineRule="auto"/>
        <w:ind w:right="79" w:firstLine="66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做好对主要农作物化学农药使用强度(单位播种面积化学农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</w:rPr>
        <w:t>药使用折百量)监测调查。科学安全用药水平进一步提高，化学</w:t>
      </w:r>
      <w:r>
        <w:rPr>
          <w:rFonts w:hint="default" w:ascii="Times New Roman" w:hAnsi="Times New Roman" w:eastAsia="仿宋" w:cs="Times New Roman"/>
          <w:spacing w:val="7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农药使用量实现负增长。主要农作物病虫害绿色防控覆盖率达到</w:t>
      </w:r>
    </w:p>
    <w:p>
      <w:pPr>
        <w:spacing w:before="1" w:line="22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56%,统防统治覆盖率达到48%,农药包装废弃物回收率达到80%。</w:t>
      </w:r>
    </w:p>
    <w:p>
      <w:pPr>
        <w:spacing w:before="146" w:line="222" w:lineRule="auto"/>
        <w:ind w:left="664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pacing w:val="-13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spacing w:val="-88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pacing w:val="-13"/>
          <w:sz w:val="32"/>
          <w:szCs w:val="32"/>
        </w:rPr>
        <w:t>工作措施</w:t>
      </w:r>
    </w:p>
    <w:p>
      <w:pPr>
        <w:spacing w:before="187" w:line="227" w:lineRule="auto"/>
        <w:ind w:left="834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pacing w:val="6"/>
          <w:sz w:val="32"/>
          <w:szCs w:val="32"/>
        </w:rPr>
        <w:t>(一)加强病虫监测预警。</w:t>
      </w:r>
    </w:p>
    <w:p>
      <w:pPr>
        <w:spacing w:before="158" w:line="323" w:lineRule="auto"/>
        <w:ind w:right="47" w:firstLine="66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充分利用植物保护能力提升工程项目，着力推进病虫疫情监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测智能化、网络化、可视化，完善病虫疫情监测预警网络体系建</w:t>
      </w:r>
      <w:r>
        <w:rPr>
          <w:rFonts w:hint="default" w:ascii="Times New Roman" w:hAnsi="Times New Roman" w:eastAsia="仿宋" w:cs="Times New Roman"/>
          <w:spacing w:val="9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设，全面提升监测预警能力。完善农作物重大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病虫草鼠疫情监测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网点布局。加强草地贪夜蛾、水稻“两迁”害虫、小麦赤霉病、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水稻穗期病害等重大病虫，以及农田杂草、农区鼠害和植物疫情</w:t>
      </w:r>
      <w:r>
        <w:rPr>
          <w:rFonts w:hint="default" w:ascii="Times New Roman" w:hAnsi="Times New Roman" w:eastAsia="仿宋" w:cs="Times New Roman"/>
          <w:spacing w:val="6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的监测调查。继续协助开展农作物重大病虫草害抗药性监测评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估，为制定科学用药策略、实现精准用药和抗药性综合治理提供</w:t>
      </w:r>
    </w:p>
    <w:p>
      <w:pPr>
        <w:spacing w:before="1" w:line="221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支撑。加强与省市业务部门联系，强化县乡两级病虫情发生趋势</w:t>
      </w: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860" w:h="16800"/>
          <w:pgMar w:top="1428" w:right="1420" w:bottom="1588" w:left="1540" w:header="737" w:footer="964" w:gutter="0"/>
          <w:cols w:space="720" w:num="1"/>
        </w:sectPr>
      </w:pPr>
    </w:p>
    <w:p>
      <w:pPr>
        <w:spacing w:line="250" w:lineRule="auto"/>
        <w:rPr>
          <w:rFonts w:hint="default" w:ascii="Times New Roman" w:hAnsi="Times New Roman" w:cs="Times New Roman"/>
          <w:sz w:val="21"/>
        </w:rPr>
      </w:pPr>
    </w:p>
    <w:p>
      <w:pPr>
        <w:spacing w:before="104" w:line="568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4"/>
          <w:position w:val="18"/>
          <w:sz w:val="32"/>
          <w:szCs w:val="32"/>
        </w:rPr>
        <w:t>会商，集体研判发生形势。充分利用互联网、手机短信、电视、</w:t>
      </w:r>
    </w:p>
    <w:p>
      <w:pPr>
        <w:spacing w:line="22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广播等方式，提高病虫预警信息发布时效性和覆盖率。</w:t>
      </w:r>
    </w:p>
    <w:p>
      <w:pPr>
        <w:spacing w:before="148" w:line="227" w:lineRule="auto"/>
        <w:ind w:left="894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pacing w:val="5"/>
          <w:sz w:val="32"/>
          <w:szCs w:val="32"/>
        </w:rPr>
        <w:t>(二)推广绿色防控技术。</w:t>
      </w:r>
    </w:p>
    <w:p>
      <w:pPr>
        <w:spacing w:before="180" w:line="317" w:lineRule="auto"/>
        <w:ind w:right="19" w:firstLine="72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推进三大主粮全程病虫害绿色防控行动，建设一批可复制推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广的示范片，加强对全县农户推广应用绿色防控技术的</w:t>
      </w: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>辐射带动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作用。开展重大病虫害生态调控、农业防治、生物防治、理化诱</w:t>
      </w:r>
      <w:r>
        <w:rPr>
          <w:rFonts w:hint="default" w:ascii="Times New Roman" w:hAnsi="Times New Roman" w:eastAsia="仿宋" w:cs="Times New Roman"/>
          <w:spacing w:val="2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控等绿色防控技术试验示范，加大虾田稻、果菜优势经济作物示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范区病虫害绿色防控力度，注重创新集成绿色防控技术，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积极探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索小麦、水稻、果菜等病虫害全程绿色防控技术模式，促进</w:t>
      </w: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>病虫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害绿色防控工作可持续发展。在重大病虫防控关键时期，组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织植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保专家和技术人员深入田间地头开展病虫疫情防控指导、政策宣</w:t>
      </w:r>
    </w:p>
    <w:p>
      <w:pPr>
        <w:spacing w:line="22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传和技术培训，落实防控工作措施，提高技术到位率。</w:t>
      </w:r>
    </w:p>
    <w:p>
      <w:pPr>
        <w:spacing w:before="226" w:line="225" w:lineRule="auto"/>
        <w:ind w:left="844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pacing w:val="7"/>
          <w:sz w:val="32"/>
          <w:szCs w:val="32"/>
        </w:rPr>
        <w:t>(三)推进专业化统防统治。</w:t>
      </w:r>
    </w:p>
    <w:p>
      <w:pPr>
        <w:spacing w:before="180" w:line="317" w:lineRule="auto"/>
        <w:ind w:right="19" w:firstLine="720"/>
        <w:jc w:val="both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认真贯彻《农作物病虫害专业化防治服务管理办法》,持续 推进农作物病虫害专业化统防统治体系与能力建设。落实小麦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“一喷三防”、水稻玉米“一喷多促”等关键措施，培育一批管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理规范、装备精良、技术先进的专业化防治服务组织。加大购买 服务等项目资金对统防统治的支持力度，发挥专业化防治服务组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 xml:space="preserve">织的主力军作用，科学做好农作物病虫草害及检疫性病虫的联防 联控、统防统治和应急防治，促进统防统治和绿色防控融合发展，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不断提升全县统防统治社会化程度和科学化水平，努力减轻灾害损失。</w:t>
      </w:r>
    </w:p>
    <w:p>
      <w:pPr>
        <w:spacing w:before="97" w:line="224" w:lineRule="auto"/>
        <w:ind w:left="894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bCs/>
          <w:spacing w:val="22"/>
          <w:sz w:val="30"/>
          <w:szCs w:val="30"/>
        </w:rPr>
        <w:t>(四)开展科学安全用药培训指导。</w:t>
      </w:r>
    </w:p>
    <w:p>
      <w:pPr>
        <w:pStyle w:val="2"/>
        <w:rPr>
          <w:rFonts w:hint="default"/>
        </w:rPr>
        <w:sectPr>
          <w:footerReference r:id="rId4" w:type="default"/>
          <w:pgSz w:w="11860" w:h="16800"/>
          <w:pgMar w:top="1428" w:right="1429" w:bottom="1589" w:left="1540" w:header="0" w:footer="1321" w:gutter="0"/>
          <w:cols w:space="720" w:num="1"/>
        </w:sectPr>
      </w:pPr>
    </w:p>
    <w:p>
      <w:pPr>
        <w:spacing w:before="198" w:line="339" w:lineRule="auto"/>
        <w:ind w:firstLine="720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14"/>
          <w:sz w:val="30"/>
          <w:szCs w:val="30"/>
        </w:rPr>
        <w:t>开展小麦赤霉病、主要农田杂草等重大病虫草害防治</w:t>
      </w:r>
      <w:r>
        <w:rPr>
          <w:rFonts w:hint="default" w:ascii="Times New Roman" w:hAnsi="Times New Roman" w:eastAsia="仿宋" w:cs="Times New Roman"/>
          <w:spacing w:val="13"/>
          <w:sz w:val="30"/>
          <w:szCs w:val="30"/>
        </w:rPr>
        <w:t>药剂对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0"/>
          <w:szCs w:val="30"/>
        </w:rPr>
        <w:t>比试验，加强新型农药助剂、生长调节剂、新型纳</w:t>
      </w:r>
      <w:r>
        <w:rPr>
          <w:rFonts w:hint="default" w:ascii="Times New Roman" w:hAnsi="Times New Roman" w:eastAsia="仿宋" w:cs="Times New Roman"/>
          <w:spacing w:val="12"/>
          <w:sz w:val="30"/>
          <w:szCs w:val="30"/>
        </w:rPr>
        <w:t>米航空制剂等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0"/>
          <w:szCs w:val="30"/>
        </w:rPr>
        <w:t>试验示范力度，筛选高效低风险药剂。开展主要农作物病虫害全</w:t>
      </w:r>
      <w:r>
        <w:rPr>
          <w:rFonts w:hint="default" w:ascii="Times New Roman" w:hAnsi="Times New Roman" w:eastAsia="仿宋" w:cs="Times New Roman"/>
          <w:spacing w:val="4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0"/>
          <w:szCs w:val="30"/>
        </w:rPr>
        <w:t>程防控技术试验示范，集成行之有效的精简化综合施药技术。进</w:t>
      </w:r>
      <w:r>
        <w:rPr>
          <w:rFonts w:hint="default" w:ascii="Times New Roman" w:hAnsi="Times New Roman" w:eastAsia="仿宋" w:cs="Times New Roman"/>
          <w:spacing w:val="8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0"/>
          <w:szCs w:val="30"/>
        </w:rPr>
        <w:t>一步加强重大病虫草抗药性监测与抗性综合治理技术集成。结合</w:t>
      </w:r>
      <w:r>
        <w:rPr>
          <w:rFonts w:hint="default" w:ascii="Times New Roman" w:hAnsi="Times New Roman" w:eastAsia="仿宋" w:cs="Times New Roman"/>
          <w:spacing w:val="11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4"/>
          <w:sz w:val="30"/>
          <w:szCs w:val="30"/>
        </w:rPr>
        <w:t>新型职业农民培训工程、农药经营者培训、新型植保机械使用与</w:t>
      </w:r>
      <w:r>
        <w:rPr>
          <w:rFonts w:hint="default" w:ascii="Times New Roman" w:hAnsi="Times New Roman" w:eastAsia="仿宋" w:cs="Times New Roman"/>
          <w:spacing w:val="3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0"/>
          <w:szCs w:val="30"/>
        </w:rPr>
        <w:t>维修培训、植保无人机培训等项目，加强对种植大户、统防统治</w:t>
      </w:r>
      <w:r>
        <w:rPr>
          <w:rFonts w:hint="default" w:ascii="Times New Roman" w:hAnsi="Times New Roman" w:eastAsia="仿宋" w:cs="Times New Roman"/>
          <w:spacing w:val="14"/>
          <w:sz w:val="30"/>
          <w:szCs w:val="30"/>
        </w:rPr>
        <w:t xml:space="preserve"> 组织技术人员和农药经营销售人员指导培训，切实提升全县科学</w:t>
      </w:r>
      <w:r>
        <w:rPr>
          <w:rFonts w:hint="default" w:ascii="Times New Roman" w:hAnsi="Times New Roman" w:eastAsia="仿宋" w:cs="Times New Roman"/>
          <w:spacing w:val="8"/>
          <w:sz w:val="30"/>
          <w:szCs w:val="30"/>
        </w:rPr>
        <w:t>安全用药水平。</w:t>
      </w:r>
    </w:p>
    <w:p>
      <w:pPr>
        <w:spacing w:before="235" w:line="228" w:lineRule="auto"/>
        <w:ind w:left="844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bCs/>
          <w:spacing w:val="23"/>
          <w:sz w:val="30"/>
          <w:szCs w:val="30"/>
        </w:rPr>
        <w:t>(五)加强农药使用调查监测。</w:t>
      </w:r>
    </w:p>
    <w:p>
      <w:pPr>
        <w:spacing w:before="175" w:line="339" w:lineRule="auto"/>
        <w:ind w:right="21" w:firstLine="669"/>
        <w:jc w:val="both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pacing w:val="25"/>
          <w:sz w:val="30"/>
          <w:szCs w:val="30"/>
        </w:rPr>
        <w:t>推进实施全省农业县(市、区)种植业农药使用监测调查工</w:t>
      </w:r>
      <w:r>
        <w:rPr>
          <w:rFonts w:hint="default" w:ascii="Times New Roman" w:hAnsi="Times New Roman" w:eastAsia="仿宋" w:cs="Times New Roman"/>
          <w:spacing w:val="8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0"/>
          <w:szCs w:val="30"/>
        </w:rPr>
        <w:t>作。加强对农药使用监测调查人员和调查农户的指导培训，指导</w:t>
      </w:r>
      <w:r>
        <w:rPr>
          <w:rFonts w:hint="default" w:ascii="Times New Roman" w:hAnsi="Times New Roman" w:eastAsia="仿宋" w:cs="Times New Roman"/>
          <w:spacing w:val="17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0"/>
          <w:szCs w:val="30"/>
        </w:rPr>
        <w:t>农户及时准确记录使用情况，做到随用随记，以防数据丢失。县</w:t>
      </w:r>
      <w:r>
        <w:rPr>
          <w:rFonts w:hint="default" w:ascii="Times New Roman" w:hAnsi="Times New Roman" w:eastAsia="仿宋" w:cs="Times New Roman"/>
          <w:spacing w:val="14"/>
          <w:sz w:val="30"/>
          <w:szCs w:val="30"/>
        </w:rPr>
        <w:t xml:space="preserve"> </w:t>
      </w:r>
      <w:r>
        <w:rPr>
          <w:rFonts w:hint="default" w:ascii="Times New Roman" w:hAnsi="Times New Roman" w:eastAsia="仿宋" w:cs="Times New Roman"/>
          <w:spacing w:val="13"/>
          <w:sz w:val="30"/>
          <w:szCs w:val="30"/>
        </w:rPr>
        <w:t xml:space="preserve">级植保部门要加强对农户提供数据的审核，发现错误数据要及时 </w:t>
      </w:r>
      <w:r>
        <w:rPr>
          <w:rFonts w:hint="default" w:ascii="Times New Roman" w:hAnsi="Times New Roman" w:eastAsia="仿宋" w:cs="Times New Roman"/>
          <w:spacing w:val="16"/>
          <w:sz w:val="30"/>
          <w:szCs w:val="30"/>
        </w:rPr>
        <w:t>核对更正，市、县级植保部门要对系统生成数据进行认真分析，</w:t>
      </w:r>
      <w:r>
        <w:rPr>
          <w:rFonts w:hint="default" w:ascii="Times New Roman" w:hAnsi="Times New Roman" w:eastAsia="仿宋" w:cs="Times New Roman"/>
          <w:spacing w:val="14"/>
          <w:sz w:val="30"/>
          <w:szCs w:val="30"/>
        </w:rPr>
        <w:t>消除错误，减小误差，确保数据的科学性、真实性。完善农药调</w:t>
      </w:r>
      <w:r>
        <w:rPr>
          <w:rFonts w:hint="default" w:ascii="Times New Roman" w:hAnsi="Times New Roman" w:eastAsia="仿宋" w:cs="Times New Roman"/>
          <w:spacing w:val="13"/>
          <w:sz w:val="30"/>
          <w:szCs w:val="30"/>
        </w:rPr>
        <w:t>查监测平台数据，为农药科学使用、安全使用、减量使用提供支</w:t>
      </w:r>
      <w:r>
        <w:rPr>
          <w:rFonts w:hint="default" w:ascii="Times New Roman" w:hAnsi="Times New Roman" w:eastAsia="仿宋" w:cs="Times New Roman"/>
          <w:spacing w:val="-6"/>
          <w:sz w:val="30"/>
          <w:szCs w:val="30"/>
        </w:rPr>
        <w:t>撑。</w:t>
      </w:r>
    </w:p>
    <w:p>
      <w:pPr>
        <w:spacing w:before="237" w:line="223" w:lineRule="auto"/>
        <w:ind w:left="804"/>
        <w:rPr>
          <w:rFonts w:hint="default" w:ascii="Times New Roman" w:hAnsi="Times New Roman" w:eastAsia="楷体" w:cs="Times New Roman"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bCs/>
          <w:spacing w:val="22"/>
          <w:sz w:val="30"/>
          <w:szCs w:val="30"/>
        </w:rPr>
        <w:t>(六)推进农药使用监督管理。</w:t>
      </w:r>
    </w:p>
    <w:p>
      <w:pPr>
        <w:spacing w:before="104" w:line="317" w:lineRule="auto"/>
        <w:ind w:right="8" w:firstLine="656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14"/>
          <w:sz w:val="30"/>
          <w:szCs w:val="30"/>
        </w:rPr>
        <w:t>强化省农药数字监督管理平台应用培训指导，扎实推进农药购买实名制。新建一批标准化示范门店，充分发挥其在规范经营、门店布局、实名制购买、电子台账和使用指导等方面的示范引领 作用。农业农村部门要强化农药执法监督，加大市场农药质量抽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查力度，依法打击制售假劣农药行为，完成全年农药市场质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量监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督抽检任务。开展禁限用农药整治，加强行业指导、网格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化管理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和执法检查工作，持续优化营商环境。选择重点区域构建回收-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贮存-转运-处理(利用)闭环体系，集中打造一批农药包装废弃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物回收处理示范区，稳步提高农药包装废弃物回收率。</w:t>
      </w:r>
    </w:p>
    <w:p>
      <w:pPr>
        <w:spacing w:before="210" w:line="227" w:lineRule="auto"/>
        <w:ind w:left="884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pacing w:val="4"/>
          <w:sz w:val="32"/>
          <w:szCs w:val="32"/>
        </w:rPr>
        <w:t>(七)完成环保督察反馈问题整改。</w:t>
      </w:r>
    </w:p>
    <w:p>
      <w:pPr>
        <w:spacing w:before="174" w:line="318" w:lineRule="auto"/>
        <w:ind w:firstLine="66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提高政治站位，进一步提升对中央环保督察、省委环保督察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反馈问题整改重要性的认识。坚定不移走生态优先、绿色发展之</w:t>
      </w:r>
      <w:r>
        <w:rPr>
          <w:rFonts w:hint="default" w:ascii="Times New Roman" w:hAnsi="Times New Roman" w:eastAsia="仿宋" w:cs="Times New Roman"/>
          <w:spacing w:val="8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路。建立长效机制，巩固环保督察反馈问题整改成效。以环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保督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察反馈问题整改为契机，系统深入推进化学农药减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量化工作，创</w:t>
      </w:r>
    </w:p>
    <w:p>
      <w:pPr>
        <w:spacing w:before="1" w:line="221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5"/>
          <w:sz w:val="32"/>
          <w:szCs w:val="32"/>
        </w:rPr>
        <w:t>新发展模式，促进可持续发展。</w:t>
      </w:r>
    </w:p>
    <w:p>
      <w:pPr>
        <w:spacing w:before="176" w:line="223" w:lineRule="auto"/>
        <w:ind w:left="674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pacing w:val="-20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pacing w:val="-69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pacing w:val="-20"/>
          <w:sz w:val="32"/>
          <w:szCs w:val="32"/>
        </w:rPr>
        <w:t>保障措施</w:t>
      </w:r>
    </w:p>
    <w:p>
      <w:pPr>
        <w:spacing w:before="165" w:line="224" w:lineRule="auto"/>
        <w:ind w:left="844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pacing w:val="7"/>
          <w:sz w:val="32"/>
          <w:szCs w:val="32"/>
        </w:rPr>
        <w:t>(一)强化组织领导。</w:t>
      </w:r>
    </w:p>
    <w:p>
      <w:pPr>
        <w:spacing w:before="189" w:line="317" w:lineRule="auto"/>
        <w:ind w:right="22" w:firstLine="669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各地要把化学农药减量化工作作为保障农业生产安全</w:t>
      </w:r>
      <w:r>
        <w:rPr>
          <w:rFonts w:hint="default" w:ascii="Times New Roman" w:hAnsi="Times New Roman" w:eastAsia="仿宋" w:cs="Times New Roman"/>
          <w:spacing w:val="4"/>
          <w:sz w:val="32"/>
          <w:szCs w:val="32"/>
        </w:rPr>
        <w:t>与农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产品质量安全，推动农业绿色高质量发展的重要抓手，切实抓紧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抓好。各地要结合实际认真组织实施，明确目标任务，细化工作</w:t>
      </w:r>
    </w:p>
    <w:p>
      <w:pPr>
        <w:spacing w:line="22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措施，把各项工作措施落到实处。</w:t>
      </w:r>
    </w:p>
    <w:p>
      <w:pPr>
        <w:spacing w:before="177" w:line="226" w:lineRule="auto"/>
        <w:ind w:left="824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spacing w:val="9"/>
          <w:sz w:val="32"/>
          <w:szCs w:val="32"/>
        </w:rPr>
        <w:t>(二)强化资金投入。</w:t>
      </w:r>
    </w:p>
    <w:p>
      <w:pPr>
        <w:spacing w:before="190" w:line="570" w:lineRule="exact"/>
        <w:ind w:left="66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7"/>
          <w:position w:val="18"/>
          <w:sz w:val="32"/>
          <w:szCs w:val="32"/>
        </w:rPr>
        <w:t>强化与财政、生态环境等相关部门协作，建立协调机</w:t>
      </w:r>
      <w:r>
        <w:rPr>
          <w:rFonts w:hint="default" w:ascii="Times New Roman" w:hAnsi="Times New Roman" w:eastAsia="仿宋" w:cs="Times New Roman"/>
          <w:spacing w:val="-8"/>
          <w:position w:val="18"/>
          <w:sz w:val="32"/>
          <w:szCs w:val="32"/>
        </w:rPr>
        <w:t>制，积</w:t>
      </w:r>
    </w:p>
    <w:p>
      <w:pPr>
        <w:spacing w:line="220" w:lineRule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极争取当地财政投入，充分利用农业生产救灾补助资金、农作物</w:t>
      </w:r>
    </w:p>
    <w:p>
      <w:pPr>
        <w:spacing w:before="101" w:line="551" w:lineRule="exact"/>
        <w:ind w:left="22"/>
        <w:rPr>
          <w:rFonts w:hint="default" w:ascii="Times New Roman" w:hAnsi="Times New Roman" w:eastAsia="仿宋" w:cs="Times New Roman"/>
          <w:sz w:val="31"/>
          <w:szCs w:val="31"/>
        </w:rPr>
      </w:pPr>
      <w:r>
        <w:rPr>
          <w:rFonts w:hint="default" w:ascii="Times New Roman" w:hAnsi="Times New Roman" w:eastAsia="仿宋" w:cs="Times New Roman"/>
          <w:spacing w:val="3"/>
          <w:position w:val="17"/>
          <w:sz w:val="31"/>
          <w:szCs w:val="31"/>
        </w:rPr>
        <w:t>重大病虫害防控补助资金等，加大病虫害防治资金投入，整合资</w:t>
      </w:r>
    </w:p>
    <w:p>
      <w:pPr>
        <w:spacing w:line="222" w:lineRule="auto"/>
        <w:ind w:left="22"/>
        <w:rPr>
          <w:rFonts w:hint="default" w:ascii="Times New Roman" w:hAnsi="Times New Roman" w:eastAsia="仿宋" w:cs="Times New Roman"/>
          <w:sz w:val="31"/>
          <w:szCs w:val="31"/>
        </w:rPr>
      </w:pPr>
      <w:r>
        <w:rPr>
          <w:rFonts w:hint="default" w:ascii="Times New Roman" w:hAnsi="Times New Roman" w:eastAsia="仿宋" w:cs="Times New Roman"/>
          <w:spacing w:val="5"/>
          <w:sz w:val="31"/>
          <w:szCs w:val="31"/>
        </w:rPr>
        <w:t>源，形成合力，切实推进化学农药减化。</w:t>
      </w:r>
    </w:p>
    <w:p>
      <w:pPr>
        <w:rPr>
          <w:rFonts w:hint="default" w:ascii="Times New Roman" w:hAnsi="Times New Roman" w:cs="Times New Roman"/>
        </w:rPr>
      </w:pPr>
    </w:p>
    <w:p>
      <w:pPr>
        <w:spacing w:before="168" w:line="224" w:lineRule="auto"/>
        <w:ind w:left="867"/>
        <w:rPr>
          <w:rFonts w:hint="default" w:ascii="Times New Roman" w:hAnsi="Times New Roman" w:eastAsia="楷体" w:cs="Times New Roman"/>
          <w:sz w:val="31"/>
          <w:szCs w:val="31"/>
        </w:rPr>
      </w:pPr>
      <w:r>
        <w:rPr>
          <w:rFonts w:hint="default" w:ascii="Times New Roman" w:hAnsi="Times New Roman" w:eastAsia="楷体" w:cs="Times New Roman"/>
          <w:b/>
          <w:bCs/>
          <w:spacing w:val="17"/>
          <w:sz w:val="31"/>
          <w:szCs w:val="31"/>
        </w:rPr>
        <w:t>(三)强化宣传引导。</w:t>
      </w:r>
    </w:p>
    <w:p>
      <w:pPr>
        <w:spacing w:before="182" w:line="333" w:lineRule="auto"/>
        <w:ind w:left="22" w:firstLine="699"/>
        <w:jc w:val="both"/>
        <w:rPr>
          <w:rFonts w:hint="default" w:ascii="Times New Roman" w:hAnsi="Times New Roman" w:eastAsia="仿宋" w:cs="Times New Roman"/>
          <w:spacing w:val="4"/>
          <w:sz w:val="31"/>
          <w:szCs w:val="31"/>
        </w:rPr>
      </w:pPr>
      <w:r>
        <w:rPr>
          <w:rFonts w:hint="default" w:ascii="Times New Roman" w:hAnsi="Times New Roman" w:eastAsia="仿宋" w:cs="Times New Roman"/>
          <w:spacing w:val="4"/>
          <w:sz w:val="31"/>
          <w:szCs w:val="31"/>
        </w:rPr>
        <w:t>充分利用广播、电视、报刊、互联网等媒体，广泛宣传化学农药减量化对促进农业高质量发展、提高农产品质量、保护生态 环境的作用意义，推进农业生产者的积极配合参与，争取社会各界关心与技持，营造良好社会氛围。</w:t>
      </w:r>
    </w:p>
    <w:p>
      <w:pPr>
        <w:spacing w:before="184" w:line="227" w:lineRule="auto"/>
        <w:ind w:left="857"/>
        <w:rPr>
          <w:rFonts w:hint="default" w:ascii="Times New Roman" w:hAnsi="Times New Roman" w:eastAsia="楷体" w:cs="Times New Roman"/>
          <w:sz w:val="31"/>
          <w:szCs w:val="31"/>
        </w:rPr>
      </w:pPr>
      <w:r>
        <w:rPr>
          <w:rFonts w:hint="default" w:ascii="Times New Roman" w:hAnsi="Times New Roman" w:eastAsia="楷体" w:cs="Times New Roman"/>
          <w:b/>
          <w:bCs/>
          <w:spacing w:val="18"/>
          <w:sz w:val="31"/>
          <w:szCs w:val="31"/>
        </w:rPr>
        <w:t>(四)强化科技支撑。</w:t>
      </w:r>
    </w:p>
    <w:p>
      <w:pPr>
        <w:spacing w:before="182" w:line="333" w:lineRule="auto"/>
        <w:ind w:left="22" w:firstLine="699"/>
        <w:jc w:val="both"/>
        <w:rPr>
          <w:rFonts w:hint="default" w:ascii="Times New Roman" w:hAnsi="Times New Roman" w:eastAsia="仿宋" w:cs="Times New Roman"/>
          <w:sz w:val="31"/>
          <w:szCs w:val="31"/>
        </w:rPr>
      </w:pPr>
      <w:r>
        <w:rPr>
          <w:rFonts w:hint="default" w:ascii="Times New Roman" w:hAnsi="Times New Roman" w:eastAsia="仿宋" w:cs="Times New Roman"/>
          <w:spacing w:val="3"/>
          <w:sz w:val="31"/>
          <w:szCs w:val="31"/>
        </w:rPr>
        <w:t>坚持问题导向，及早聚焦农药使用中的关键突出问题，充分</w:t>
      </w:r>
      <w:r>
        <w:rPr>
          <w:rFonts w:hint="default" w:ascii="Times New Roman" w:hAnsi="Times New Roman" w:eastAsia="仿宋" w:cs="Times New Roman"/>
          <w:sz w:val="31"/>
          <w:szCs w:val="31"/>
        </w:rPr>
        <w:t xml:space="preserve"> </w:t>
      </w:r>
      <w:r>
        <w:rPr>
          <w:rFonts w:hint="default" w:ascii="Times New Roman" w:hAnsi="Times New Roman" w:eastAsia="仿宋" w:cs="Times New Roman"/>
          <w:spacing w:val="4"/>
          <w:sz w:val="31"/>
          <w:szCs w:val="31"/>
        </w:rPr>
        <w:t>整合政、企、研、学、推资源力量，充分发挥农作物病虫害技术</w:t>
      </w:r>
      <w:r>
        <w:rPr>
          <w:rFonts w:hint="default" w:ascii="Times New Roman" w:hAnsi="Times New Roman" w:eastAsia="仿宋" w:cs="Times New Roman"/>
          <w:spacing w:val="6"/>
          <w:sz w:val="31"/>
          <w:szCs w:val="31"/>
        </w:rPr>
        <w:t xml:space="preserve"> </w:t>
      </w:r>
      <w:r>
        <w:rPr>
          <w:rFonts w:hint="default" w:ascii="Times New Roman" w:hAnsi="Times New Roman" w:eastAsia="仿宋" w:cs="Times New Roman"/>
          <w:spacing w:val="3"/>
          <w:sz w:val="31"/>
          <w:szCs w:val="31"/>
        </w:rPr>
        <w:t>人员作用，加强新型高效农药药械产品、关键重大技术应</w:t>
      </w:r>
      <w:r>
        <w:rPr>
          <w:rFonts w:hint="default" w:ascii="Times New Roman" w:hAnsi="Times New Roman" w:eastAsia="仿宋" w:cs="Times New Roman"/>
          <w:spacing w:val="2"/>
          <w:sz w:val="31"/>
          <w:szCs w:val="31"/>
        </w:rPr>
        <w:t>用探索</w:t>
      </w:r>
    </w:p>
    <w:p>
      <w:pPr>
        <w:spacing w:before="102" w:line="223" w:lineRule="auto"/>
        <w:ind w:left="22"/>
        <w:rPr>
          <w:rFonts w:hint="default" w:ascii="Times New Roman" w:hAnsi="Times New Roman" w:eastAsia="仿宋" w:cs="Times New Roman"/>
          <w:sz w:val="31"/>
          <w:szCs w:val="31"/>
        </w:rPr>
      </w:pPr>
      <w:r>
        <w:rPr>
          <w:rFonts w:hint="default" w:ascii="Times New Roman" w:hAnsi="Times New Roman" w:eastAsia="仿宋" w:cs="Times New Roman"/>
          <w:spacing w:val="-1"/>
          <w:sz w:val="31"/>
          <w:szCs w:val="31"/>
        </w:rPr>
        <w:t>和集成推广。</w:t>
      </w:r>
    </w:p>
    <w:sectPr>
      <w:footerReference r:id="rId5" w:type="default"/>
      <w:pgSz w:w="11860" w:h="16800"/>
      <w:pgMar w:top="1428" w:right="1450" w:bottom="1589" w:left="1547" w:header="0" w:footer="132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4179"/>
      <w:rPr>
        <w:rFonts w:ascii="仿宋" w:hAnsi="仿宋" w:eastAsia="仿宋" w:cs="仿宋"/>
        <w:sz w:val="26"/>
        <w:szCs w:val="26"/>
      </w:rPr>
    </w:pPr>
    <w:r>
      <w:rPr>
        <w:rFonts w:ascii="仿宋" w:hAnsi="仿宋" w:eastAsia="仿宋" w:cs="仿宋"/>
        <w:spacing w:val="-9"/>
        <w:w w:val="66"/>
        <w:sz w:val="26"/>
        <w:szCs w:val="26"/>
      </w:rPr>
      <w:t>—</w:t>
    </w:r>
    <w:r>
      <w:rPr>
        <w:rFonts w:ascii="仿宋" w:hAnsi="仿宋" w:eastAsia="仿宋" w:cs="仿宋"/>
        <w:spacing w:val="-18"/>
        <w:w w:val="97"/>
        <w:sz w:val="26"/>
        <w:szCs w:val="26"/>
      </w:rPr>
      <w:t>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9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5"/>
        <w:sz w:val="27"/>
        <w:szCs w:val="27"/>
      </w:rPr>
      <w:t>—</w:t>
    </w:r>
    <w:r>
      <w:rPr>
        <w:rFonts w:ascii="宋体" w:hAnsi="宋体" w:eastAsia="宋体" w:cs="宋体"/>
        <w:spacing w:val="-22"/>
        <w:w w:val="98"/>
        <w:sz w:val="27"/>
        <w:szCs w:val="27"/>
      </w:rPr>
      <w:t>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22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5"/>
        <w:sz w:val="27"/>
        <w:szCs w:val="27"/>
      </w:rPr>
      <w:t>—</w:t>
    </w:r>
    <w:r>
      <w:rPr>
        <w:rFonts w:ascii="宋体" w:hAnsi="宋体" w:eastAsia="宋体" w:cs="宋体"/>
        <w:spacing w:val="-19"/>
        <w:w w:val="97"/>
        <w:sz w:val="27"/>
        <w:szCs w:val="27"/>
      </w:rPr>
      <w:t>6—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jM0YmE5NGQzYmZkZmFjOWYxYzUxYmE2ODlhNGY4MDMifQ=="/>
  </w:docVars>
  <w:rsids>
    <w:rsidRoot w:val="00000000"/>
    <w:rsid w:val="45F17F92"/>
    <w:rsid w:val="6F383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2569</Words>
  <Characters>2597</Characters>
  <TotalTime>2</TotalTime>
  <ScaleCrop>false</ScaleCrop>
  <LinksUpToDate>false</LinksUpToDate>
  <CharactersWithSpaces>2681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2023-07-07T21:32:00Z</dcterms:created>
  <dc:creator>Kingsoft-PDF</dc:creator>
  <cp:lastModifiedBy>LENOVO</cp:lastModifiedBy>
  <dcterms:modified xsi:type="dcterms:W3CDTF">2023-10-09T03:18:12Z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2023-07-07T21:32:42Z</vt:filetime>
  </property>
  <property fmtid="{D5CDD505-2E9C-101B-9397-08002B2CF9AE}" pid="4" name="UsrData">
    <vt:lpwstr>64a813f7423552001f9f11f4wl</vt:lpwstr>
  </property>
  <property fmtid="{D5CDD505-2E9C-101B-9397-08002B2CF9AE}" pid="5" name="KSOProductBuildVer">
    <vt:lpwstr>2052-11.8.2.8506</vt:lpwstr>
  </property>
  <property fmtid="{D5CDD505-2E9C-101B-9397-08002B2CF9AE}" pid="6" name="ICV">
    <vt:lpwstr>7A58033CCB0D449CB52698E15B63E566_12</vt:lpwstr>
  </property>
</Properties>
</file>