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bCs/>
          <w:i w:val="0"/>
          <w:iCs w:val="0"/>
          <w:caps w:val="0"/>
          <w:color w:val="333333"/>
          <w:spacing w:val="0"/>
          <w:sz w:val="48"/>
          <w:szCs w:val="48"/>
        </w:rPr>
      </w:pPr>
      <w:bookmarkStart w:id="0" w:name="_GoBack"/>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霍邱县人民政府办公室关于印发霍邱县城市声环境功能区划分方案的通知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b w:val="0"/>
          <w:bCs w:val="0"/>
          <w:i w:val="0"/>
          <w:iCs w:val="0"/>
          <w:caps w:val="0"/>
          <w:color w:val="333333"/>
          <w:spacing w:val="0"/>
          <w:sz w:val="30"/>
          <w:szCs w:val="30"/>
        </w:rPr>
      </w:pP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霍政办〔2023〕1号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left"/>
        <w:rPr>
          <w:rFonts w:ascii="仿宋" w:hAnsi="仿宋" w:eastAsia="仿宋" w:cs="仿宋"/>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left"/>
        <w:rPr>
          <w:rFonts w:ascii="Calibri" w:hAnsi="Calibri" w:cs="Calibri"/>
          <w:sz w:val="21"/>
          <w:szCs w:val="21"/>
        </w:rPr>
      </w:pPr>
      <w:r>
        <w:rPr>
          <w:rFonts w:ascii="仿宋" w:hAnsi="仿宋" w:eastAsia="仿宋" w:cs="仿宋"/>
          <w:i w:val="0"/>
          <w:iCs w:val="0"/>
          <w:caps w:val="0"/>
          <w:color w:val="333333"/>
          <w:spacing w:val="0"/>
          <w:sz w:val="32"/>
          <w:szCs w:val="32"/>
          <w:bdr w:val="none" w:color="auto" w:sz="0" w:space="0"/>
          <w:shd w:val="clear" w:fill="FFFFFF"/>
        </w:rPr>
        <w:t>各乡镇人民政府，经济开发区（现代产业园）管委，县政府各部门、各直属机构：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经县政府同意，现将《霍邱县城市声环境功能区划分方案》印发给你们，请结合实际，认真贯彻落实。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right"/>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right"/>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 2023</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19</w:t>
      </w:r>
      <w:r>
        <w:rPr>
          <w:rFonts w:hint="eastAsia" w:ascii="仿宋" w:hAnsi="仿宋" w:eastAsia="仿宋" w:cs="仿宋"/>
          <w:i w:val="0"/>
          <w:iCs w:val="0"/>
          <w:caps w:val="0"/>
          <w:color w:val="333333"/>
          <w:spacing w:val="0"/>
          <w:sz w:val="32"/>
          <w:szCs w:val="32"/>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default" w:ascii="Times New Roman" w:hAnsi="Times New Roman" w:eastAsia="微软雅黑" w:cs="Times New Roman"/>
          <w:b/>
          <w:bCs/>
          <w:i w:val="0"/>
          <w:iCs w:val="0"/>
          <w:caps w:val="0"/>
          <w:color w:val="333333"/>
          <w:spacing w:val="0"/>
          <w:sz w:val="52"/>
          <w:szCs w:val="5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ascii="方正小标宋简体" w:hAnsi="方正小标宋简体" w:eastAsia="方正小标宋简体" w:cs="方正小标宋简体"/>
          <w:i w:val="0"/>
          <w:iCs w:val="0"/>
          <w:caps w:val="0"/>
          <w:color w:val="333333"/>
          <w:spacing w:val="0"/>
          <w:sz w:val="44"/>
          <w:szCs w:val="44"/>
          <w:bdr w:val="none" w:color="auto" w:sz="0" w:space="0"/>
          <w:shd w:val="clear" w:fill="FFFFFF"/>
        </w:rPr>
        <w:t>霍邱县城市声环境功能区划分方案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left"/>
        <w:rPr>
          <w:rFonts w:hint="default" w:ascii="Calibri" w:hAnsi="Calibri" w:cs="Calibri"/>
          <w:sz w:val="21"/>
          <w:szCs w:val="21"/>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为了贯彻落实国家、安徽省生态环境厅及六安市生态环境局相关工作部署，进一步提高我县城区噪声污染防治管理水平，强化噪声排放源监督管理，改善城区声环境质量，建设安静、舒适、和谐的居住环境，根据《中华人民共和国噪声污染防治法》和《声环境质量标准》有关规定，结合霍邱县城总体规划和实际情况，编制了《霍邱县城市声环境功能区划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ascii="黑体" w:hAnsi="宋体" w:eastAsia="黑体" w:cs="黑体"/>
          <w:b/>
          <w:bCs/>
          <w:i w:val="0"/>
          <w:iCs w:val="0"/>
          <w:caps w:val="0"/>
          <w:color w:val="333333"/>
          <w:spacing w:val="0"/>
          <w:sz w:val="32"/>
          <w:szCs w:val="32"/>
          <w:bdr w:val="none" w:color="auto" w:sz="0" w:space="0"/>
          <w:shd w:val="clear" w:fill="FFFFFF"/>
        </w:rPr>
        <w:t>一、编制依据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）《中华人民共和国环境保护法》（</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2015</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日实施）；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）《中华人民共和国噪声污染防治法》（</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6</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日实施）；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）《声环境功能区划分技术规范》（</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GB/T 15190-2014</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）《声环境质量标准》（</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GB 3096-2008</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）《工业企业厂界环境噪声排放标准》（</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GB 12348-2008</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6</w:t>
      </w:r>
      <w:r>
        <w:rPr>
          <w:rFonts w:hint="eastAsia" w:ascii="仿宋" w:hAnsi="仿宋" w:eastAsia="仿宋" w:cs="仿宋"/>
          <w:i w:val="0"/>
          <w:iCs w:val="0"/>
          <w:caps w:val="0"/>
          <w:color w:val="333333"/>
          <w:spacing w:val="0"/>
          <w:sz w:val="32"/>
          <w:szCs w:val="32"/>
          <w:bdr w:val="none" w:color="auto" w:sz="0" w:space="0"/>
          <w:shd w:val="clear" w:fill="FFFFFF"/>
        </w:rPr>
        <w:t>）《城市用地分类与规划建设用地标准》（</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GB 50137-2011</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7</w:t>
      </w:r>
      <w:r>
        <w:rPr>
          <w:rFonts w:hint="eastAsia" w:ascii="仿宋" w:hAnsi="仿宋" w:eastAsia="仿宋" w:cs="仿宋"/>
          <w:i w:val="0"/>
          <w:iCs w:val="0"/>
          <w:caps w:val="0"/>
          <w:color w:val="333333"/>
          <w:spacing w:val="0"/>
          <w:sz w:val="32"/>
          <w:szCs w:val="32"/>
          <w:bdr w:val="none" w:color="auto" w:sz="0" w:space="0"/>
          <w:shd w:val="clear" w:fill="FFFFFF"/>
        </w:rPr>
        <w:t>）《环境噪声监测技术规范</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城市声环境常规监测》（</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HJ 640-2012</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）《关于加强和规范声环境功能区划分管理工作的通知》（环办大气函〔</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2017</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1709</w:t>
      </w:r>
      <w:r>
        <w:rPr>
          <w:rFonts w:hint="eastAsia" w:ascii="仿宋" w:hAnsi="仿宋" w:eastAsia="仿宋" w:cs="仿宋"/>
          <w:i w:val="0"/>
          <w:iCs w:val="0"/>
          <w:caps w:val="0"/>
          <w:color w:val="333333"/>
          <w:spacing w:val="0"/>
          <w:sz w:val="32"/>
          <w:szCs w:val="32"/>
          <w:bdr w:val="none" w:color="auto" w:sz="0" w:space="0"/>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9</w:t>
      </w:r>
      <w:r>
        <w:rPr>
          <w:rFonts w:hint="eastAsia" w:ascii="仿宋" w:hAnsi="仿宋" w:eastAsia="仿宋" w:cs="仿宋"/>
          <w:i w:val="0"/>
          <w:iCs w:val="0"/>
          <w:caps w:val="0"/>
          <w:color w:val="333333"/>
          <w:spacing w:val="0"/>
          <w:sz w:val="32"/>
          <w:szCs w:val="32"/>
          <w:bdr w:val="none" w:color="auto" w:sz="0" w:space="0"/>
          <w:shd w:val="clear" w:fill="FFFFFF"/>
        </w:rPr>
        <w:t>）《关于加强环境噪声污染防治工作改善城乡声环境质量的指导意见》（环发〔</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2010</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144</w:t>
      </w:r>
      <w:r>
        <w:rPr>
          <w:rFonts w:hint="eastAsia" w:ascii="仿宋" w:hAnsi="仿宋" w:eastAsia="仿宋" w:cs="仿宋"/>
          <w:i w:val="0"/>
          <w:iCs w:val="0"/>
          <w:caps w:val="0"/>
          <w:color w:val="333333"/>
          <w:spacing w:val="0"/>
          <w:sz w:val="32"/>
          <w:szCs w:val="32"/>
          <w:bdr w:val="none" w:color="auto" w:sz="0" w:space="0"/>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w:t>
      </w:r>
      <w:r>
        <w:rPr>
          <w:rFonts w:hint="eastAsia" w:ascii="仿宋" w:hAnsi="仿宋" w:eastAsia="仿宋" w:cs="仿宋"/>
          <w:i w:val="0"/>
          <w:iCs w:val="0"/>
          <w:caps w:val="0"/>
          <w:color w:val="333333"/>
          <w:spacing w:val="0"/>
          <w:sz w:val="32"/>
          <w:szCs w:val="32"/>
          <w:bdr w:val="none" w:color="auto" w:sz="0" w:space="0"/>
          <w:shd w:val="clear" w:fill="FFFFFF"/>
        </w:rPr>
        <w:t>）《安徽省环保厅转发环境保护部办公厅关于加强和规范声环境功能区划分管理工作的通知》（皖环函〔</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2018</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11</w:t>
      </w:r>
      <w:r>
        <w:rPr>
          <w:rFonts w:hint="eastAsia" w:ascii="仿宋" w:hAnsi="仿宋" w:eastAsia="仿宋" w:cs="仿宋"/>
          <w:i w:val="0"/>
          <w:iCs w:val="0"/>
          <w:caps w:val="0"/>
          <w:color w:val="333333"/>
          <w:spacing w:val="0"/>
          <w:sz w:val="32"/>
          <w:szCs w:val="32"/>
          <w:bdr w:val="none" w:color="auto" w:sz="0" w:space="0"/>
          <w:shd w:val="clear" w:fill="FFFFFF"/>
        </w:rPr>
        <w:t>）《安徽省六安市霍邱县城总体规划（</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2013-2030</w:t>
      </w:r>
      <w:r>
        <w:rPr>
          <w:rFonts w:hint="eastAsia" w:ascii="仿宋" w:hAnsi="仿宋" w:eastAsia="仿宋" w:cs="仿宋"/>
          <w:i w:val="0"/>
          <w:iCs w:val="0"/>
          <w:caps w:val="0"/>
          <w:color w:val="333333"/>
          <w:spacing w:val="0"/>
          <w:sz w:val="32"/>
          <w:szCs w:val="32"/>
          <w:bdr w:val="none" w:color="auto" w:sz="0" w:space="0"/>
          <w:shd w:val="clear" w:fill="FFFFFF"/>
        </w:rPr>
        <w:t>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12</w:t>
      </w:r>
      <w:r>
        <w:rPr>
          <w:rFonts w:hint="eastAsia" w:ascii="仿宋" w:hAnsi="仿宋" w:eastAsia="仿宋" w:cs="仿宋"/>
          <w:i w:val="0"/>
          <w:iCs w:val="0"/>
          <w:caps w:val="0"/>
          <w:color w:val="333333"/>
          <w:spacing w:val="0"/>
          <w:sz w:val="32"/>
          <w:szCs w:val="32"/>
          <w:bdr w:val="none" w:color="auto" w:sz="0" w:space="0"/>
          <w:shd w:val="clear" w:fill="FFFFFF"/>
        </w:rPr>
        <w:t>）霍邱县声环境质量现状监测数据。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hint="eastAsia" w:ascii="黑体" w:hAnsi="宋体" w:eastAsia="黑体" w:cs="黑体"/>
          <w:b/>
          <w:bCs/>
          <w:i w:val="0"/>
          <w:iCs w:val="0"/>
          <w:caps w:val="0"/>
          <w:color w:val="333333"/>
          <w:spacing w:val="0"/>
          <w:sz w:val="32"/>
          <w:szCs w:val="32"/>
          <w:bdr w:val="none" w:color="auto" w:sz="0" w:space="0"/>
          <w:shd w:val="clear" w:fill="FFFFFF"/>
        </w:rPr>
        <w:t>二、区划范围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本次声环境功能区划范围为霍邱县主城区和副城区内有明确规划的建设用地，霍邱县主城区规划区主要包括：原城关镇范围，新店镇（不含东北侧的新塘村、李郢村、花庵村和赵郢村），临淮岗镇淮河以南部分，宋店镇的八里村，城东湖、城西湖水面；副城区规划区范围主要依据开发区及马店镇的产业发展及配套建设需要。根据《安徽省六安市霍邱县城总体规划（</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2013-2030</w:t>
      </w:r>
      <w:r>
        <w:rPr>
          <w:rFonts w:hint="eastAsia" w:ascii="仿宋" w:hAnsi="仿宋" w:eastAsia="仿宋" w:cs="仿宋"/>
          <w:i w:val="0"/>
          <w:iCs w:val="0"/>
          <w:caps w:val="0"/>
          <w:color w:val="333333"/>
          <w:spacing w:val="0"/>
          <w:sz w:val="32"/>
          <w:szCs w:val="32"/>
          <w:bdr w:val="none" w:color="auto" w:sz="0" w:space="0"/>
          <w:shd w:val="clear" w:fill="FFFFFF"/>
        </w:rPr>
        <w:t>年）》，本次声环境功能区划范围为霍邱县主城区和副城区内有明确规划的建设用地，总面积约为</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75.08km</w:t>
      </w:r>
      <w:r>
        <w:rPr>
          <w:rFonts w:hint="default" w:ascii="Times New Roman" w:hAnsi="Times New Roman" w:eastAsia="微软雅黑" w:cs="Times New Roman"/>
          <w:i w:val="0"/>
          <w:iCs w:val="0"/>
          <w:caps w:val="0"/>
          <w:color w:val="333333"/>
          <w:spacing w:val="0"/>
          <w:sz w:val="24"/>
          <w:szCs w:val="24"/>
          <w:bdr w:val="none" w:color="auto" w:sz="0" w:space="0"/>
          <w:shd w:val="clear" w:fill="FFFFFF"/>
          <w:vertAlign w:val="baseline"/>
        </w:rPr>
        <w:t>2</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hint="eastAsia" w:ascii="黑体" w:hAnsi="宋体" w:eastAsia="黑体" w:cs="黑体"/>
          <w:b/>
          <w:bCs/>
          <w:i w:val="0"/>
          <w:iCs w:val="0"/>
          <w:caps w:val="0"/>
          <w:color w:val="333333"/>
          <w:spacing w:val="0"/>
          <w:sz w:val="32"/>
          <w:szCs w:val="32"/>
          <w:bdr w:val="none" w:color="auto" w:sz="0" w:space="0"/>
          <w:shd w:val="clear" w:fill="FFFFFF"/>
        </w:rPr>
        <w:t>三、划分原则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）以霍邱县城总体规划为指导，兼顾建设现状的原则。以城区规划区总体规划为指导，按区域规划用地的主导功能、用地现状确定区划，实现霍邱县城区全覆盖。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）划分坚持以宏观控制为主，局部调整为辅的原则。充分利用交通干线、河流、沟壑、绿地等明显现状物作为噪声适用区的边界。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）区分城镇范围内建成区与未建成区的声环境功能区划，未建成的规划区内，按其规划性质或按区域声环境质量现状、结合可能的发展划定区域类型。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）单块的声环境功能区面积，原则上不小于</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0.5km</w:t>
      </w:r>
      <w:r>
        <w:rPr>
          <w:rFonts w:hint="default" w:ascii="Times New Roman" w:hAnsi="Times New Roman" w:eastAsia="微软雅黑" w:cs="Times New Roman"/>
          <w:i w:val="0"/>
          <w:iCs w:val="0"/>
          <w:caps w:val="0"/>
          <w:color w:val="333333"/>
          <w:spacing w:val="0"/>
          <w:sz w:val="24"/>
          <w:szCs w:val="24"/>
          <w:bdr w:val="none" w:color="auto" w:sz="0" w:space="0"/>
          <w:shd w:val="clear" w:fill="FFFFFF"/>
          <w:vertAlign w:val="baseline"/>
        </w:rPr>
        <w:t>2</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）根据霍邱县城区规模和用地变化情况，霍邱县声环境功能区划可适时调整，原则上不超过</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年调整一次。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6</w:t>
      </w:r>
      <w:r>
        <w:rPr>
          <w:rFonts w:hint="eastAsia" w:ascii="仿宋" w:hAnsi="仿宋" w:eastAsia="仿宋" w:cs="仿宋"/>
          <w:i w:val="0"/>
          <w:iCs w:val="0"/>
          <w:caps w:val="0"/>
          <w:color w:val="333333"/>
          <w:spacing w:val="0"/>
          <w:sz w:val="32"/>
          <w:szCs w:val="32"/>
          <w:bdr w:val="none" w:color="auto" w:sz="0" w:space="0"/>
          <w:shd w:val="clear" w:fill="FFFFFF"/>
        </w:rPr>
        <w:t>）调整声环境功能区类别需进行充分的说明。严格控制</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类声环境功能区范围。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hint="eastAsia" w:ascii="黑体" w:hAnsi="宋体" w:eastAsia="黑体" w:cs="黑体"/>
          <w:b/>
          <w:bCs/>
          <w:i w:val="0"/>
          <w:iCs w:val="0"/>
          <w:caps w:val="0"/>
          <w:color w:val="333333"/>
          <w:spacing w:val="0"/>
          <w:sz w:val="32"/>
          <w:szCs w:val="32"/>
          <w:bdr w:val="none" w:color="auto" w:sz="0" w:space="0"/>
          <w:shd w:val="clear" w:fill="FFFFFF"/>
        </w:rPr>
        <w:t>四、声环境功能区类别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本次《霍邱县城市声环境功能区划分方案》按照《声环境质量标准》（</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GB 3096-2008</w:t>
      </w:r>
      <w:r>
        <w:rPr>
          <w:rFonts w:hint="eastAsia" w:ascii="仿宋" w:hAnsi="仿宋" w:eastAsia="仿宋" w:cs="仿宋"/>
          <w:i w:val="0"/>
          <w:iCs w:val="0"/>
          <w:caps w:val="0"/>
          <w:color w:val="333333"/>
          <w:spacing w:val="0"/>
          <w:sz w:val="32"/>
          <w:szCs w:val="32"/>
          <w:bdr w:val="none" w:color="auto" w:sz="0" w:space="0"/>
          <w:shd w:val="clear" w:fill="FFFFFF"/>
        </w:rPr>
        <w:t>）、《声环境功能区划分技术规范》（</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GB/T 15190-2014</w:t>
      </w:r>
      <w:r>
        <w:rPr>
          <w:rFonts w:hint="eastAsia" w:ascii="仿宋" w:hAnsi="仿宋" w:eastAsia="仿宋" w:cs="仿宋"/>
          <w:i w:val="0"/>
          <w:iCs w:val="0"/>
          <w:caps w:val="0"/>
          <w:color w:val="333333"/>
          <w:spacing w:val="0"/>
          <w:sz w:val="32"/>
          <w:szCs w:val="32"/>
          <w:bdr w:val="none" w:color="auto" w:sz="0" w:space="0"/>
          <w:shd w:val="clear" w:fill="FFFFFF"/>
        </w:rPr>
        <w:t>）规定的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类声环境功能区进行划分。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0</w:t>
      </w:r>
      <w:r>
        <w:rPr>
          <w:rFonts w:ascii="楷体" w:hAnsi="楷体" w:eastAsia="楷体" w:cs="楷体"/>
          <w:b/>
          <w:bCs/>
          <w:i w:val="0"/>
          <w:iCs w:val="0"/>
          <w:caps w:val="0"/>
          <w:color w:val="333333"/>
          <w:spacing w:val="0"/>
          <w:sz w:val="32"/>
          <w:szCs w:val="32"/>
          <w:bdr w:val="none" w:color="auto" w:sz="0" w:space="0"/>
          <w:shd w:val="clear" w:fill="FFFFFF"/>
        </w:rPr>
        <w:t>类声环境功能区：</w:t>
      </w:r>
      <w:r>
        <w:rPr>
          <w:rFonts w:hint="eastAsia" w:ascii="仿宋" w:hAnsi="仿宋" w:eastAsia="仿宋" w:cs="仿宋"/>
          <w:i w:val="0"/>
          <w:iCs w:val="0"/>
          <w:caps w:val="0"/>
          <w:color w:val="333333"/>
          <w:spacing w:val="0"/>
          <w:sz w:val="32"/>
          <w:szCs w:val="32"/>
          <w:bdr w:val="none" w:color="auto" w:sz="0" w:space="0"/>
          <w:shd w:val="clear" w:fill="FFFFFF"/>
        </w:rPr>
        <w:t>指康复疗养区等特别需要安静的区域。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1</w:t>
      </w:r>
      <w:r>
        <w:rPr>
          <w:rFonts w:hint="eastAsia" w:ascii="楷体" w:hAnsi="楷体" w:eastAsia="楷体" w:cs="楷体"/>
          <w:b/>
          <w:bCs/>
          <w:i w:val="0"/>
          <w:iCs w:val="0"/>
          <w:caps w:val="0"/>
          <w:color w:val="333333"/>
          <w:spacing w:val="0"/>
          <w:sz w:val="32"/>
          <w:szCs w:val="32"/>
          <w:bdr w:val="none" w:color="auto" w:sz="0" w:space="0"/>
          <w:shd w:val="clear" w:fill="FFFFFF"/>
        </w:rPr>
        <w:t>类声环境功能区：</w:t>
      </w:r>
      <w:r>
        <w:rPr>
          <w:rFonts w:hint="eastAsia" w:ascii="仿宋" w:hAnsi="仿宋" w:eastAsia="仿宋" w:cs="仿宋"/>
          <w:i w:val="0"/>
          <w:iCs w:val="0"/>
          <w:caps w:val="0"/>
          <w:color w:val="333333"/>
          <w:spacing w:val="0"/>
          <w:sz w:val="32"/>
          <w:szCs w:val="32"/>
          <w:bdr w:val="none" w:color="auto" w:sz="0" w:space="0"/>
          <w:shd w:val="clear" w:fill="FFFFFF"/>
        </w:rPr>
        <w:t>指以居民住宅、医疗卫生、文化体育、科研设计、行政办公为主要功能，需要保持安静的区域。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2</w:t>
      </w:r>
      <w:r>
        <w:rPr>
          <w:rFonts w:hint="eastAsia" w:ascii="楷体" w:hAnsi="楷体" w:eastAsia="楷体" w:cs="楷体"/>
          <w:b/>
          <w:bCs/>
          <w:i w:val="0"/>
          <w:iCs w:val="0"/>
          <w:caps w:val="0"/>
          <w:color w:val="333333"/>
          <w:spacing w:val="0"/>
          <w:sz w:val="32"/>
          <w:szCs w:val="32"/>
          <w:bdr w:val="none" w:color="auto" w:sz="0" w:space="0"/>
          <w:shd w:val="clear" w:fill="FFFFFF"/>
        </w:rPr>
        <w:t>类声环境功能区：</w:t>
      </w:r>
      <w:r>
        <w:rPr>
          <w:rFonts w:hint="eastAsia" w:ascii="仿宋" w:hAnsi="仿宋" w:eastAsia="仿宋" w:cs="仿宋"/>
          <w:i w:val="0"/>
          <w:iCs w:val="0"/>
          <w:caps w:val="0"/>
          <w:color w:val="333333"/>
          <w:spacing w:val="0"/>
          <w:sz w:val="32"/>
          <w:szCs w:val="32"/>
          <w:bdr w:val="none" w:color="auto" w:sz="0" w:space="0"/>
          <w:shd w:val="clear" w:fill="FFFFFF"/>
        </w:rPr>
        <w:t>指以商业金融、集市贸易为主要功能，或者居住、商业、工业混杂，需要维护住宅安静的区域。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3</w:t>
      </w:r>
      <w:r>
        <w:rPr>
          <w:rFonts w:hint="eastAsia" w:ascii="楷体" w:hAnsi="楷体" w:eastAsia="楷体" w:cs="楷体"/>
          <w:b/>
          <w:bCs/>
          <w:i w:val="0"/>
          <w:iCs w:val="0"/>
          <w:caps w:val="0"/>
          <w:color w:val="333333"/>
          <w:spacing w:val="0"/>
          <w:sz w:val="32"/>
          <w:szCs w:val="32"/>
          <w:bdr w:val="none" w:color="auto" w:sz="0" w:space="0"/>
          <w:shd w:val="clear" w:fill="FFFFFF"/>
        </w:rPr>
        <w:t>类声环境功能区：</w:t>
      </w:r>
      <w:r>
        <w:rPr>
          <w:rFonts w:hint="eastAsia" w:ascii="仿宋" w:hAnsi="仿宋" w:eastAsia="仿宋" w:cs="仿宋"/>
          <w:i w:val="0"/>
          <w:iCs w:val="0"/>
          <w:caps w:val="0"/>
          <w:color w:val="333333"/>
          <w:spacing w:val="0"/>
          <w:sz w:val="32"/>
          <w:szCs w:val="32"/>
          <w:bdr w:val="none" w:color="auto" w:sz="0" w:space="0"/>
          <w:shd w:val="clear" w:fill="FFFFFF"/>
        </w:rPr>
        <w:t>指以工业生产、仓储物流为主要功能，需要防止工业噪声对周围环境产生严重影响的区域。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4</w:t>
      </w:r>
      <w:r>
        <w:rPr>
          <w:rFonts w:hint="eastAsia" w:ascii="楷体" w:hAnsi="楷体" w:eastAsia="楷体" w:cs="楷体"/>
          <w:b/>
          <w:bCs/>
          <w:i w:val="0"/>
          <w:iCs w:val="0"/>
          <w:caps w:val="0"/>
          <w:color w:val="333333"/>
          <w:spacing w:val="0"/>
          <w:sz w:val="32"/>
          <w:szCs w:val="32"/>
          <w:bdr w:val="none" w:color="auto" w:sz="0" w:space="0"/>
          <w:shd w:val="clear" w:fill="FFFFFF"/>
        </w:rPr>
        <w:t>类声环境功能区：</w:t>
      </w:r>
      <w:r>
        <w:rPr>
          <w:rFonts w:hint="eastAsia" w:ascii="仿宋" w:hAnsi="仿宋" w:eastAsia="仿宋" w:cs="仿宋"/>
          <w:i w:val="0"/>
          <w:iCs w:val="0"/>
          <w:caps w:val="0"/>
          <w:color w:val="333333"/>
          <w:spacing w:val="0"/>
          <w:sz w:val="32"/>
          <w:szCs w:val="32"/>
          <w:bdr w:val="none" w:color="auto" w:sz="0" w:space="0"/>
          <w:shd w:val="clear" w:fill="FFFFFF"/>
        </w:rPr>
        <w:t>指交通干线两侧一定区域之内，需要防止交通噪声对周围环境产生严重影响的区域，包括</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4a</w:t>
      </w:r>
      <w:r>
        <w:rPr>
          <w:rFonts w:hint="eastAsia" w:ascii="仿宋" w:hAnsi="仿宋" w:eastAsia="仿宋" w:cs="仿宋"/>
          <w:i w:val="0"/>
          <w:iCs w:val="0"/>
          <w:caps w:val="0"/>
          <w:color w:val="333333"/>
          <w:spacing w:val="0"/>
          <w:sz w:val="32"/>
          <w:szCs w:val="32"/>
          <w:bdr w:val="none" w:color="auto" w:sz="0" w:space="0"/>
          <w:shd w:val="clear" w:fill="FFFFFF"/>
        </w:rPr>
        <w:t>类和</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4b</w:t>
      </w:r>
      <w:r>
        <w:rPr>
          <w:rFonts w:hint="eastAsia" w:ascii="仿宋" w:hAnsi="仿宋" w:eastAsia="仿宋" w:cs="仿宋"/>
          <w:i w:val="0"/>
          <w:iCs w:val="0"/>
          <w:caps w:val="0"/>
          <w:color w:val="333333"/>
          <w:spacing w:val="0"/>
          <w:sz w:val="32"/>
          <w:szCs w:val="32"/>
          <w:bdr w:val="none" w:color="auto" w:sz="0" w:space="0"/>
          <w:shd w:val="clear" w:fill="FFFFFF"/>
        </w:rPr>
        <w:t>类两种类型。</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4a</w:t>
      </w:r>
      <w:r>
        <w:rPr>
          <w:rFonts w:hint="eastAsia" w:ascii="仿宋" w:hAnsi="仿宋" w:eastAsia="仿宋" w:cs="仿宋"/>
          <w:i w:val="0"/>
          <w:iCs w:val="0"/>
          <w:caps w:val="0"/>
          <w:color w:val="333333"/>
          <w:spacing w:val="0"/>
          <w:sz w:val="32"/>
          <w:szCs w:val="32"/>
          <w:bdr w:val="none" w:color="auto" w:sz="0" w:space="0"/>
          <w:shd w:val="clear" w:fill="FFFFFF"/>
        </w:rPr>
        <w:t>类为高速公路、一级公路、二级公路、城市快速路、城市主干路、城市次干路、城市轨道交通（地面段）、内河航道两侧区域；</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4b</w:t>
      </w:r>
      <w:r>
        <w:rPr>
          <w:rFonts w:hint="eastAsia" w:ascii="仿宋" w:hAnsi="仿宋" w:eastAsia="仿宋" w:cs="仿宋"/>
          <w:i w:val="0"/>
          <w:iCs w:val="0"/>
          <w:caps w:val="0"/>
          <w:color w:val="333333"/>
          <w:spacing w:val="0"/>
          <w:sz w:val="32"/>
          <w:szCs w:val="32"/>
          <w:bdr w:val="none" w:color="auto" w:sz="0" w:space="0"/>
          <w:shd w:val="clear" w:fill="FFFFFF"/>
        </w:rPr>
        <w:t>类为铁路干线两侧区域。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hint="eastAsia" w:ascii="黑体" w:hAnsi="宋体" w:eastAsia="黑体" w:cs="黑体"/>
          <w:b/>
          <w:bCs/>
          <w:i w:val="0"/>
          <w:iCs w:val="0"/>
          <w:caps w:val="0"/>
          <w:color w:val="333333"/>
          <w:spacing w:val="0"/>
          <w:sz w:val="32"/>
          <w:szCs w:val="32"/>
          <w:bdr w:val="none" w:color="auto" w:sz="0" w:space="0"/>
          <w:shd w:val="clear" w:fill="FFFFFF"/>
        </w:rPr>
        <w:t>五、声环境功能区标准限值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根据《声环境质量标准》（</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GB 3096-2008</w:t>
      </w:r>
      <w:r>
        <w:rPr>
          <w:rFonts w:hint="eastAsia" w:ascii="仿宋" w:hAnsi="仿宋" w:eastAsia="仿宋" w:cs="仿宋"/>
          <w:i w:val="0"/>
          <w:iCs w:val="0"/>
          <w:caps w:val="0"/>
          <w:color w:val="333333"/>
          <w:spacing w:val="0"/>
          <w:sz w:val="32"/>
          <w:szCs w:val="32"/>
          <w:bdr w:val="none" w:color="auto" w:sz="0" w:space="0"/>
          <w:shd w:val="clear" w:fill="FFFFFF"/>
        </w:rPr>
        <w:t>）的规定，</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0</w:t>
      </w:r>
      <w:r>
        <w:rPr>
          <w:rFonts w:hint="eastAsia" w:ascii="仿宋" w:hAnsi="仿宋" w:eastAsia="仿宋" w:cs="仿宋"/>
          <w:i w:val="0"/>
          <w:iCs w:val="0"/>
          <w:caps w:val="0"/>
          <w:color w:val="333333"/>
          <w:spacing w:val="0"/>
          <w:sz w:val="32"/>
          <w:szCs w:val="32"/>
          <w:bdr w:val="none" w:color="auto" w:sz="0" w:space="0"/>
          <w:shd w:val="clear" w:fill="FFFFFF"/>
        </w:rPr>
        <w:t>类、</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类、</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类、</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类和</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类声环境功能区标准限值见下表。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240" w:lineRule="auto"/>
        <w:ind w:left="0" w:right="0" w:firstLine="0"/>
        <w:jc w:val="center"/>
        <w:rPr>
          <w:rFonts w:hint="default" w:ascii="Times New Roman" w:hAnsi="Times New Roman" w:cs="Times New Roman"/>
          <w:sz w:val="28"/>
          <w:szCs w:val="28"/>
        </w:rPr>
      </w:pPr>
      <w:r>
        <w:rPr>
          <w:rFonts w:hint="eastAsia" w:ascii="宋体" w:hAnsi="宋体" w:eastAsia="宋体" w:cs="宋体"/>
          <w:i w:val="0"/>
          <w:iCs w:val="0"/>
          <w:caps w:val="0"/>
          <w:color w:val="000000"/>
          <w:spacing w:val="0"/>
          <w:sz w:val="24"/>
          <w:szCs w:val="24"/>
          <w:bdr w:val="none" w:color="auto" w:sz="0" w:space="0"/>
          <w:shd w:val="clear" w:fill="FFFFFF"/>
        </w:rPr>
        <w:t>表</w:t>
      </w:r>
      <w:r>
        <w:rPr>
          <w:rFonts w:hint="eastAsia" w:ascii="微软雅黑" w:hAnsi="微软雅黑" w:eastAsia="微软雅黑" w:cs="微软雅黑"/>
          <w:i w:val="0"/>
          <w:iCs w:val="0"/>
          <w:caps w:val="0"/>
          <w:color w:val="000000"/>
          <w:spacing w:val="0"/>
          <w:sz w:val="24"/>
          <w:szCs w:val="24"/>
          <w:bdr w:val="none" w:color="auto" w:sz="0" w:space="0"/>
          <w:shd w:val="clear" w:fill="FFFFFF"/>
        </w:rPr>
        <w:t>1  </w:t>
      </w:r>
      <w:r>
        <w:rPr>
          <w:rFonts w:hint="eastAsia" w:ascii="宋体" w:hAnsi="宋体" w:eastAsia="宋体" w:cs="宋体"/>
          <w:i w:val="0"/>
          <w:iCs w:val="0"/>
          <w:caps w:val="0"/>
          <w:color w:val="000000"/>
          <w:spacing w:val="0"/>
          <w:sz w:val="24"/>
          <w:szCs w:val="24"/>
          <w:bdr w:val="none" w:color="auto" w:sz="0" w:space="0"/>
          <w:shd w:val="clear" w:fill="FFFFFF"/>
        </w:rPr>
        <w:t>环境噪声限值</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单位：</w:t>
      </w:r>
      <w:r>
        <w:rPr>
          <w:rFonts w:hint="eastAsia" w:ascii="微软雅黑" w:hAnsi="微软雅黑" w:eastAsia="微软雅黑" w:cs="微软雅黑"/>
          <w:i w:val="0"/>
          <w:iCs w:val="0"/>
          <w:caps w:val="0"/>
          <w:color w:val="000000"/>
          <w:spacing w:val="0"/>
          <w:sz w:val="24"/>
          <w:szCs w:val="24"/>
          <w:bdr w:val="none" w:color="auto" w:sz="0" w:space="0"/>
          <w:shd w:val="clear" w:fill="FFFFFF"/>
        </w:rPr>
        <w:t>dB</w:t>
      </w:r>
      <w:r>
        <w:rPr>
          <w:rFonts w:hint="eastAsia" w:ascii="宋体" w:hAnsi="宋体" w:eastAsia="宋体" w:cs="宋体"/>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A</w:t>
      </w:r>
      <w:r>
        <w:rPr>
          <w:rFonts w:hint="eastAsia" w:ascii="宋体" w:hAnsi="宋体" w:eastAsia="宋体" w:cs="宋体"/>
          <w:i w:val="0"/>
          <w:iCs w:val="0"/>
          <w:caps w:val="0"/>
          <w:color w:val="000000"/>
          <w:spacing w:val="0"/>
          <w:sz w:val="24"/>
          <w:szCs w:val="24"/>
          <w:bdr w:val="none" w:color="auto" w:sz="0" w:space="0"/>
          <w:shd w:val="clear" w:fill="FFFFFF"/>
        </w:rPr>
        <w:t>）</w:t>
      </w:r>
    </w:p>
    <w:tbl>
      <w:tblPr>
        <w:tblW w:w="1677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019"/>
        <w:gridCol w:w="4863"/>
        <w:gridCol w:w="4360"/>
        <w:gridCol w:w="45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8" w:hRule="atLeast"/>
        </w:trPr>
        <w:tc>
          <w:tcPr>
            <w:tcW w:w="2350" w:type="pct"/>
            <w:gridSpan w:val="2"/>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b/>
                <w:bCs/>
                <w:sz w:val="24"/>
                <w:szCs w:val="24"/>
                <w:bdr w:val="none" w:color="auto" w:sz="0" w:space="0"/>
              </w:rPr>
              <w:t>声环境功能区类别</w:t>
            </w:r>
          </w:p>
        </w:tc>
        <w:tc>
          <w:tcPr>
            <w:tcW w:w="2600" w:type="pct"/>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b/>
                <w:bCs/>
                <w:sz w:val="24"/>
                <w:szCs w:val="24"/>
                <w:bdr w:val="none" w:color="auto" w:sz="0" w:space="0"/>
              </w:rPr>
              <w:t>时段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2" w:hRule="atLeast"/>
        </w:trPr>
        <w:tc>
          <w:tcPr>
            <w:tcW w:w="2350" w:type="pct"/>
            <w:gridSpan w:val="2"/>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b/>
                <w:bCs/>
                <w:sz w:val="24"/>
                <w:szCs w:val="24"/>
                <w:bdr w:val="none" w:color="auto" w:sz="0" w:space="0"/>
              </w:rPr>
              <w:t>昼间</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b/>
                <w:bCs/>
                <w:sz w:val="24"/>
                <w:szCs w:val="24"/>
                <w:bdr w:val="none" w:color="auto" w:sz="0" w:space="0"/>
              </w:rPr>
              <w:t>夜间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trPr>
        <w:tc>
          <w:tcPr>
            <w:tcW w:w="2350"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0</w:t>
            </w:r>
            <w:r>
              <w:rPr>
                <w:rFonts w:hint="eastAsia" w:ascii="宋体" w:hAnsi="宋体" w:eastAsia="宋体" w:cs="宋体"/>
                <w:sz w:val="24"/>
                <w:szCs w:val="24"/>
                <w:bdr w:val="none" w:color="auto" w:sz="0" w:space="0"/>
              </w:rPr>
              <w:t>类</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50</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5" w:hRule="atLeast"/>
        </w:trPr>
        <w:tc>
          <w:tcPr>
            <w:tcW w:w="2350"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1</w:t>
            </w:r>
            <w:r>
              <w:rPr>
                <w:rFonts w:hint="eastAsia" w:ascii="宋体" w:hAnsi="宋体" w:eastAsia="宋体" w:cs="宋体"/>
                <w:sz w:val="24"/>
                <w:szCs w:val="24"/>
                <w:bdr w:val="none" w:color="auto" w:sz="0" w:space="0"/>
              </w:rPr>
              <w:t>类</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55</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2350"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2</w:t>
            </w:r>
            <w:r>
              <w:rPr>
                <w:rFonts w:hint="eastAsia" w:ascii="宋体" w:hAnsi="宋体" w:eastAsia="宋体" w:cs="宋体"/>
                <w:sz w:val="24"/>
                <w:szCs w:val="24"/>
                <w:bdr w:val="none" w:color="auto" w:sz="0" w:space="0"/>
              </w:rPr>
              <w:t>类</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60</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8" w:hRule="atLeast"/>
        </w:trPr>
        <w:tc>
          <w:tcPr>
            <w:tcW w:w="2350"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3</w:t>
            </w:r>
            <w:r>
              <w:rPr>
                <w:rFonts w:hint="eastAsia" w:ascii="宋体" w:hAnsi="宋体" w:eastAsia="宋体" w:cs="宋体"/>
                <w:sz w:val="24"/>
                <w:szCs w:val="24"/>
                <w:bdr w:val="none" w:color="auto" w:sz="0" w:space="0"/>
              </w:rPr>
              <w:t>类</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65</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55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8" w:hRule="atLeast"/>
        </w:trPr>
        <w:tc>
          <w:tcPr>
            <w:tcW w:w="900"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4</w:t>
            </w:r>
            <w:r>
              <w:rPr>
                <w:rFonts w:hint="eastAsia" w:ascii="黑体" w:hAnsi="宋体" w:eastAsia="黑体" w:cs="黑体"/>
                <w:sz w:val="24"/>
                <w:szCs w:val="24"/>
                <w:bdr w:val="none" w:color="auto" w:sz="0" w:space="0"/>
              </w:rPr>
              <w:t>类</w:t>
            </w:r>
          </w:p>
        </w:tc>
        <w:tc>
          <w:tcPr>
            <w:tcW w:w="145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4a</w:t>
            </w:r>
            <w:r>
              <w:rPr>
                <w:rFonts w:hint="eastAsia" w:ascii="黑体" w:hAnsi="宋体" w:eastAsia="黑体" w:cs="黑体"/>
                <w:sz w:val="24"/>
                <w:szCs w:val="24"/>
                <w:bdr w:val="none" w:color="auto" w:sz="0" w:space="0"/>
              </w:rPr>
              <w:t>类</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70</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55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8" w:hRule="atLeast"/>
        </w:trPr>
        <w:tc>
          <w:tcPr>
            <w:tcW w:w="900"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5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4b</w:t>
            </w:r>
            <w:r>
              <w:rPr>
                <w:rFonts w:hint="eastAsia" w:ascii="黑体" w:hAnsi="宋体" w:eastAsia="黑体" w:cs="黑体"/>
                <w:sz w:val="24"/>
                <w:szCs w:val="24"/>
                <w:bdr w:val="none" w:color="auto" w:sz="0" w:space="0"/>
              </w:rPr>
              <w:t>类</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70</w:t>
            </w:r>
          </w:p>
        </w:tc>
        <w:tc>
          <w:tcPr>
            <w:tcW w:w="13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5000" w:type="pct"/>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left"/>
              <w:rPr>
                <w:rFonts w:hint="default" w:ascii="Calibri" w:hAnsi="Calibri" w:cs="Calibri"/>
                <w:sz w:val="21"/>
                <w:szCs w:val="21"/>
              </w:rPr>
            </w:pPr>
            <w:r>
              <w:rPr>
                <w:rFonts w:hint="eastAsia" w:ascii="黑体" w:hAnsi="宋体" w:eastAsia="黑体" w:cs="黑体"/>
                <w:sz w:val="24"/>
                <w:szCs w:val="24"/>
                <w:bdr w:val="none" w:color="auto" w:sz="0" w:space="0"/>
              </w:rPr>
              <w:t>注：</w:t>
            </w:r>
            <w:r>
              <w:rPr>
                <w:rFonts w:hint="default" w:ascii="Times New Roman" w:hAnsi="Times New Roman" w:cs="Times New Roman"/>
                <w:sz w:val="24"/>
                <w:szCs w:val="24"/>
                <w:bdr w:val="none" w:color="auto" w:sz="0" w:space="0"/>
              </w:rPr>
              <w:t>“</w:t>
            </w:r>
            <w:r>
              <w:rPr>
                <w:rFonts w:hint="eastAsia" w:ascii="黑体" w:hAnsi="宋体" w:eastAsia="黑体" w:cs="黑体"/>
                <w:sz w:val="24"/>
                <w:szCs w:val="24"/>
                <w:bdr w:val="none" w:color="auto" w:sz="0" w:space="0"/>
              </w:rPr>
              <w:t>昼间</w:t>
            </w:r>
            <w:r>
              <w:rPr>
                <w:rFonts w:hint="default" w:ascii="Times New Roman" w:hAnsi="Times New Roman" w:cs="Times New Roman"/>
                <w:sz w:val="24"/>
                <w:szCs w:val="24"/>
                <w:bdr w:val="none" w:color="auto" w:sz="0" w:space="0"/>
              </w:rPr>
              <w:t>”</w:t>
            </w:r>
            <w:r>
              <w:rPr>
                <w:rFonts w:hint="eastAsia" w:ascii="黑体" w:hAnsi="宋体" w:eastAsia="黑体" w:cs="黑体"/>
                <w:sz w:val="24"/>
                <w:szCs w:val="24"/>
                <w:bdr w:val="none" w:color="auto" w:sz="0" w:space="0"/>
              </w:rPr>
              <w:t>是指</w:t>
            </w:r>
            <w:r>
              <w:rPr>
                <w:rFonts w:hint="default" w:ascii="Times New Roman" w:hAnsi="Times New Roman" w:cs="Times New Roman"/>
                <w:sz w:val="24"/>
                <w:szCs w:val="24"/>
                <w:bdr w:val="none" w:color="auto" w:sz="0" w:space="0"/>
              </w:rPr>
              <w:t>6:00</w:t>
            </w:r>
            <w:r>
              <w:rPr>
                <w:rFonts w:hint="eastAsia" w:ascii="黑体" w:hAnsi="宋体" w:eastAsia="黑体" w:cs="黑体"/>
                <w:sz w:val="24"/>
                <w:szCs w:val="24"/>
                <w:bdr w:val="none" w:color="auto" w:sz="0" w:space="0"/>
              </w:rPr>
              <w:t>至</w:t>
            </w:r>
            <w:r>
              <w:rPr>
                <w:rFonts w:hint="default" w:ascii="Times New Roman" w:hAnsi="Times New Roman" w:cs="Times New Roman"/>
                <w:sz w:val="24"/>
                <w:szCs w:val="24"/>
                <w:bdr w:val="none" w:color="auto" w:sz="0" w:space="0"/>
              </w:rPr>
              <w:t>22:00</w:t>
            </w:r>
            <w:r>
              <w:rPr>
                <w:rFonts w:hint="eastAsia" w:ascii="黑体" w:hAnsi="宋体" w:eastAsia="黑体" w:cs="黑体"/>
                <w:sz w:val="24"/>
                <w:szCs w:val="24"/>
                <w:bdr w:val="none" w:color="auto" w:sz="0" w:space="0"/>
              </w:rPr>
              <w:t>之间的时段，该时段执行昼间标准；</w:t>
            </w:r>
            <w:r>
              <w:rPr>
                <w:rFonts w:hint="default" w:ascii="Times New Roman" w:hAnsi="Times New Roman" w:cs="Times New Roman"/>
                <w:sz w:val="24"/>
                <w:szCs w:val="24"/>
                <w:bdr w:val="none" w:color="auto" w:sz="0" w:space="0"/>
              </w:rPr>
              <w:t>“</w:t>
            </w:r>
            <w:r>
              <w:rPr>
                <w:rFonts w:hint="eastAsia" w:ascii="黑体" w:hAnsi="宋体" w:eastAsia="黑体" w:cs="黑体"/>
                <w:sz w:val="24"/>
                <w:szCs w:val="24"/>
                <w:bdr w:val="none" w:color="auto" w:sz="0" w:space="0"/>
              </w:rPr>
              <w:t>夜间</w:t>
            </w:r>
            <w:r>
              <w:rPr>
                <w:rFonts w:hint="default" w:ascii="Times New Roman" w:hAnsi="Times New Roman" w:cs="Times New Roman"/>
                <w:sz w:val="24"/>
                <w:szCs w:val="24"/>
                <w:bdr w:val="none" w:color="auto" w:sz="0" w:space="0"/>
              </w:rPr>
              <w:t>”</w:t>
            </w:r>
            <w:r>
              <w:rPr>
                <w:rFonts w:hint="eastAsia" w:ascii="黑体" w:hAnsi="宋体" w:eastAsia="黑体" w:cs="黑体"/>
                <w:sz w:val="24"/>
                <w:szCs w:val="24"/>
                <w:bdr w:val="none" w:color="auto" w:sz="0" w:space="0"/>
              </w:rPr>
              <w:t>是指</w:t>
            </w:r>
            <w:r>
              <w:rPr>
                <w:rFonts w:hint="default" w:ascii="Times New Roman" w:hAnsi="Times New Roman" w:cs="Times New Roman"/>
                <w:sz w:val="24"/>
                <w:szCs w:val="24"/>
                <w:bdr w:val="none" w:color="auto" w:sz="0" w:space="0"/>
              </w:rPr>
              <w:t>22:00</w:t>
            </w:r>
            <w:r>
              <w:rPr>
                <w:rFonts w:hint="eastAsia" w:ascii="黑体" w:hAnsi="宋体" w:eastAsia="黑体" w:cs="黑体"/>
                <w:sz w:val="24"/>
                <w:szCs w:val="24"/>
                <w:bdr w:val="none" w:color="auto" w:sz="0" w:space="0"/>
              </w:rPr>
              <w:t>至次日的</w:t>
            </w:r>
            <w:r>
              <w:rPr>
                <w:rFonts w:hint="default" w:ascii="Times New Roman" w:hAnsi="Times New Roman" w:cs="Times New Roman"/>
                <w:sz w:val="24"/>
                <w:szCs w:val="24"/>
                <w:bdr w:val="none" w:color="auto" w:sz="0" w:space="0"/>
              </w:rPr>
              <w:t>6:00</w:t>
            </w:r>
            <w:r>
              <w:rPr>
                <w:rFonts w:hint="eastAsia" w:ascii="黑体" w:hAnsi="宋体" w:eastAsia="黑体" w:cs="黑体"/>
                <w:sz w:val="24"/>
                <w:szCs w:val="24"/>
                <w:bdr w:val="none" w:color="auto" w:sz="0" w:space="0"/>
              </w:rPr>
              <w:t>之间的时段，该时段执行夜间标准。</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default" w:ascii="Calibri" w:hAnsi="Calibri" w:cs="Calibri"/>
          <w:sz w:val="21"/>
          <w:szCs w:val="21"/>
        </w:rPr>
      </w:pPr>
      <w:r>
        <w:rPr>
          <w:rFonts w:hint="eastAsia" w:ascii="黑体" w:hAnsi="宋体" w:eastAsia="黑体" w:cs="黑体"/>
          <w:b/>
          <w:bCs/>
          <w:i w:val="0"/>
          <w:iCs w:val="0"/>
          <w:caps w:val="0"/>
          <w:color w:val="333333"/>
          <w:spacing w:val="0"/>
          <w:sz w:val="32"/>
          <w:szCs w:val="32"/>
          <w:bdr w:val="none" w:color="auto" w:sz="0" w:space="0"/>
          <w:shd w:val="clear" w:fill="FFFFFF"/>
        </w:rPr>
        <w:t>六、声环境功能区划分结果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霍邱县城市声环境功能区划总面积为</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75.08km</w:t>
      </w:r>
      <w:r>
        <w:rPr>
          <w:rFonts w:hint="default" w:ascii="Times New Roman" w:hAnsi="Times New Roman" w:eastAsia="微软雅黑" w:cs="Times New Roman"/>
          <w:i w:val="0"/>
          <w:iCs w:val="0"/>
          <w:caps w:val="0"/>
          <w:color w:val="333333"/>
          <w:spacing w:val="0"/>
          <w:sz w:val="24"/>
          <w:szCs w:val="24"/>
          <w:bdr w:val="none" w:color="auto" w:sz="0" w:space="0"/>
          <w:shd w:val="clear" w:fill="FFFFFF"/>
          <w:vertAlign w:val="baseline"/>
        </w:rPr>
        <w:t>2</w:t>
      </w:r>
      <w:r>
        <w:rPr>
          <w:rFonts w:hint="eastAsia" w:ascii="仿宋" w:hAnsi="仿宋" w:eastAsia="仿宋" w:cs="仿宋"/>
          <w:i w:val="0"/>
          <w:iCs w:val="0"/>
          <w:caps w:val="0"/>
          <w:color w:val="333333"/>
          <w:spacing w:val="0"/>
          <w:sz w:val="32"/>
          <w:szCs w:val="32"/>
          <w:bdr w:val="none" w:color="auto" w:sz="0" w:space="0"/>
          <w:shd w:val="clear" w:fill="FFFFFF"/>
        </w:rPr>
        <w:t>（不含道路、水域等），未划分</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0</w:t>
      </w:r>
      <w:r>
        <w:rPr>
          <w:rFonts w:hint="eastAsia" w:ascii="仿宋" w:hAnsi="仿宋" w:eastAsia="仿宋" w:cs="仿宋"/>
          <w:i w:val="0"/>
          <w:iCs w:val="0"/>
          <w:caps w:val="0"/>
          <w:color w:val="333333"/>
          <w:spacing w:val="0"/>
          <w:sz w:val="32"/>
          <w:szCs w:val="32"/>
          <w:bdr w:val="none" w:color="auto" w:sz="0" w:space="0"/>
          <w:shd w:val="clear" w:fill="FFFFFF"/>
        </w:rPr>
        <w:t>类和</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4b</w:t>
      </w:r>
      <w:r>
        <w:rPr>
          <w:rFonts w:hint="eastAsia" w:ascii="仿宋" w:hAnsi="仿宋" w:eastAsia="仿宋" w:cs="仿宋"/>
          <w:i w:val="0"/>
          <w:iCs w:val="0"/>
          <w:caps w:val="0"/>
          <w:color w:val="333333"/>
          <w:spacing w:val="0"/>
          <w:sz w:val="32"/>
          <w:szCs w:val="32"/>
          <w:bdr w:val="none" w:color="auto" w:sz="0" w:space="0"/>
          <w:shd w:val="clear" w:fill="FFFFFF"/>
        </w:rPr>
        <w:t>类声环境功能区。</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类声环境功能区面积</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1.79km</w:t>
      </w:r>
      <w:r>
        <w:rPr>
          <w:rFonts w:hint="default" w:ascii="Times New Roman" w:hAnsi="Times New Roman" w:eastAsia="微软雅黑" w:cs="Times New Roman"/>
          <w:i w:val="0"/>
          <w:iCs w:val="0"/>
          <w:caps w:val="0"/>
          <w:color w:val="333333"/>
          <w:spacing w:val="0"/>
          <w:sz w:val="24"/>
          <w:szCs w:val="24"/>
          <w:bdr w:val="none" w:color="auto" w:sz="0" w:space="0"/>
          <w:shd w:val="clear" w:fill="FFFFFF"/>
          <w:vertAlign w:val="baseline"/>
        </w:rPr>
        <w:t>2</w:t>
      </w:r>
      <w:r>
        <w:rPr>
          <w:rFonts w:hint="eastAsia" w:ascii="仿宋" w:hAnsi="仿宋" w:eastAsia="仿宋" w:cs="仿宋"/>
          <w:i w:val="0"/>
          <w:iCs w:val="0"/>
          <w:caps w:val="0"/>
          <w:color w:val="333333"/>
          <w:spacing w:val="0"/>
          <w:sz w:val="32"/>
          <w:szCs w:val="32"/>
          <w:bdr w:val="none" w:color="auto" w:sz="0" w:space="0"/>
          <w:shd w:val="clear" w:fill="FFFFFF"/>
        </w:rPr>
        <w:t>，占区划面积的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2.38%</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类声环境功能区面积为</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33.20km</w:t>
      </w:r>
      <w:r>
        <w:rPr>
          <w:rFonts w:hint="default" w:ascii="Times New Roman" w:hAnsi="Times New Roman" w:eastAsia="微软雅黑" w:cs="Times New Roman"/>
          <w:i w:val="0"/>
          <w:iCs w:val="0"/>
          <w:caps w:val="0"/>
          <w:color w:val="333333"/>
          <w:spacing w:val="0"/>
          <w:sz w:val="24"/>
          <w:szCs w:val="24"/>
          <w:bdr w:val="none" w:color="auto" w:sz="0" w:space="0"/>
          <w:shd w:val="clear" w:fill="FFFFFF"/>
          <w:vertAlign w:val="baseline"/>
        </w:rPr>
        <w:t>2</w:t>
      </w:r>
      <w:r>
        <w:rPr>
          <w:rFonts w:hint="eastAsia" w:ascii="仿宋" w:hAnsi="仿宋" w:eastAsia="仿宋" w:cs="仿宋"/>
          <w:i w:val="0"/>
          <w:iCs w:val="0"/>
          <w:caps w:val="0"/>
          <w:color w:val="333333"/>
          <w:spacing w:val="0"/>
          <w:sz w:val="32"/>
          <w:szCs w:val="32"/>
          <w:bdr w:val="none" w:color="auto" w:sz="0" w:space="0"/>
          <w:shd w:val="clear" w:fill="FFFFFF"/>
        </w:rPr>
        <w:t>，占区划面积的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44.22%</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类声环境功能区面积为</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24.36km</w:t>
      </w:r>
      <w:r>
        <w:rPr>
          <w:rFonts w:hint="default" w:ascii="Times New Roman" w:hAnsi="Times New Roman" w:eastAsia="微软雅黑" w:cs="Times New Roman"/>
          <w:i w:val="0"/>
          <w:iCs w:val="0"/>
          <w:caps w:val="0"/>
          <w:color w:val="333333"/>
          <w:spacing w:val="0"/>
          <w:sz w:val="24"/>
          <w:szCs w:val="24"/>
          <w:bdr w:val="none" w:color="auto" w:sz="0" w:space="0"/>
          <w:shd w:val="clear" w:fill="FFFFFF"/>
          <w:vertAlign w:val="baseline"/>
        </w:rPr>
        <w:t>2</w:t>
      </w:r>
      <w:r>
        <w:rPr>
          <w:rFonts w:hint="eastAsia" w:ascii="仿宋" w:hAnsi="仿宋" w:eastAsia="仿宋" w:cs="仿宋"/>
          <w:i w:val="0"/>
          <w:iCs w:val="0"/>
          <w:caps w:val="0"/>
          <w:color w:val="333333"/>
          <w:spacing w:val="0"/>
          <w:sz w:val="32"/>
          <w:szCs w:val="32"/>
          <w:bdr w:val="none" w:color="auto" w:sz="0" w:space="0"/>
          <w:shd w:val="clear" w:fill="FFFFFF"/>
        </w:rPr>
        <w:t>，占区划面积的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32.45%</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4a</w:t>
      </w:r>
      <w:r>
        <w:rPr>
          <w:rFonts w:hint="eastAsia" w:ascii="仿宋" w:hAnsi="仿宋" w:eastAsia="仿宋" w:cs="仿宋"/>
          <w:i w:val="0"/>
          <w:iCs w:val="0"/>
          <w:caps w:val="0"/>
          <w:color w:val="333333"/>
          <w:spacing w:val="0"/>
          <w:sz w:val="32"/>
          <w:szCs w:val="32"/>
          <w:bdr w:val="none" w:color="auto" w:sz="0" w:space="0"/>
          <w:shd w:val="clear" w:fill="FFFFFF"/>
        </w:rPr>
        <w:t>类声环境功能区面积为</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15.73km</w:t>
      </w:r>
      <w:r>
        <w:rPr>
          <w:rFonts w:hint="default" w:ascii="Times New Roman" w:hAnsi="Times New Roman" w:eastAsia="微软雅黑" w:cs="Times New Roman"/>
          <w:i w:val="0"/>
          <w:iCs w:val="0"/>
          <w:caps w:val="0"/>
          <w:color w:val="333333"/>
          <w:spacing w:val="0"/>
          <w:sz w:val="24"/>
          <w:szCs w:val="24"/>
          <w:bdr w:val="none" w:color="auto" w:sz="0" w:space="0"/>
          <w:shd w:val="clear" w:fill="FFFFFF"/>
          <w:vertAlign w:val="baseline"/>
        </w:rPr>
        <w:t>2</w:t>
      </w:r>
      <w:r>
        <w:rPr>
          <w:rFonts w:hint="eastAsia" w:ascii="仿宋" w:hAnsi="仿宋" w:eastAsia="仿宋" w:cs="仿宋"/>
          <w:i w:val="0"/>
          <w:iCs w:val="0"/>
          <w:caps w:val="0"/>
          <w:color w:val="333333"/>
          <w:spacing w:val="0"/>
          <w:sz w:val="32"/>
          <w:szCs w:val="32"/>
          <w:bdr w:val="none" w:color="auto" w:sz="0" w:space="0"/>
          <w:shd w:val="clear" w:fill="FFFFFF"/>
        </w:rPr>
        <w:t>，占区划面积的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20.95%</w:t>
      </w:r>
      <w:r>
        <w:rPr>
          <w:rFonts w:hint="eastAsia" w:ascii="仿宋" w:hAnsi="仿宋" w:eastAsia="仿宋" w:cs="仿宋"/>
          <w:i w:val="0"/>
          <w:iCs w:val="0"/>
          <w:caps w:val="0"/>
          <w:color w:val="333333"/>
          <w:spacing w:val="0"/>
          <w:sz w:val="32"/>
          <w:szCs w:val="32"/>
          <w:bdr w:val="none" w:color="auto" w:sz="0" w:space="0"/>
          <w:shd w:val="clear" w:fill="FFFFFF"/>
        </w:rPr>
        <w:t>。声环境功能区划分情况见附件</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、附件</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和附件</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声环境功能区划分是根据霍邱县城区规划区用地现状、总体规划及发展要求进行的，区划中采用的相关数据是以城区总体规划作为基础，当城区总体规划发生较大变化时，声环境功能区应优化调整。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附件：</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霍邱县城市声环境功能区划分情况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160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霍邱县主城区声环境功能区区划图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3.</w:t>
      </w:r>
      <w:r>
        <w:rPr>
          <w:rFonts w:hint="eastAsia" w:ascii="仿宋" w:hAnsi="仿宋" w:eastAsia="仿宋" w:cs="仿宋"/>
          <w:i w:val="0"/>
          <w:iCs w:val="0"/>
          <w:caps w:val="0"/>
          <w:color w:val="333333"/>
          <w:spacing w:val="0"/>
          <w:sz w:val="32"/>
          <w:szCs w:val="32"/>
          <w:bdr w:val="none" w:color="auto" w:sz="0" w:space="0"/>
          <w:shd w:val="clear" w:fill="FFFFFF"/>
        </w:rPr>
        <w:t>霍邱县副城区声环境功能区区划图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附件</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880"/>
        <w:jc w:val="center"/>
        <w:rPr>
          <w:rFonts w:hint="default" w:ascii="Calibri" w:hAnsi="Calibri" w:cs="Calibri"/>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霍邱县城市声环境功能区划分情况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3"/>
        <w:jc w:val="both"/>
        <w:rPr>
          <w:rFonts w:hint="eastAsia" w:ascii="宋体" w:hAnsi="宋体" w:eastAsia="宋体" w:cs="宋体"/>
          <w:spacing w:val="6"/>
          <w:sz w:val="24"/>
          <w:szCs w:val="24"/>
        </w:rPr>
      </w:pPr>
      <w:r>
        <w:rPr>
          <w:rFonts w:hint="eastAsia" w:ascii="微软雅黑" w:hAnsi="微软雅黑" w:eastAsia="微软雅黑" w:cs="微软雅黑"/>
          <w:b/>
          <w:bCs/>
          <w:i w:val="0"/>
          <w:iCs w:val="0"/>
          <w:caps w:val="0"/>
          <w:color w:val="333333"/>
          <w:spacing w:val="0"/>
          <w:sz w:val="32"/>
          <w:szCs w:val="32"/>
          <w:bdr w:val="none" w:color="auto" w:sz="0" w:space="0"/>
          <w:shd w:val="clear" w:fill="FFFFFF"/>
        </w:rPr>
        <w:t>（</w:t>
      </w:r>
      <w:r>
        <w:rPr>
          <w:rFonts w:hint="default" w:ascii="Times New Roman" w:hAnsi="Times New Roman" w:eastAsia="宋体" w:cs="Times New Roman"/>
          <w:b/>
          <w:bCs/>
          <w:i w:val="0"/>
          <w:iCs w:val="0"/>
          <w:caps w:val="0"/>
          <w:color w:val="333333"/>
          <w:spacing w:val="0"/>
          <w:sz w:val="32"/>
          <w:szCs w:val="32"/>
          <w:bdr w:val="none" w:color="auto" w:sz="0" w:space="0"/>
          <w:shd w:val="clear" w:fill="FFFFFF"/>
        </w:rPr>
        <w:t>1</w:t>
      </w:r>
      <w:r>
        <w:rPr>
          <w:rFonts w:hint="eastAsia" w:ascii="微软雅黑" w:hAnsi="微软雅黑" w:eastAsia="微软雅黑" w:cs="微软雅黑"/>
          <w:b/>
          <w:bCs/>
          <w:i w:val="0"/>
          <w:iCs w:val="0"/>
          <w:caps w:val="0"/>
          <w:color w:val="333333"/>
          <w:spacing w:val="0"/>
          <w:sz w:val="32"/>
          <w:szCs w:val="32"/>
          <w:bdr w:val="none" w:color="auto" w:sz="0" w:space="0"/>
          <w:shd w:val="clear" w:fill="FFFFFF"/>
        </w:rPr>
        <w:t>）</w:t>
      </w:r>
      <w:r>
        <w:rPr>
          <w:rFonts w:hint="default" w:ascii="Times New Roman" w:hAnsi="Times New Roman" w:eastAsia="宋体" w:cs="Times New Roman"/>
          <w:b/>
          <w:bCs/>
          <w:i w:val="0"/>
          <w:iCs w:val="0"/>
          <w:caps w:val="0"/>
          <w:color w:val="333333"/>
          <w:spacing w:val="0"/>
          <w:sz w:val="32"/>
          <w:szCs w:val="32"/>
          <w:bdr w:val="none" w:color="auto" w:sz="0" w:space="0"/>
          <w:shd w:val="clear" w:fill="FFFFFF"/>
        </w:rPr>
        <w:t>1</w:t>
      </w:r>
      <w:r>
        <w:rPr>
          <w:rFonts w:hint="eastAsia" w:ascii="微软雅黑" w:hAnsi="微软雅黑" w:eastAsia="微软雅黑" w:cs="微软雅黑"/>
          <w:b/>
          <w:bCs/>
          <w:i w:val="0"/>
          <w:iCs w:val="0"/>
          <w:caps w:val="0"/>
          <w:color w:val="333333"/>
          <w:spacing w:val="0"/>
          <w:sz w:val="32"/>
          <w:szCs w:val="32"/>
          <w:bdr w:val="none" w:color="auto" w:sz="0" w:space="0"/>
          <w:shd w:val="clear" w:fill="FFFFFF"/>
        </w:rPr>
        <w:t>类声环境功能区划分方案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240" w:lineRule="auto"/>
        <w:ind w:left="0" w:right="0" w:firstLine="0"/>
        <w:jc w:val="center"/>
        <w:rPr>
          <w:rFonts w:hint="eastAsia" w:ascii="宋体" w:hAnsi="宋体" w:eastAsia="宋体" w:cs="宋体"/>
          <w:spacing w:val="6"/>
          <w:sz w:val="24"/>
          <w:szCs w:val="24"/>
        </w:rPr>
      </w:pPr>
      <w:r>
        <w:rPr>
          <w:rFonts w:hint="eastAsia" w:ascii="微软雅黑" w:hAnsi="微软雅黑" w:eastAsia="微软雅黑" w:cs="微软雅黑"/>
          <w:i w:val="0"/>
          <w:iCs w:val="0"/>
          <w:caps w:val="0"/>
          <w:color w:val="333333"/>
          <w:spacing w:val="0"/>
          <w:sz w:val="21"/>
          <w:szCs w:val="21"/>
          <w:bdr w:val="none" w:color="auto" w:sz="0" w:space="0"/>
          <w:shd w:val="clear" w:fill="FFFFFF"/>
        </w:rPr>
        <w:t>表</w:t>
      </w:r>
      <w:r>
        <w:rPr>
          <w:rFonts w:hint="default" w:ascii="Times New Roman" w:hAnsi="Times New Roman" w:eastAsia="宋体" w:cs="Times New Roman"/>
          <w:i w:val="0"/>
          <w:iCs w:val="0"/>
          <w:caps w:val="0"/>
          <w:color w:val="333333"/>
          <w:spacing w:val="0"/>
          <w:sz w:val="21"/>
          <w:szCs w:val="21"/>
          <w:bdr w:val="none" w:color="auto" w:sz="0" w:space="0"/>
          <w:shd w:val="clear" w:fill="FFFFFF"/>
        </w:rPr>
        <w:t>1 </w:t>
      </w:r>
      <w:r>
        <w:rPr>
          <w:rFonts w:hint="eastAsia" w:ascii="微软雅黑" w:hAnsi="微软雅黑" w:eastAsia="微软雅黑" w:cs="微软雅黑"/>
          <w:i w:val="0"/>
          <w:iCs w:val="0"/>
          <w:caps w:val="0"/>
          <w:color w:val="333333"/>
          <w:spacing w:val="0"/>
          <w:sz w:val="21"/>
          <w:szCs w:val="21"/>
          <w:bdr w:val="none" w:color="auto" w:sz="0" w:space="0"/>
          <w:shd w:val="clear" w:fill="FFFFFF"/>
        </w:rPr>
        <w:t>霍邱县城区规划</w:t>
      </w:r>
      <w:r>
        <w:rPr>
          <w:rFonts w:hint="default" w:ascii="Times New Roman" w:hAnsi="Times New Roman" w:eastAsia="宋体" w:cs="Times New Roman"/>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类声环境功能区划分方案</w:t>
      </w:r>
    </w:p>
    <w:tbl>
      <w:tblPr>
        <w:tblW w:w="1677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53"/>
        <w:gridCol w:w="2564"/>
        <w:gridCol w:w="6416"/>
        <w:gridCol w:w="3207"/>
        <w:gridCol w:w="22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3" w:hRule="atLeast"/>
        </w:trPr>
        <w:tc>
          <w:tcPr>
            <w:tcW w:w="12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所属区域</w:t>
            </w:r>
          </w:p>
        </w:tc>
        <w:tc>
          <w:tcPr>
            <w:tcW w:w="138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声环境功能区类别</w:t>
            </w:r>
          </w:p>
        </w:tc>
        <w:tc>
          <w:tcPr>
            <w:tcW w:w="347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声环境功能区域</w:t>
            </w:r>
          </w:p>
        </w:tc>
        <w:tc>
          <w:tcPr>
            <w:tcW w:w="17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划分依据</w:t>
            </w:r>
          </w:p>
        </w:tc>
        <w:tc>
          <w:tcPr>
            <w:tcW w:w="120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面积（</w:t>
            </w:r>
            <w:r>
              <w:rPr>
                <w:rFonts w:hint="default" w:ascii="Times New Roman" w:hAnsi="Times New Roman" w:cs="Times New Roman"/>
                <w:sz w:val="21"/>
                <w:szCs w:val="21"/>
                <w:bdr w:val="none" w:color="auto" w:sz="0" w:space="0"/>
              </w:rPr>
              <w:t>km</w:t>
            </w:r>
            <w:r>
              <w:rPr>
                <w:rFonts w:hint="default" w:ascii="Times New Roman" w:hAnsi="Times New Roman" w:cs="Times New Roman"/>
                <w:sz w:val="18"/>
                <w:szCs w:val="18"/>
                <w:bdr w:val="none" w:color="auto" w:sz="0" w:space="0"/>
                <w:vertAlign w:val="baseline"/>
              </w:rPr>
              <w:t>2</w:t>
            </w:r>
            <w:r>
              <w:rPr>
                <w:rFonts w:hint="eastAsia" w:ascii="宋体" w:hAnsi="宋体" w:eastAsia="宋体" w:cs="宋体"/>
                <w:sz w:val="21"/>
                <w:szCs w:val="21"/>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3" w:hRule="atLeast"/>
        </w:trPr>
        <w:tc>
          <w:tcPr>
            <w:tcW w:w="12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主城区</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1</w:t>
            </w:r>
            <w:r>
              <w:rPr>
                <w:rFonts w:hint="eastAsia" w:ascii="宋体" w:hAnsi="宋体" w:eastAsia="宋体" w:cs="宋体"/>
                <w:sz w:val="21"/>
                <w:szCs w:val="21"/>
                <w:bdr w:val="none" w:color="auto" w:sz="0" w:space="0"/>
              </w:rPr>
              <w:t>类声环境功能区</w:t>
            </w:r>
          </w:p>
        </w:tc>
        <w:tc>
          <w:tcPr>
            <w:tcW w:w="34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东湖路以北、蓼城路以南、临港路以西和临霍大道以东</w:t>
            </w:r>
          </w:p>
        </w:tc>
        <w:tc>
          <w:tcPr>
            <w:tcW w:w="173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居住、文教</w:t>
            </w:r>
          </w:p>
        </w:tc>
        <w:tc>
          <w:tcPr>
            <w:tcW w:w="120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1.79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2" w:hRule="atLeast"/>
        </w:trPr>
        <w:tc>
          <w:tcPr>
            <w:tcW w:w="7871"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合计</w:t>
            </w:r>
          </w:p>
        </w:tc>
        <w:tc>
          <w:tcPr>
            <w:tcW w:w="120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1.79</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3"/>
        <w:jc w:val="both"/>
        <w:rPr>
          <w:rFonts w:hint="eastAsia" w:ascii="宋体" w:hAnsi="宋体" w:eastAsia="宋体" w:cs="宋体"/>
          <w:spacing w:val="6"/>
          <w:sz w:val="24"/>
          <w:szCs w:val="24"/>
        </w:rPr>
      </w:pPr>
      <w:r>
        <w:rPr>
          <w:rFonts w:hint="default" w:ascii="Times New Roman" w:hAnsi="Times New Roman" w:eastAsia="宋体" w:cs="Times New Roman"/>
          <w:b/>
          <w:bCs/>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3"/>
        <w:jc w:val="both"/>
        <w:rPr>
          <w:rFonts w:hint="eastAsia" w:ascii="宋体" w:hAnsi="宋体" w:eastAsia="宋体" w:cs="宋体"/>
          <w:spacing w:val="6"/>
          <w:sz w:val="24"/>
          <w:szCs w:val="24"/>
        </w:rPr>
      </w:pPr>
      <w:r>
        <w:rPr>
          <w:rFonts w:hint="eastAsia" w:ascii="微软雅黑" w:hAnsi="微软雅黑" w:eastAsia="微软雅黑" w:cs="微软雅黑"/>
          <w:b/>
          <w:bCs/>
          <w:i w:val="0"/>
          <w:iCs w:val="0"/>
          <w:caps w:val="0"/>
          <w:color w:val="333333"/>
          <w:spacing w:val="0"/>
          <w:sz w:val="32"/>
          <w:szCs w:val="32"/>
          <w:bdr w:val="none" w:color="auto" w:sz="0" w:space="0"/>
          <w:shd w:val="clear" w:fill="FFFFFF"/>
        </w:rPr>
        <w:t>（</w:t>
      </w:r>
      <w:r>
        <w:rPr>
          <w:rFonts w:hint="default" w:ascii="Times New Roman" w:hAnsi="Times New Roman" w:eastAsia="宋体" w:cs="Times New Roman"/>
          <w:b/>
          <w:bCs/>
          <w:i w:val="0"/>
          <w:iCs w:val="0"/>
          <w:caps w:val="0"/>
          <w:color w:val="333333"/>
          <w:spacing w:val="0"/>
          <w:sz w:val="32"/>
          <w:szCs w:val="32"/>
          <w:bdr w:val="none" w:color="auto" w:sz="0" w:space="0"/>
          <w:shd w:val="clear" w:fill="FFFFFF"/>
        </w:rPr>
        <w:t>2</w:t>
      </w:r>
      <w:r>
        <w:rPr>
          <w:rFonts w:hint="eastAsia" w:ascii="微软雅黑" w:hAnsi="微软雅黑" w:eastAsia="微软雅黑" w:cs="微软雅黑"/>
          <w:b/>
          <w:bCs/>
          <w:i w:val="0"/>
          <w:iCs w:val="0"/>
          <w:caps w:val="0"/>
          <w:color w:val="333333"/>
          <w:spacing w:val="0"/>
          <w:sz w:val="32"/>
          <w:szCs w:val="32"/>
          <w:bdr w:val="none" w:color="auto" w:sz="0" w:space="0"/>
          <w:shd w:val="clear" w:fill="FFFFFF"/>
        </w:rPr>
        <w:t>）</w:t>
      </w:r>
      <w:r>
        <w:rPr>
          <w:rFonts w:hint="default" w:ascii="Times New Roman" w:hAnsi="Times New Roman" w:eastAsia="宋体" w:cs="Times New Roman"/>
          <w:b/>
          <w:bCs/>
          <w:i w:val="0"/>
          <w:iCs w:val="0"/>
          <w:caps w:val="0"/>
          <w:color w:val="333333"/>
          <w:spacing w:val="0"/>
          <w:sz w:val="32"/>
          <w:szCs w:val="32"/>
          <w:bdr w:val="none" w:color="auto" w:sz="0" w:space="0"/>
          <w:shd w:val="clear" w:fill="FFFFFF"/>
        </w:rPr>
        <w:t>2</w:t>
      </w:r>
      <w:r>
        <w:rPr>
          <w:rFonts w:hint="eastAsia" w:ascii="微软雅黑" w:hAnsi="微软雅黑" w:eastAsia="微软雅黑" w:cs="微软雅黑"/>
          <w:b/>
          <w:bCs/>
          <w:i w:val="0"/>
          <w:iCs w:val="0"/>
          <w:caps w:val="0"/>
          <w:color w:val="333333"/>
          <w:spacing w:val="0"/>
          <w:sz w:val="32"/>
          <w:szCs w:val="32"/>
          <w:bdr w:val="none" w:color="auto" w:sz="0" w:space="0"/>
          <w:shd w:val="clear" w:fill="FFFFFF"/>
        </w:rPr>
        <w:t>类声环境功能区划分方案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240" w:lineRule="auto"/>
        <w:ind w:left="0" w:right="0" w:firstLine="0"/>
        <w:jc w:val="center"/>
        <w:rPr>
          <w:rFonts w:hint="eastAsia" w:ascii="宋体" w:hAnsi="宋体" w:eastAsia="宋体" w:cs="宋体"/>
          <w:spacing w:val="6"/>
          <w:sz w:val="24"/>
          <w:szCs w:val="24"/>
        </w:rPr>
      </w:pPr>
      <w:r>
        <w:rPr>
          <w:rFonts w:hint="eastAsia" w:ascii="微软雅黑" w:hAnsi="微软雅黑" w:eastAsia="微软雅黑" w:cs="微软雅黑"/>
          <w:i w:val="0"/>
          <w:iCs w:val="0"/>
          <w:caps w:val="0"/>
          <w:color w:val="333333"/>
          <w:spacing w:val="0"/>
          <w:sz w:val="21"/>
          <w:szCs w:val="21"/>
          <w:bdr w:val="none" w:color="auto" w:sz="0" w:space="0"/>
          <w:shd w:val="clear" w:fill="FFFFFF"/>
        </w:rPr>
        <w:t>表</w:t>
      </w:r>
      <w:r>
        <w:rPr>
          <w:rFonts w:hint="default" w:ascii="Times New Roman" w:hAnsi="Times New Roman" w:eastAsia="宋体" w:cs="Times New Roman"/>
          <w:i w:val="0"/>
          <w:iCs w:val="0"/>
          <w:caps w:val="0"/>
          <w:color w:val="333333"/>
          <w:spacing w:val="0"/>
          <w:sz w:val="21"/>
          <w:szCs w:val="21"/>
          <w:bdr w:val="none" w:color="auto" w:sz="0" w:space="0"/>
          <w:shd w:val="clear" w:fill="FFFFFF"/>
        </w:rPr>
        <w:t>2 </w:t>
      </w:r>
      <w:r>
        <w:rPr>
          <w:rFonts w:hint="eastAsia" w:ascii="微软雅黑" w:hAnsi="微软雅黑" w:eastAsia="微软雅黑" w:cs="微软雅黑"/>
          <w:i w:val="0"/>
          <w:iCs w:val="0"/>
          <w:caps w:val="0"/>
          <w:color w:val="333333"/>
          <w:spacing w:val="0"/>
          <w:sz w:val="21"/>
          <w:szCs w:val="21"/>
          <w:bdr w:val="none" w:color="auto" w:sz="0" w:space="0"/>
          <w:shd w:val="clear" w:fill="FFFFFF"/>
        </w:rPr>
        <w:t>霍邱县城区规划</w:t>
      </w:r>
      <w:r>
        <w:rPr>
          <w:rFonts w:hint="default" w:ascii="Times New Roman" w:hAnsi="Times New Roman" w:eastAsia="宋体" w:cs="Times New Roman"/>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类声环境功能区划分方案</w:t>
      </w:r>
    </w:p>
    <w:tbl>
      <w:tblPr>
        <w:tblW w:w="1677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57"/>
        <w:gridCol w:w="3896"/>
        <w:gridCol w:w="5590"/>
        <w:gridCol w:w="37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9" w:hRule="atLeast"/>
        </w:trPr>
        <w:tc>
          <w:tcPr>
            <w:tcW w:w="10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所属区域</w:t>
            </w:r>
          </w:p>
        </w:tc>
        <w:tc>
          <w:tcPr>
            <w:tcW w:w="1150"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声环境功能区类别</w:t>
            </w:r>
          </w:p>
        </w:tc>
        <w:tc>
          <w:tcPr>
            <w:tcW w:w="1600"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声环境功能区域</w:t>
            </w:r>
          </w:p>
        </w:tc>
        <w:tc>
          <w:tcPr>
            <w:tcW w:w="1100"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面积（</w:t>
            </w:r>
            <w:r>
              <w:rPr>
                <w:rFonts w:hint="default" w:ascii="Times New Roman" w:hAnsi="Times New Roman" w:cs="Times New Roman"/>
                <w:sz w:val="21"/>
                <w:szCs w:val="21"/>
                <w:bdr w:val="none" w:color="auto" w:sz="0" w:space="0"/>
              </w:rPr>
              <w:t>km</w:t>
            </w:r>
            <w:r>
              <w:rPr>
                <w:rFonts w:hint="default" w:ascii="Times New Roman" w:hAnsi="Times New Roman" w:cs="Times New Roman"/>
                <w:sz w:val="18"/>
                <w:szCs w:val="18"/>
                <w:bdr w:val="none" w:color="auto" w:sz="0" w:space="0"/>
                <w:vertAlign w:val="baseline"/>
              </w:rPr>
              <w:t>2</w:t>
            </w:r>
            <w:r>
              <w:rPr>
                <w:rFonts w:hint="eastAsia" w:ascii="宋体" w:hAnsi="宋体" w:eastAsia="宋体" w:cs="宋体"/>
                <w:sz w:val="21"/>
                <w:szCs w:val="21"/>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105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主城区</w:t>
            </w:r>
          </w:p>
        </w:tc>
        <w:tc>
          <w:tcPr>
            <w:tcW w:w="1150"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类声环境功能区</w:t>
            </w:r>
          </w:p>
        </w:tc>
        <w:tc>
          <w:tcPr>
            <w:tcW w:w="1600"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除</w:t>
            </w:r>
            <w:r>
              <w:rPr>
                <w:rFonts w:hint="default" w:ascii="Times New Roman" w:hAnsi="Times New Roman" w:cs="Times New Roman"/>
                <w:sz w:val="21"/>
                <w:szCs w:val="21"/>
                <w:bdr w:val="none" w:color="auto" w:sz="0" w:space="0"/>
              </w:rPr>
              <w:t>1</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3</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4</w:t>
            </w:r>
            <w:r>
              <w:rPr>
                <w:rFonts w:hint="eastAsia" w:ascii="宋体" w:hAnsi="宋体" w:eastAsia="宋体" w:cs="宋体"/>
                <w:sz w:val="21"/>
                <w:szCs w:val="21"/>
                <w:bdr w:val="none" w:color="auto" w:sz="0" w:space="0"/>
              </w:rPr>
              <w:t>类区以外的范围</w:t>
            </w:r>
          </w:p>
        </w:tc>
        <w:tc>
          <w:tcPr>
            <w:tcW w:w="11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24.48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105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副城区</w:t>
            </w:r>
          </w:p>
        </w:tc>
        <w:tc>
          <w:tcPr>
            <w:tcW w:w="1150"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00"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8.72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8" w:hRule="atLeast"/>
        </w:trPr>
        <w:tc>
          <w:tcPr>
            <w:tcW w:w="3850" w:type="pct"/>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合计</w:t>
            </w:r>
          </w:p>
        </w:tc>
        <w:tc>
          <w:tcPr>
            <w:tcW w:w="11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33.20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spacing w:val="6"/>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3"/>
        <w:jc w:val="both"/>
        <w:rPr>
          <w:rFonts w:hint="eastAsia" w:ascii="宋体" w:hAnsi="宋体" w:eastAsia="宋体" w:cs="宋体"/>
          <w:spacing w:val="6"/>
          <w:sz w:val="24"/>
          <w:szCs w:val="24"/>
        </w:rPr>
      </w:pPr>
      <w:r>
        <w:rPr>
          <w:rFonts w:hint="eastAsia" w:ascii="微软雅黑" w:hAnsi="微软雅黑" w:eastAsia="微软雅黑" w:cs="微软雅黑"/>
          <w:b/>
          <w:bCs/>
          <w:i w:val="0"/>
          <w:iCs w:val="0"/>
          <w:caps w:val="0"/>
          <w:color w:val="333333"/>
          <w:spacing w:val="0"/>
          <w:sz w:val="32"/>
          <w:szCs w:val="32"/>
          <w:bdr w:val="none" w:color="auto" w:sz="0" w:space="0"/>
          <w:shd w:val="clear" w:fill="FFFFFF"/>
        </w:rPr>
        <w:t>（</w:t>
      </w:r>
      <w:r>
        <w:rPr>
          <w:rFonts w:hint="default" w:ascii="Times New Roman" w:hAnsi="Times New Roman" w:eastAsia="宋体" w:cs="Times New Roman"/>
          <w:b/>
          <w:bCs/>
          <w:i w:val="0"/>
          <w:iCs w:val="0"/>
          <w:caps w:val="0"/>
          <w:color w:val="333333"/>
          <w:spacing w:val="0"/>
          <w:sz w:val="32"/>
          <w:szCs w:val="32"/>
          <w:bdr w:val="none" w:color="auto" w:sz="0" w:space="0"/>
          <w:shd w:val="clear" w:fill="FFFFFF"/>
        </w:rPr>
        <w:t>3</w:t>
      </w:r>
      <w:r>
        <w:rPr>
          <w:rFonts w:hint="eastAsia" w:ascii="微软雅黑" w:hAnsi="微软雅黑" w:eastAsia="微软雅黑" w:cs="微软雅黑"/>
          <w:b/>
          <w:bCs/>
          <w:i w:val="0"/>
          <w:iCs w:val="0"/>
          <w:caps w:val="0"/>
          <w:color w:val="333333"/>
          <w:spacing w:val="0"/>
          <w:sz w:val="32"/>
          <w:szCs w:val="32"/>
          <w:bdr w:val="none" w:color="auto" w:sz="0" w:space="0"/>
          <w:shd w:val="clear" w:fill="FFFFFF"/>
        </w:rPr>
        <w:t>）</w:t>
      </w:r>
      <w:r>
        <w:rPr>
          <w:rFonts w:hint="default" w:ascii="Times New Roman" w:hAnsi="Times New Roman" w:eastAsia="宋体" w:cs="Times New Roman"/>
          <w:b/>
          <w:bCs/>
          <w:i w:val="0"/>
          <w:iCs w:val="0"/>
          <w:caps w:val="0"/>
          <w:color w:val="333333"/>
          <w:spacing w:val="0"/>
          <w:sz w:val="32"/>
          <w:szCs w:val="32"/>
          <w:bdr w:val="none" w:color="auto" w:sz="0" w:space="0"/>
          <w:shd w:val="clear" w:fill="FFFFFF"/>
        </w:rPr>
        <w:t>3</w:t>
      </w:r>
      <w:r>
        <w:rPr>
          <w:rFonts w:hint="eastAsia" w:ascii="微软雅黑" w:hAnsi="微软雅黑" w:eastAsia="微软雅黑" w:cs="微软雅黑"/>
          <w:b/>
          <w:bCs/>
          <w:i w:val="0"/>
          <w:iCs w:val="0"/>
          <w:caps w:val="0"/>
          <w:color w:val="333333"/>
          <w:spacing w:val="0"/>
          <w:sz w:val="32"/>
          <w:szCs w:val="32"/>
          <w:bdr w:val="none" w:color="auto" w:sz="0" w:space="0"/>
          <w:shd w:val="clear" w:fill="FFFFFF"/>
        </w:rPr>
        <w:t>类声环境功能区划分方案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240" w:lineRule="auto"/>
        <w:ind w:left="0" w:right="0" w:firstLine="0"/>
        <w:jc w:val="center"/>
        <w:rPr>
          <w:rFonts w:hint="eastAsia" w:ascii="宋体" w:hAnsi="宋体" w:eastAsia="宋体" w:cs="宋体"/>
          <w:spacing w:val="6"/>
          <w:sz w:val="24"/>
          <w:szCs w:val="24"/>
        </w:rPr>
      </w:pPr>
      <w:r>
        <w:rPr>
          <w:rFonts w:hint="eastAsia" w:ascii="微软雅黑" w:hAnsi="微软雅黑" w:eastAsia="微软雅黑" w:cs="微软雅黑"/>
          <w:i w:val="0"/>
          <w:iCs w:val="0"/>
          <w:caps w:val="0"/>
          <w:color w:val="333333"/>
          <w:spacing w:val="0"/>
          <w:sz w:val="21"/>
          <w:szCs w:val="21"/>
          <w:bdr w:val="none" w:color="auto" w:sz="0" w:space="0"/>
          <w:shd w:val="clear" w:fill="FFFFFF"/>
        </w:rPr>
        <w:t>表</w:t>
      </w:r>
      <w:r>
        <w:rPr>
          <w:rFonts w:hint="default" w:ascii="Times New Roman" w:hAnsi="Times New Roman" w:eastAsia="宋体" w:cs="Times New Roman"/>
          <w:i w:val="0"/>
          <w:iCs w:val="0"/>
          <w:caps w:val="0"/>
          <w:color w:val="333333"/>
          <w:spacing w:val="0"/>
          <w:sz w:val="21"/>
          <w:szCs w:val="21"/>
          <w:bdr w:val="none" w:color="auto" w:sz="0" w:space="0"/>
          <w:shd w:val="clear" w:fill="FFFFFF"/>
        </w:rPr>
        <w:t>3 </w:t>
      </w:r>
      <w:r>
        <w:rPr>
          <w:rFonts w:hint="eastAsia" w:ascii="微软雅黑" w:hAnsi="微软雅黑" w:eastAsia="微软雅黑" w:cs="微软雅黑"/>
          <w:i w:val="0"/>
          <w:iCs w:val="0"/>
          <w:caps w:val="0"/>
          <w:color w:val="333333"/>
          <w:spacing w:val="0"/>
          <w:sz w:val="21"/>
          <w:szCs w:val="21"/>
          <w:bdr w:val="none" w:color="auto" w:sz="0" w:space="0"/>
          <w:shd w:val="clear" w:fill="FFFFFF"/>
        </w:rPr>
        <w:t>霍邱县城区规划</w:t>
      </w:r>
      <w:r>
        <w:rPr>
          <w:rFonts w:hint="default" w:ascii="Times New Roman" w:hAnsi="Times New Roman" w:eastAsia="宋体" w:cs="Times New Roman"/>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类声环境功能区划分方案</w:t>
      </w:r>
    </w:p>
    <w:tbl>
      <w:tblPr>
        <w:tblW w:w="909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86"/>
        <w:gridCol w:w="1361"/>
        <w:gridCol w:w="4252"/>
        <w:gridCol w:w="1225"/>
        <w:gridCol w:w="10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rPr>
        <w:tc>
          <w:tcPr>
            <w:tcW w:w="118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所属区域</w:t>
            </w:r>
          </w:p>
        </w:tc>
        <w:tc>
          <w:tcPr>
            <w:tcW w:w="136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声环境功能区类别</w:t>
            </w:r>
          </w:p>
        </w:tc>
        <w:tc>
          <w:tcPr>
            <w:tcW w:w="425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声环境功能区域</w:t>
            </w:r>
          </w:p>
        </w:tc>
        <w:tc>
          <w:tcPr>
            <w:tcW w:w="122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划分依据</w:t>
            </w:r>
          </w:p>
        </w:tc>
        <w:tc>
          <w:tcPr>
            <w:tcW w:w="107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面积（</w:t>
            </w:r>
            <w:r>
              <w:rPr>
                <w:rFonts w:hint="default" w:ascii="Times New Roman" w:hAnsi="Times New Roman" w:cs="Times New Roman"/>
                <w:sz w:val="21"/>
                <w:szCs w:val="21"/>
                <w:bdr w:val="none" w:color="auto" w:sz="0" w:space="0"/>
              </w:rPr>
              <w:t>km</w:t>
            </w:r>
            <w:r>
              <w:rPr>
                <w:rFonts w:hint="default" w:ascii="Times New Roman" w:hAnsi="Times New Roman" w:cs="Times New Roman"/>
                <w:sz w:val="18"/>
                <w:szCs w:val="18"/>
                <w:bdr w:val="none" w:color="auto" w:sz="0" w:space="0"/>
                <w:vertAlign w:val="baseline"/>
              </w:rPr>
              <w:t>2</w:t>
            </w:r>
            <w:r>
              <w:rPr>
                <w:rFonts w:hint="eastAsia" w:ascii="宋体" w:hAnsi="宋体" w:eastAsia="宋体" w:cs="宋体"/>
                <w:sz w:val="21"/>
                <w:szCs w:val="21"/>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rPr>
        <w:tc>
          <w:tcPr>
            <w:tcW w:w="118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主城区</w:t>
            </w:r>
          </w:p>
        </w:tc>
        <w:tc>
          <w:tcPr>
            <w:tcW w:w="136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3</w:t>
            </w:r>
            <w:r>
              <w:rPr>
                <w:rFonts w:hint="eastAsia" w:ascii="宋体" w:hAnsi="宋体" w:eastAsia="宋体" w:cs="宋体"/>
                <w:sz w:val="21"/>
                <w:szCs w:val="21"/>
                <w:bdr w:val="none" w:color="auto" w:sz="0" w:space="0"/>
              </w:rPr>
              <w:t>类声环境功能区</w:t>
            </w:r>
          </w:p>
        </w:tc>
        <w:tc>
          <w:tcPr>
            <w:tcW w:w="425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公园路以北、纬九路以南、站前路以西和临港路以东</w:t>
            </w:r>
          </w:p>
        </w:tc>
        <w:tc>
          <w:tcPr>
            <w:tcW w:w="122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工业生产</w:t>
            </w:r>
          </w:p>
        </w:tc>
        <w:tc>
          <w:tcPr>
            <w:tcW w:w="107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14.08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rPr>
        <w:tc>
          <w:tcPr>
            <w:tcW w:w="118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公园路以北、北环路以南、庆发大道以西和滨河北路以东</w:t>
            </w:r>
          </w:p>
        </w:tc>
        <w:tc>
          <w:tcPr>
            <w:tcW w:w="122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工业生产</w:t>
            </w:r>
          </w:p>
        </w:tc>
        <w:tc>
          <w:tcPr>
            <w:tcW w:w="10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8" w:hRule="atLeast"/>
        </w:trPr>
        <w:tc>
          <w:tcPr>
            <w:tcW w:w="118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纬八路以北、南外环以南、海河路以西和建兴路以东</w:t>
            </w:r>
          </w:p>
        </w:tc>
        <w:tc>
          <w:tcPr>
            <w:tcW w:w="122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仓储物流</w:t>
            </w:r>
          </w:p>
        </w:tc>
        <w:tc>
          <w:tcPr>
            <w:tcW w:w="10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8" w:hRule="atLeast"/>
        </w:trPr>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副城区</w:t>
            </w:r>
          </w:p>
        </w:tc>
        <w:tc>
          <w:tcPr>
            <w:tcW w:w="13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煤山路以北、长山路以南、沿山路以西和文化路以东</w:t>
            </w:r>
          </w:p>
        </w:tc>
        <w:tc>
          <w:tcPr>
            <w:tcW w:w="122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工业生产</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10.28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2" w:hRule="atLeast"/>
        </w:trPr>
        <w:tc>
          <w:tcPr>
            <w:tcW w:w="80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合计</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Times New Roman" w:hAnsi="Times New Roman" w:cs="Times New Roman"/>
                <w:sz w:val="21"/>
                <w:szCs w:val="21"/>
                <w:bdr w:val="none" w:color="auto" w:sz="0" w:space="0"/>
              </w:rPr>
              <w:t>24.36</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spacing w:val="6"/>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3"/>
        <w:jc w:val="both"/>
        <w:rPr>
          <w:rFonts w:hint="eastAsia" w:ascii="宋体" w:hAnsi="宋体" w:eastAsia="宋体" w:cs="宋体"/>
          <w:spacing w:val="6"/>
          <w:sz w:val="24"/>
          <w:szCs w:val="24"/>
        </w:rPr>
      </w:pPr>
      <w:r>
        <w:rPr>
          <w:rFonts w:hint="eastAsia" w:ascii="微软雅黑" w:hAnsi="微软雅黑" w:eastAsia="微软雅黑" w:cs="微软雅黑"/>
          <w:b/>
          <w:bCs/>
          <w:i w:val="0"/>
          <w:iCs w:val="0"/>
          <w:caps w:val="0"/>
          <w:color w:val="333333"/>
          <w:spacing w:val="0"/>
          <w:sz w:val="32"/>
          <w:szCs w:val="32"/>
          <w:bdr w:val="none" w:color="auto" w:sz="0" w:space="0"/>
          <w:shd w:val="clear" w:fill="FFFFFF"/>
        </w:rPr>
        <w:t>（</w:t>
      </w:r>
      <w:r>
        <w:rPr>
          <w:rFonts w:hint="default" w:ascii="Times New Roman" w:hAnsi="Times New Roman" w:eastAsia="宋体" w:cs="Times New Roman"/>
          <w:b/>
          <w:bCs/>
          <w:i w:val="0"/>
          <w:iCs w:val="0"/>
          <w:caps w:val="0"/>
          <w:color w:val="333333"/>
          <w:spacing w:val="0"/>
          <w:sz w:val="32"/>
          <w:szCs w:val="32"/>
          <w:bdr w:val="none" w:color="auto" w:sz="0" w:space="0"/>
          <w:shd w:val="clear" w:fill="FFFFFF"/>
        </w:rPr>
        <w:t>4</w:t>
      </w:r>
      <w:r>
        <w:rPr>
          <w:rFonts w:hint="eastAsia" w:ascii="微软雅黑" w:hAnsi="微软雅黑" w:eastAsia="微软雅黑" w:cs="微软雅黑"/>
          <w:b/>
          <w:bCs/>
          <w:i w:val="0"/>
          <w:iCs w:val="0"/>
          <w:caps w:val="0"/>
          <w:color w:val="333333"/>
          <w:spacing w:val="0"/>
          <w:sz w:val="32"/>
          <w:szCs w:val="32"/>
          <w:bdr w:val="none" w:color="auto" w:sz="0" w:space="0"/>
          <w:shd w:val="clear" w:fill="FFFFFF"/>
        </w:rPr>
        <w:t>）</w:t>
      </w:r>
      <w:r>
        <w:rPr>
          <w:rFonts w:hint="default" w:ascii="Times New Roman" w:hAnsi="Times New Roman" w:eastAsia="宋体" w:cs="Times New Roman"/>
          <w:b/>
          <w:bCs/>
          <w:i w:val="0"/>
          <w:iCs w:val="0"/>
          <w:caps w:val="0"/>
          <w:color w:val="333333"/>
          <w:spacing w:val="0"/>
          <w:sz w:val="32"/>
          <w:szCs w:val="32"/>
          <w:bdr w:val="none" w:color="auto" w:sz="0" w:space="0"/>
          <w:shd w:val="clear" w:fill="FFFFFF"/>
        </w:rPr>
        <w:t>4a</w:t>
      </w:r>
      <w:r>
        <w:rPr>
          <w:rFonts w:hint="eastAsia" w:ascii="微软雅黑" w:hAnsi="微软雅黑" w:eastAsia="微软雅黑" w:cs="微软雅黑"/>
          <w:b/>
          <w:bCs/>
          <w:i w:val="0"/>
          <w:iCs w:val="0"/>
          <w:caps w:val="0"/>
          <w:color w:val="333333"/>
          <w:spacing w:val="0"/>
          <w:sz w:val="32"/>
          <w:szCs w:val="32"/>
          <w:bdr w:val="none" w:color="auto" w:sz="0" w:space="0"/>
          <w:shd w:val="clear" w:fill="FFFFFF"/>
        </w:rPr>
        <w:t>类声环境功能区划分方案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240" w:lineRule="auto"/>
        <w:ind w:left="0" w:right="0" w:firstLine="0"/>
        <w:jc w:val="center"/>
        <w:rPr>
          <w:rFonts w:hint="eastAsia" w:ascii="宋体" w:hAnsi="宋体" w:eastAsia="宋体" w:cs="宋体"/>
          <w:spacing w:val="6"/>
          <w:sz w:val="24"/>
          <w:szCs w:val="24"/>
        </w:rPr>
      </w:pPr>
      <w:r>
        <w:rPr>
          <w:rFonts w:hint="eastAsia" w:ascii="微软雅黑" w:hAnsi="微软雅黑" w:eastAsia="微软雅黑" w:cs="微软雅黑"/>
          <w:i w:val="0"/>
          <w:iCs w:val="0"/>
          <w:caps w:val="0"/>
          <w:color w:val="333333"/>
          <w:spacing w:val="0"/>
          <w:sz w:val="21"/>
          <w:szCs w:val="21"/>
          <w:bdr w:val="none" w:color="auto" w:sz="0" w:space="0"/>
          <w:shd w:val="clear" w:fill="FFFFFF"/>
        </w:rPr>
        <w:t>表</w:t>
      </w:r>
      <w:r>
        <w:rPr>
          <w:rFonts w:hint="default" w:ascii="Times New Roman" w:hAnsi="Times New Roman" w:eastAsia="宋体" w:cs="Times New Roman"/>
          <w:i w:val="0"/>
          <w:iCs w:val="0"/>
          <w:caps w:val="0"/>
          <w:color w:val="333333"/>
          <w:spacing w:val="0"/>
          <w:sz w:val="21"/>
          <w:szCs w:val="21"/>
          <w:bdr w:val="none" w:color="auto" w:sz="0" w:space="0"/>
          <w:shd w:val="clear" w:fill="FFFFFF"/>
        </w:rPr>
        <w:t>4 </w:t>
      </w:r>
      <w:r>
        <w:rPr>
          <w:rFonts w:hint="eastAsia" w:ascii="微软雅黑" w:hAnsi="微软雅黑" w:eastAsia="微软雅黑" w:cs="微软雅黑"/>
          <w:i w:val="0"/>
          <w:iCs w:val="0"/>
          <w:caps w:val="0"/>
          <w:color w:val="333333"/>
          <w:spacing w:val="0"/>
          <w:sz w:val="21"/>
          <w:szCs w:val="21"/>
          <w:bdr w:val="none" w:color="auto" w:sz="0" w:space="0"/>
          <w:shd w:val="clear" w:fill="FFFFFF"/>
        </w:rPr>
        <w:t>霍邱县城区规划</w:t>
      </w:r>
      <w:r>
        <w:rPr>
          <w:rFonts w:hint="default" w:ascii="Times New Roman" w:hAnsi="Times New Roman" w:eastAsia="宋体" w:cs="Times New Roman"/>
          <w:i w:val="0"/>
          <w:iCs w:val="0"/>
          <w:caps w:val="0"/>
          <w:color w:val="333333"/>
          <w:spacing w:val="0"/>
          <w:sz w:val="21"/>
          <w:szCs w:val="21"/>
          <w:bdr w:val="none" w:color="auto" w:sz="0" w:space="0"/>
          <w:shd w:val="clear" w:fill="FFFFFF"/>
        </w:rPr>
        <w:t>4a</w:t>
      </w:r>
      <w:r>
        <w:rPr>
          <w:rFonts w:hint="eastAsia" w:ascii="微软雅黑" w:hAnsi="微软雅黑" w:eastAsia="微软雅黑" w:cs="微软雅黑"/>
          <w:i w:val="0"/>
          <w:iCs w:val="0"/>
          <w:caps w:val="0"/>
          <w:color w:val="333333"/>
          <w:spacing w:val="0"/>
          <w:sz w:val="21"/>
          <w:szCs w:val="21"/>
          <w:bdr w:val="none" w:color="auto" w:sz="0" w:space="0"/>
          <w:shd w:val="clear" w:fill="FFFFFF"/>
        </w:rPr>
        <w:t>类声环境功能区划分方案</w:t>
      </w:r>
    </w:p>
    <w:tbl>
      <w:tblPr>
        <w:tblW w:w="1677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91"/>
        <w:gridCol w:w="1585"/>
        <w:gridCol w:w="3174"/>
        <w:gridCol w:w="2907"/>
        <w:gridCol w:w="2870"/>
        <w:gridCol w:w="3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7" w:hRule="atLeast"/>
          <w:tblHeader/>
          <w:jc w:val="center"/>
        </w:trPr>
        <w:tc>
          <w:tcPr>
            <w:tcW w:w="133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b/>
                <w:bCs/>
                <w:sz w:val="21"/>
                <w:szCs w:val="21"/>
                <w:bdr w:val="none" w:color="auto" w:sz="0" w:space="0"/>
              </w:rPr>
              <w:t>所属区域</w:t>
            </w:r>
          </w:p>
        </w:tc>
        <w:tc>
          <w:tcPr>
            <w:tcW w:w="8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b/>
                <w:bCs/>
                <w:sz w:val="21"/>
                <w:szCs w:val="21"/>
                <w:bdr w:val="none" w:color="auto" w:sz="0" w:space="0"/>
              </w:rPr>
              <w:t>序号</w:t>
            </w:r>
          </w:p>
        </w:tc>
        <w:tc>
          <w:tcPr>
            <w:tcW w:w="1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b/>
                <w:bCs/>
                <w:sz w:val="21"/>
                <w:szCs w:val="21"/>
                <w:bdr w:val="none" w:color="auto" w:sz="0" w:space="0"/>
              </w:rPr>
              <w:t>道路名称</w:t>
            </w:r>
          </w:p>
        </w:tc>
        <w:tc>
          <w:tcPr>
            <w:tcW w:w="15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b/>
                <w:bCs/>
                <w:sz w:val="21"/>
                <w:szCs w:val="21"/>
                <w:bdr w:val="none" w:color="auto" w:sz="0" w:space="0"/>
              </w:rPr>
              <w:t>道路等级</w:t>
            </w:r>
          </w:p>
        </w:tc>
        <w:tc>
          <w:tcPr>
            <w:tcW w:w="153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b/>
                <w:bCs/>
                <w:sz w:val="21"/>
                <w:szCs w:val="21"/>
                <w:bdr w:val="none" w:color="auto" w:sz="0" w:space="0"/>
              </w:rPr>
              <w:t>长度（</w:t>
            </w:r>
            <w:r>
              <w:rPr>
                <w:rFonts w:hint="eastAsia" w:ascii="微软雅黑" w:hAnsi="微软雅黑" w:eastAsia="微软雅黑" w:cs="微软雅黑"/>
                <w:b/>
                <w:bCs/>
                <w:sz w:val="21"/>
                <w:szCs w:val="21"/>
                <w:bdr w:val="none" w:color="auto" w:sz="0" w:space="0"/>
              </w:rPr>
              <w:t>km</w:t>
            </w:r>
            <w:r>
              <w:rPr>
                <w:rFonts w:hint="eastAsia" w:ascii="宋体" w:hAnsi="宋体" w:eastAsia="宋体" w:cs="宋体"/>
                <w:b/>
                <w:bCs/>
                <w:sz w:val="21"/>
                <w:szCs w:val="21"/>
                <w:bdr w:val="none" w:color="auto" w:sz="0" w:space="0"/>
              </w:rPr>
              <w:t>）</w:t>
            </w:r>
          </w:p>
        </w:tc>
        <w:tc>
          <w:tcPr>
            <w:tcW w:w="200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b/>
                <w:bCs/>
                <w:sz w:val="21"/>
                <w:szCs w:val="21"/>
                <w:bdr w:val="none" w:color="auto" w:sz="0" w:space="0"/>
              </w:rPr>
              <w:t>4a</w:t>
            </w:r>
            <w:r>
              <w:rPr>
                <w:rFonts w:hint="eastAsia" w:ascii="宋体" w:hAnsi="宋体" w:eastAsia="宋体" w:cs="宋体"/>
                <w:b/>
                <w:bCs/>
                <w:sz w:val="21"/>
                <w:szCs w:val="21"/>
                <w:bdr w:val="none" w:color="auto" w:sz="0" w:space="0"/>
              </w:rPr>
              <w:t>类声环境功能区面积（</w:t>
            </w:r>
            <w:r>
              <w:rPr>
                <w:rFonts w:hint="eastAsia" w:ascii="微软雅黑" w:hAnsi="微软雅黑" w:eastAsia="微软雅黑" w:cs="微软雅黑"/>
                <w:b/>
                <w:bCs/>
                <w:sz w:val="21"/>
                <w:szCs w:val="21"/>
                <w:bdr w:val="none" w:color="auto" w:sz="0" w:space="0"/>
              </w:rPr>
              <w:t>km</w:t>
            </w:r>
            <w:r>
              <w:rPr>
                <w:rFonts w:hint="eastAsia" w:ascii="微软雅黑" w:hAnsi="微软雅黑" w:eastAsia="微软雅黑" w:cs="微软雅黑"/>
                <w:b/>
                <w:bCs/>
                <w:sz w:val="18"/>
                <w:szCs w:val="18"/>
                <w:bdr w:val="none" w:color="auto" w:sz="0" w:space="0"/>
                <w:vertAlign w:val="baseline"/>
              </w:rPr>
              <w:t>2</w:t>
            </w:r>
            <w:r>
              <w:rPr>
                <w:rFonts w:hint="eastAsia" w:ascii="宋体" w:hAnsi="宋体" w:eastAsia="宋体" w:cs="宋体"/>
                <w:b/>
                <w:bCs/>
                <w:sz w:val="21"/>
                <w:szCs w:val="21"/>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color w:val="000000"/>
                <w:sz w:val="21"/>
                <w:szCs w:val="21"/>
                <w:bdr w:val="none" w:color="auto" w:sz="0" w:space="0"/>
              </w:rPr>
              <w:t>主城区</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省道</w:t>
            </w:r>
            <w:r>
              <w:rPr>
                <w:rFonts w:hint="eastAsia" w:ascii="微软雅黑" w:hAnsi="微软雅黑" w:eastAsia="微软雅黑" w:cs="微软雅黑"/>
                <w:sz w:val="21"/>
                <w:szCs w:val="21"/>
                <w:bdr w:val="none" w:color="auto" w:sz="0" w:space="0"/>
              </w:rPr>
              <w:t>343</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快速路</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6.06</w:t>
            </w:r>
          </w:p>
        </w:tc>
        <w:tc>
          <w:tcPr>
            <w:tcW w:w="200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10.57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沿淮快速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快速路</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11.75</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3</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省道</w:t>
            </w:r>
            <w:r>
              <w:rPr>
                <w:rFonts w:hint="eastAsia" w:ascii="微软雅黑" w:hAnsi="微软雅黑" w:eastAsia="微软雅黑" w:cs="微软雅黑"/>
                <w:sz w:val="21"/>
                <w:szCs w:val="21"/>
                <w:bdr w:val="none" w:color="auto" w:sz="0" w:space="0"/>
              </w:rPr>
              <w:t>310</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快速路</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18.86</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4</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纬九路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2.68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5</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北环路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7.98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6</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公园路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7.30</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7</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蓼城路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6.84</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8</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东湖路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2.15</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9</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南环路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5.66</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工业大道</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8.68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11</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临港路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9.03</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12</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东环路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17.48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13</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建兴路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12.82</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14</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光明大道</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5.65</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15</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滨河北路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1.68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16</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纬一路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2.83</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17</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纬二路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1.76</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18</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纬三路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4.07</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19</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军民东路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3.84</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府后路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1.57</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21</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府后东路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2.26</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22</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双湖路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3.99</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23</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五岳路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3.62</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24</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大同路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6.08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25</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纬六路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3.38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26</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纬八路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3.58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27</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站前路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4.37</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28</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经一路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3.98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29</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经二路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4.40</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30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玉泉路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6.50</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31</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卧阳大道</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2.23</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32</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海河路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3.51</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33</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庆发大道</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3.40</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34</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西湖路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9.52</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35</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滨河南路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2.50</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36</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环湖南路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1.29</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color w:val="000000"/>
                <w:sz w:val="21"/>
                <w:szCs w:val="21"/>
                <w:bdr w:val="none" w:color="auto" w:sz="0" w:space="0"/>
              </w:rPr>
              <w:t>副城区</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霍马路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快速路</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5.27</w:t>
            </w:r>
          </w:p>
        </w:tc>
        <w:tc>
          <w:tcPr>
            <w:tcW w:w="200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5.16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国道</w:t>
            </w:r>
            <w:r>
              <w:rPr>
                <w:rFonts w:hint="eastAsia" w:ascii="微软雅黑" w:hAnsi="微软雅黑" w:eastAsia="微软雅黑" w:cs="微软雅黑"/>
                <w:sz w:val="21"/>
                <w:szCs w:val="21"/>
                <w:bdr w:val="none" w:color="auto" w:sz="0" w:space="0"/>
              </w:rPr>
              <w:t>105</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快速路</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11.66</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长山路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3.52</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4</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纬二路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3.57</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5</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纬六路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4.21</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6</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纬八路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5.08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7</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纬九路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2.79</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8</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纬十路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2.91</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9</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经一路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12.59</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经三路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11.11</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11</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经五路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主干道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9.38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12</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纬一路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3.65</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13</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纬三路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2.79</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14</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纬四路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4.34</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15</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纬五路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4.11</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16</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纬七路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3.79</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17</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体育路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3.19</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18</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沿山路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7.63</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19</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公园路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3.18</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经二路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6.21</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13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21</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经四路</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sz w:val="21"/>
                <w:szCs w:val="21"/>
                <w:bdr w:val="none" w:color="auto" w:sz="0" w:space="0"/>
              </w:rPr>
              <w:t>次干道</w:t>
            </w:r>
          </w:p>
        </w:tc>
        <w:tc>
          <w:tcPr>
            <w:tcW w:w="153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color w:val="000000"/>
                <w:sz w:val="21"/>
                <w:szCs w:val="21"/>
                <w:bdr w:val="none" w:color="auto" w:sz="0" w:space="0"/>
              </w:rPr>
              <w:t>13.33</w:t>
            </w:r>
          </w:p>
        </w:tc>
        <w:tc>
          <w:tcPr>
            <w:tcW w:w="200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6985"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宋体" w:hAnsi="宋体" w:eastAsia="宋体" w:cs="宋体"/>
                <w:color w:val="000000"/>
                <w:sz w:val="21"/>
                <w:szCs w:val="21"/>
                <w:bdr w:val="none" w:color="auto" w:sz="0" w:space="0"/>
              </w:rPr>
              <w:t>合计</w:t>
            </w:r>
          </w:p>
        </w:tc>
        <w:tc>
          <w:tcPr>
            <w:tcW w:w="200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eastAsia" w:ascii="微软雅黑" w:hAnsi="微软雅黑" w:eastAsia="微软雅黑" w:cs="微软雅黑"/>
                <w:sz w:val="21"/>
                <w:szCs w:val="21"/>
                <w:bdr w:val="none" w:color="auto" w:sz="0" w:space="0"/>
              </w:rPr>
              <w:t>15.73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8992"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Times New Roman" w:hAnsi="Times New Roman" w:cs="Times New Roman"/>
                <w:sz w:val="20"/>
                <w:szCs w:val="20"/>
              </w:rPr>
            </w:pPr>
            <w:r>
              <w:rPr>
                <w:rFonts w:hint="eastAsia" w:ascii="宋体" w:hAnsi="宋体" w:eastAsia="宋体" w:cs="宋体"/>
                <w:sz w:val="24"/>
                <w:szCs w:val="24"/>
                <w:bdr w:val="none" w:color="auto" w:sz="0" w:space="0"/>
              </w:rPr>
              <w:t>当上述道路相邻区域为</w:t>
            </w:r>
            <w:r>
              <w:rPr>
                <w:rFonts w:hint="eastAsia" w:ascii="微软雅黑" w:hAnsi="微软雅黑" w:eastAsia="微软雅黑" w:cs="微软雅黑"/>
                <w:sz w:val="24"/>
                <w:szCs w:val="24"/>
                <w:bdr w:val="none" w:color="auto" w:sz="0" w:space="0"/>
              </w:rPr>
              <w:t>1</w:t>
            </w:r>
            <w:r>
              <w:rPr>
                <w:rFonts w:hint="eastAsia" w:ascii="宋体" w:hAnsi="宋体" w:eastAsia="宋体" w:cs="宋体"/>
                <w:sz w:val="24"/>
                <w:szCs w:val="24"/>
                <w:bdr w:val="none" w:color="auto" w:sz="0" w:space="0"/>
              </w:rPr>
              <w:t>类声环境功能区时，距离为</w:t>
            </w:r>
            <w:r>
              <w:rPr>
                <w:rFonts w:hint="eastAsia" w:ascii="微软雅黑" w:hAnsi="微软雅黑" w:eastAsia="微软雅黑" w:cs="微软雅黑"/>
                <w:sz w:val="24"/>
                <w:szCs w:val="24"/>
                <w:bdr w:val="none" w:color="auto" w:sz="0" w:space="0"/>
              </w:rPr>
              <w:t>50m</w:t>
            </w:r>
            <w:r>
              <w:rPr>
                <w:rFonts w:hint="eastAsia" w:ascii="宋体" w:hAnsi="宋体" w:eastAsia="宋体" w:cs="宋体"/>
                <w:sz w:val="24"/>
                <w:szCs w:val="24"/>
                <w:bdr w:val="none" w:color="auto" w:sz="0" w:space="0"/>
              </w:rPr>
              <w:t>；相邻区域为</w:t>
            </w:r>
            <w:r>
              <w:rPr>
                <w:rFonts w:hint="eastAsia" w:ascii="微软雅黑" w:hAnsi="微软雅黑" w:eastAsia="微软雅黑" w:cs="微软雅黑"/>
                <w:sz w:val="24"/>
                <w:szCs w:val="24"/>
                <w:bdr w:val="none" w:color="auto" w:sz="0" w:space="0"/>
              </w:rPr>
              <w:t>2</w:t>
            </w:r>
            <w:r>
              <w:rPr>
                <w:rFonts w:hint="eastAsia" w:ascii="宋体" w:hAnsi="宋体" w:eastAsia="宋体" w:cs="宋体"/>
                <w:sz w:val="24"/>
                <w:szCs w:val="24"/>
                <w:bdr w:val="none" w:color="auto" w:sz="0" w:space="0"/>
              </w:rPr>
              <w:t>类声环境功能区时，距离为</w:t>
            </w:r>
            <w:r>
              <w:rPr>
                <w:rFonts w:hint="eastAsia" w:ascii="微软雅黑" w:hAnsi="微软雅黑" w:eastAsia="微软雅黑" w:cs="微软雅黑"/>
                <w:sz w:val="24"/>
                <w:szCs w:val="24"/>
                <w:bdr w:val="none" w:color="auto" w:sz="0" w:space="0"/>
              </w:rPr>
              <w:t>35m</w:t>
            </w:r>
            <w:r>
              <w:rPr>
                <w:rFonts w:hint="eastAsia" w:ascii="宋体" w:hAnsi="宋体" w:eastAsia="宋体" w:cs="宋体"/>
                <w:sz w:val="24"/>
                <w:szCs w:val="24"/>
                <w:bdr w:val="none" w:color="auto" w:sz="0" w:space="0"/>
              </w:rPr>
              <w:t>；相邻区域为</w:t>
            </w:r>
            <w:r>
              <w:rPr>
                <w:rFonts w:hint="eastAsia" w:ascii="微软雅黑" w:hAnsi="微软雅黑" w:eastAsia="微软雅黑" w:cs="微软雅黑"/>
                <w:sz w:val="24"/>
                <w:szCs w:val="24"/>
                <w:bdr w:val="none" w:color="auto" w:sz="0" w:space="0"/>
              </w:rPr>
              <w:t>3</w:t>
            </w:r>
            <w:r>
              <w:rPr>
                <w:rFonts w:hint="eastAsia" w:ascii="宋体" w:hAnsi="宋体" w:eastAsia="宋体" w:cs="宋体"/>
                <w:sz w:val="24"/>
                <w:szCs w:val="24"/>
                <w:bdr w:val="none" w:color="auto" w:sz="0" w:space="0"/>
              </w:rPr>
              <w:t>类声环境功能区时，距离为</w:t>
            </w:r>
            <w:r>
              <w:rPr>
                <w:rFonts w:hint="eastAsia" w:ascii="微软雅黑" w:hAnsi="微软雅黑" w:eastAsia="微软雅黑" w:cs="微软雅黑"/>
                <w:sz w:val="24"/>
                <w:szCs w:val="24"/>
                <w:bdr w:val="none" w:color="auto" w:sz="0" w:space="0"/>
              </w:rPr>
              <w:t>20m</w:t>
            </w:r>
            <w:r>
              <w:rPr>
                <w:rFonts w:hint="eastAsia" w:ascii="宋体" w:hAnsi="宋体" w:eastAsia="宋体" w:cs="宋体"/>
                <w:sz w:val="24"/>
                <w:szCs w:val="24"/>
                <w:bdr w:val="none" w:color="auto" w:sz="0" w:space="0"/>
              </w:rPr>
              <w:t>。根据划分结果，霍邱县</w:t>
            </w:r>
            <w:r>
              <w:rPr>
                <w:rFonts w:hint="eastAsia" w:ascii="微软雅黑" w:hAnsi="微软雅黑" w:eastAsia="微软雅黑" w:cs="微软雅黑"/>
                <w:sz w:val="24"/>
                <w:szCs w:val="24"/>
                <w:bdr w:val="none" w:color="auto" w:sz="0" w:space="0"/>
              </w:rPr>
              <w:t>4a</w:t>
            </w:r>
            <w:r>
              <w:rPr>
                <w:rFonts w:hint="eastAsia" w:ascii="宋体" w:hAnsi="宋体" w:eastAsia="宋体" w:cs="宋体"/>
                <w:sz w:val="24"/>
                <w:szCs w:val="24"/>
                <w:bdr w:val="none" w:color="auto" w:sz="0" w:space="0"/>
              </w:rPr>
              <w:t>类声环境功能区面积共计约</w:t>
            </w:r>
            <w:r>
              <w:rPr>
                <w:rFonts w:hint="eastAsia" w:ascii="微软雅黑" w:hAnsi="微软雅黑" w:eastAsia="微软雅黑" w:cs="微软雅黑"/>
                <w:sz w:val="24"/>
                <w:szCs w:val="24"/>
                <w:bdr w:val="none" w:color="auto" w:sz="0" w:space="0"/>
              </w:rPr>
              <w:t>15.73km</w:t>
            </w:r>
            <w:r>
              <w:rPr>
                <w:rFonts w:hint="eastAsia" w:ascii="微软雅黑" w:hAnsi="微软雅黑" w:eastAsia="微软雅黑" w:cs="微软雅黑"/>
                <w:sz w:val="18"/>
                <w:szCs w:val="18"/>
                <w:bdr w:val="none" w:color="auto" w:sz="0" w:space="0"/>
                <w:vertAlign w:val="baseline"/>
              </w:rPr>
              <w:t>2</w:t>
            </w:r>
            <w:r>
              <w:rPr>
                <w:rFonts w:hint="eastAsia" w:ascii="宋体" w:hAnsi="宋体" w:eastAsia="宋体" w:cs="宋体"/>
                <w:sz w:val="24"/>
                <w:szCs w:val="24"/>
                <w:bdr w:val="none" w:color="auto" w:sz="0" w:space="0"/>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spacing w:val="6"/>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附件</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霍邱县主城区声环境功能区区划图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21"/>
          <w:szCs w:val="21"/>
          <w:bdr w:val="none" w:color="auto" w:sz="0" w:space="0"/>
          <w:shd w:val="clear" w:fill="FFFFFF"/>
        </w:rPr>
        <w:drawing>
          <wp:inline distT="0" distB="0" distL="114300" distR="114300">
            <wp:extent cx="5276850" cy="5857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276850" cy="5857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spacing w:val="6"/>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spacing w:val="6"/>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spacing w:val="6"/>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spacing w:val="6"/>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spacing w:val="6"/>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spacing w:val="6"/>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附件</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霍邱县副城区声环境功能区区划图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spacing w:val="6"/>
          <w:sz w:val="24"/>
          <w:szCs w:val="24"/>
        </w:rPr>
      </w:pPr>
      <w:r>
        <w:rPr>
          <w:rFonts w:hint="default" w:ascii="Times New Roman" w:hAnsi="Times New Roman" w:eastAsia="宋体" w:cs="Times New Roman"/>
          <w:i w:val="0"/>
          <w:iCs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spacing w:val="6"/>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drawing>
          <wp:inline distT="0" distB="0" distL="114300" distR="114300">
            <wp:extent cx="5276850" cy="63436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276850" cy="63436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Mzg4M2NkNDA3ZjBkZTQwOTBjNWUwZmM2NjNjNjgifQ=="/>
  </w:docVars>
  <w:rsids>
    <w:rsidRoot w:val="186A63EC"/>
    <w:rsid w:val="186A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2023-05-04T08:06:00Z</dcterms:created>
  <dc:creator>Administrator</dc:creator>
  <cp:lastModifiedBy>Administrator</cp:lastModifiedBy>
  <dcterms:modified xsi:type="dcterms:W3CDTF">2023-05-04T08:07:09Z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D8155E7F96B54B4B8614A938ADD686BA_11</vt:lpwstr>
  </property>
</Properties>
</file>