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eastAsia="仿宋_GB2312"/>
          <w:sz w:val="32"/>
          <w:szCs w:val="32"/>
        </w:rPr>
      </w:pP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霍邱县文化旅游体育局2</w:t>
      </w:r>
      <w:r>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t>021</w:t>
      </w:r>
      <w:r>
        <w:rPr>
          <w:rFonts w:hint="eastAsia" w:ascii="方正小标宋简体" w:hAnsi="方正小标宋简体" w:eastAsia="方正小标宋简体" w:cs="方正小标宋简体"/>
          <w:b w:val="0"/>
          <w:bCs/>
          <w:i w:val="0"/>
          <w:caps w:val="0"/>
          <w:color w:val="auto"/>
          <w:spacing w:val="0"/>
          <w:sz w:val="44"/>
          <w:szCs w:val="44"/>
          <w:shd w:val="clear" w:fill="FFFFFF"/>
        </w:rPr>
        <w:t>年政府信息公开年度报告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ascii="仿宋_GB2312" w:eastAsia="仿宋_GB2312" w:cs="仿宋_GB2312"/>
          <w:sz w:val="32"/>
          <w:szCs w:val="32"/>
          <w:lang w:val="en-US" w:eastAsia="zh-CN" w:bidi="ar"/>
        </w:rPr>
      </w:pPr>
      <w:r>
        <w:rPr>
          <w:rFonts w:ascii="仿宋" w:hAnsi="仿宋" w:eastAsia="仿宋" w:cs="仿宋"/>
          <w:i w:val="0"/>
          <w:caps w:val="0"/>
          <w:color w:val="000000"/>
          <w:spacing w:val="0"/>
          <w:sz w:val="32"/>
          <w:szCs w:val="32"/>
          <w:shd w:val="clear" w:fill="FFFFFF"/>
        </w:rPr>
        <w:t>根据《国务院办公厅政府信息与政务公开办公室关于印发＜中华人民共和国政府信息公开工作年度报告格式＞的通知》（国办公开办函〔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 w:hAnsi="仿宋" w:eastAsia="仿宋" w:cs="仿宋"/>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 w:hAnsi="仿宋" w:eastAsia="仿宋" w:cs="仿宋"/>
          <w:i w:val="0"/>
          <w:caps w:val="0"/>
          <w:color w:val="000000"/>
          <w:spacing w:val="0"/>
          <w:sz w:val="32"/>
          <w:szCs w:val="32"/>
          <w:shd w:val="clear" w:fill="FFFFFF"/>
        </w:rPr>
        <w:t>号）、《安徽省政务公开办公室关于做好</w:t>
      </w:r>
      <w:r>
        <w:rPr>
          <w:rFonts w:hint="default" w:ascii="Times New Roman" w:hAnsi="Times New Roman" w:eastAsia="宋体" w:cs="Times New Roman"/>
          <w:i w:val="0"/>
          <w:caps w:val="0"/>
          <w:color w:val="000000"/>
          <w:spacing w:val="0"/>
          <w:sz w:val="32"/>
          <w:szCs w:val="32"/>
          <w:shd w:val="clear" w:fill="FFFFFF"/>
        </w:rPr>
        <w:t>2021</w:t>
      </w:r>
      <w:r>
        <w:rPr>
          <w:rFonts w:hint="eastAsia" w:ascii="仿宋" w:hAnsi="仿宋" w:eastAsia="仿宋" w:cs="仿宋"/>
          <w:i w:val="0"/>
          <w:caps w:val="0"/>
          <w:color w:val="000000"/>
          <w:spacing w:val="0"/>
          <w:sz w:val="32"/>
          <w:szCs w:val="32"/>
          <w:shd w:val="clear" w:fill="FFFFFF"/>
        </w:rPr>
        <w:t>年度政府信息公开工作年度报告编制和发布工作的通知》（皖政务办秘〔</w:t>
      </w:r>
      <w:r>
        <w:rPr>
          <w:rFonts w:hint="default" w:ascii="Times New Roman" w:hAnsi="Times New Roman" w:eastAsia="宋体" w:cs="Times New Roman"/>
          <w:i w:val="0"/>
          <w:caps w:val="0"/>
          <w:color w:val="000000"/>
          <w:spacing w:val="0"/>
          <w:sz w:val="32"/>
          <w:szCs w:val="32"/>
          <w:shd w:val="clear" w:fill="FFFFFF"/>
        </w:rPr>
        <w:t>2021</w:t>
      </w:r>
      <w:r>
        <w:rPr>
          <w:rFonts w:hint="eastAsia" w:ascii="仿宋" w:hAnsi="仿宋" w:eastAsia="仿宋" w:cs="仿宋"/>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37</w:t>
      </w:r>
      <w:r>
        <w:rPr>
          <w:rFonts w:hint="eastAsia" w:ascii="仿宋" w:hAnsi="仿宋" w:eastAsia="仿宋" w:cs="仿宋"/>
          <w:i w:val="0"/>
          <w:caps w:val="0"/>
          <w:color w:val="000000"/>
          <w:spacing w:val="0"/>
          <w:sz w:val="32"/>
          <w:szCs w:val="32"/>
          <w:shd w:val="clear" w:fill="FFFFFF"/>
        </w:rPr>
        <w:t>号）、《六安市政务公开办关于做好政府信息公开年度报告编制和发布工作的通知》（六政务公开办〔</w:t>
      </w:r>
      <w:r>
        <w:rPr>
          <w:rFonts w:hint="default" w:ascii="Times New Roman" w:hAnsi="Times New Roman" w:eastAsia="宋体" w:cs="Times New Roman"/>
          <w:i w:val="0"/>
          <w:caps w:val="0"/>
          <w:color w:val="000000"/>
          <w:spacing w:val="0"/>
          <w:sz w:val="32"/>
          <w:szCs w:val="32"/>
          <w:shd w:val="clear" w:fill="FFFFFF"/>
        </w:rPr>
        <w:t>2021</w:t>
      </w:r>
      <w:r>
        <w:rPr>
          <w:rFonts w:hint="eastAsia" w:ascii="仿宋" w:hAnsi="仿宋" w:eastAsia="仿宋" w:cs="仿宋"/>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64</w:t>
      </w:r>
      <w:r>
        <w:rPr>
          <w:rFonts w:hint="eastAsia" w:ascii="仿宋" w:hAnsi="仿宋" w:eastAsia="仿宋" w:cs="仿宋"/>
          <w:i w:val="0"/>
          <w:caps w:val="0"/>
          <w:color w:val="000000"/>
          <w:spacing w:val="0"/>
          <w:sz w:val="32"/>
          <w:szCs w:val="32"/>
          <w:shd w:val="clear" w:fill="FFFFFF"/>
        </w:rPr>
        <w:t>号）文件要求，</w:t>
      </w:r>
      <w:r>
        <w:rPr>
          <w:rFonts w:hint="eastAsia" w:ascii="仿宋" w:hAnsi="仿宋" w:eastAsia="仿宋" w:cs="仿宋"/>
          <w:i w:val="0"/>
          <w:caps w:val="0"/>
          <w:color w:val="000000"/>
          <w:spacing w:val="0"/>
          <w:sz w:val="32"/>
          <w:szCs w:val="32"/>
          <w:shd w:val="clear" w:fill="FFFFFF"/>
          <w:lang w:eastAsia="zh-CN"/>
        </w:rPr>
        <w:t>霍邱县文化旅游体育局</w:t>
      </w:r>
      <w:r>
        <w:rPr>
          <w:rFonts w:hint="eastAsia" w:ascii="仿宋" w:hAnsi="仿宋" w:eastAsia="仿宋" w:cs="仿宋"/>
          <w:i w:val="0"/>
          <w:caps w:val="0"/>
          <w:color w:val="000000"/>
          <w:spacing w:val="0"/>
          <w:sz w:val="32"/>
          <w:szCs w:val="32"/>
          <w:shd w:val="clear" w:fill="FFFFFF"/>
        </w:rPr>
        <w:t>编制</w:t>
      </w:r>
      <w:r>
        <w:rPr>
          <w:rFonts w:hint="default" w:ascii="Times New Roman" w:hAnsi="Times New Roman" w:eastAsia="宋体" w:cs="Times New Roman"/>
          <w:i w:val="0"/>
          <w:caps w:val="0"/>
          <w:color w:val="000000"/>
          <w:spacing w:val="0"/>
          <w:sz w:val="32"/>
          <w:szCs w:val="32"/>
          <w:shd w:val="clear" w:fill="FFFFFF"/>
        </w:rPr>
        <w:t>2021</w:t>
      </w:r>
      <w:r>
        <w:rPr>
          <w:rFonts w:hint="eastAsia" w:ascii="仿宋" w:hAnsi="仿宋" w:eastAsia="仿宋" w:cs="仿宋"/>
          <w:i w:val="0"/>
          <w:caps w:val="0"/>
          <w:color w:val="000000"/>
          <w:spacing w:val="0"/>
          <w:sz w:val="32"/>
          <w:szCs w:val="32"/>
          <w:shd w:val="clear" w:fill="FFFFFF"/>
        </w:rPr>
        <w:t>年政府信息公开年度报告。</w:t>
      </w:r>
      <w:r>
        <w:rPr>
          <w:rFonts w:hint="eastAsia" w:ascii="仿宋_GB2312" w:eastAsia="仿宋_GB2312" w:cs="仿宋_GB2312"/>
          <w:sz w:val="32"/>
          <w:szCs w:val="32"/>
          <w:lang w:val="en-US" w:eastAsia="zh-CN" w:bidi="ar"/>
        </w:rPr>
        <w:t>报告由总体情况、主动公开政府信息情况、收到和处理政府信息公开申请情况、政府信息公开行政复议、行政诉讼情况、政府信息公开工作存在的主要问题及改进情况和其他需要报告的事项六个部分组成。</w:t>
      </w:r>
      <w:r>
        <w:rPr>
          <w:rFonts w:ascii="仿宋_GB2312" w:eastAsia="仿宋_GB2312" w:cs="仿宋_GB2312"/>
          <w:sz w:val="32"/>
          <w:szCs w:val="32"/>
          <w:lang w:val="en-US" w:eastAsia="zh-CN" w:bidi="ar"/>
        </w:rPr>
        <w:t>本报告所列数据的统计期限为202</w:t>
      </w:r>
      <w:r>
        <w:rPr>
          <w:rFonts w:hint="eastAsia" w:ascii="仿宋_GB2312" w:eastAsia="仿宋_GB2312" w:cs="仿宋_GB2312"/>
          <w:sz w:val="32"/>
          <w:szCs w:val="32"/>
          <w:lang w:val="en-US" w:eastAsia="zh-CN" w:bidi="ar"/>
        </w:rPr>
        <w:t>1</w:t>
      </w:r>
      <w:r>
        <w:rPr>
          <w:rFonts w:ascii="仿宋_GB2312" w:eastAsia="仿宋_GB2312" w:cs="仿宋_GB2312"/>
          <w:sz w:val="32"/>
          <w:szCs w:val="32"/>
          <w:lang w:val="en-US" w:eastAsia="zh-CN" w:bidi="ar"/>
        </w:rPr>
        <w:t>年1月1日至202</w:t>
      </w:r>
      <w:r>
        <w:rPr>
          <w:rFonts w:hint="eastAsia" w:ascii="仿宋_GB2312" w:eastAsia="仿宋_GB2312" w:cs="仿宋_GB2312"/>
          <w:sz w:val="32"/>
          <w:szCs w:val="32"/>
          <w:lang w:val="en-US" w:eastAsia="zh-CN" w:bidi="ar"/>
        </w:rPr>
        <w:t>1</w:t>
      </w:r>
      <w:r>
        <w:rPr>
          <w:rFonts w:ascii="仿宋_GB2312" w:eastAsia="仿宋_GB2312" w:cs="仿宋_GB2312"/>
          <w:sz w:val="32"/>
          <w:szCs w:val="32"/>
          <w:lang w:val="en-US" w:eastAsia="zh-CN" w:bidi="ar"/>
        </w:rPr>
        <w:t>年12月31日。如对本年报有任何疑问，请与霍邱县</w:t>
      </w:r>
      <w:r>
        <w:rPr>
          <w:rFonts w:hint="eastAsia" w:ascii="仿宋_GB2312" w:eastAsia="仿宋_GB2312" w:cs="仿宋_GB2312"/>
          <w:sz w:val="32"/>
          <w:szCs w:val="32"/>
          <w:lang w:val="en-US" w:eastAsia="zh-CN" w:bidi="ar"/>
        </w:rPr>
        <w:t>文化旅游体育局联系（地址：城关镇广电中心302号；邮编：237400；联系电话：0564-2726201）。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sz w:val="32"/>
          <w:szCs w:val="32"/>
          <w:lang w:val="en-US" w:eastAsia="zh-CN" w:bidi="ar"/>
        </w:rPr>
      </w:pPr>
      <w:r>
        <w:rPr>
          <w:rFonts w:hint="eastAsia" w:ascii="黑体" w:hAnsi="黑体" w:eastAsia="黑体" w:cs="黑体"/>
          <w:sz w:val="32"/>
          <w:szCs w:val="32"/>
          <w:lang w:val="en-US" w:eastAsia="zh-CN" w:bidi="ar"/>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eastAsia="仿宋_GB2312" w:cs="仿宋_GB2312"/>
          <w:sz w:val="32"/>
          <w:szCs w:val="32"/>
          <w:lang w:val="en-US" w:eastAsia="zh-CN" w:bidi="ar"/>
        </w:rPr>
      </w:pPr>
      <w:r>
        <w:rPr>
          <w:rFonts w:hint="eastAsia" w:ascii="仿宋_GB2312" w:eastAsia="仿宋_GB2312" w:cs="仿宋_GB2312"/>
          <w:sz w:val="32"/>
          <w:szCs w:val="32"/>
          <w:lang w:val="en-US" w:eastAsia="zh-CN" w:bidi="ar"/>
        </w:rPr>
        <w:t>2021年，霍邱县文旅体育局深入贯彻落实省市县政务公开工作部署和文件精神，紧紧围绕增强工作的透明度，加强民主监督，密切与人民群众的联系，不断规范政务公开内容，创新政务公开形式，突出政务公开重点，提高政务公开水平，有力地促进了工作的开展，较好地满足了社会公众获取、利用政府信息的需求，使政务信息公开更加及时、透明、完善。现就2021年度霍邱县文旅体育局政务公开工作开展情况报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ascii="仿宋_GB2312" w:eastAsia="仿宋_GB2312" w:cs="仿宋_GB2312"/>
          <w:sz w:val="32"/>
          <w:szCs w:val="32"/>
          <w:lang w:val="en-US" w:eastAsia="zh-CN" w:bidi="ar"/>
        </w:rPr>
      </w:pPr>
      <w:r>
        <w:rPr>
          <w:rFonts w:hint="eastAsia" w:ascii="仿宋_GB2312" w:eastAsia="仿宋_GB2312" w:cs="仿宋_GB2312"/>
          <w:sz w:val="32"/>
          <w:szCs w:val="32"/>
          <w:lang w:val="en-US" w:eastAsia="zh-CN" w:bidi="ar"/>
        </w:rPr>
        <w:t>1.主动公开。2021年，我局在县政府网站共计公开各类政府信息363条。集中分布在政策解读，行政权力运行结果，公共文化服务等方面。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eastAsia="仿宋_GB2312" w:cs="仿宋_GB2312"/>
          <w:sz w:val="32"/>
          <w:szCs w:val="32"/>
          <w:lang w:val="en-US" w:eastAsia="zh-CN" w:bidi="ar"/>
        </w:rPr>
      </w:pPr>
      <w:r>
        <w:rPr>
          <w:rFonts w:hint="eastAsia" w:ascii="仿宋_GB2312" w:eastAsia="仿宋_GB2312" w:cs="仿宋_GB2312"/>
          <w:sz w:val="32"/>
          <w:szCs w:val="32"/>
          <w:lang w:val="en-US" w:eastAsia="zh-CN" w:bidi="ar"/>
        </w:rPr>
        <w:t>2.依申请公开。2021年度，我局未收到依申请公开信息申请。也无涉及政府信息公开的行政复议、提起诉讼的案件，没有因政府信息公开产生的投诉、行政复议及行政诉讼事项。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eastAsia="仿宋_GB2312" w:cs="仿宋_GB2312"/>
          <w:sz w:val="32"/>
          <w:szCs w:val="32"/>
          <w:lang w:val="en-US" w:eastAsia="zh-CN" w:bidi="ar"/>
        </w:rPr>
      </w:pPr>
      <w:r>
        <w:rPr>
          <w:rFonts w:hint="eastAsia" w:ascii="仿宋_GB2312" w:eastAsia="仿宋_GB2312" w:cs="仿宋_GB2312"/>
          <w:sz w:val="32"/>
          <w:szCs w:val="32"/>
          <w:lang w:val="en-US" w:eastAsia="zh-CN" w:bidi="ar"/>
        </w:rPr>
        <w:t>3.政府信息管理。严格落实县政府政务公开办的各项工作部署，对我局的公开目录及内容进行全面梳理，进一步规范栏目设置，做好栏目调整和各项信息发布工作，推行决策、执行、管理、服务、结果等栏目公开，认真落实政策解读栏目信息公开工作，持续推进重点领域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eastAsia="仿宋_GB2312" w:cs="仿宋_GB2312"/>
          <w:sz w:val="32"/>
          <w:szCs w:val="32"/>
          <w:lang w:val="en-US" w:eastAsia="zh-CN" w:bidi="ar"/>
        </w:rPr>
      </w:pPr>
      <w:r>
        <w:rPr>
          <w:rFonts w:hint="eastAsia" w:ascii="仿宋_GB2312" w:eastAsia="仿宋_GB2312" w:cs="仿宋_GB2312"/>
          <w:sz w:val="32"/>
          <w:szCs w:val="32"/>
          <w:lang w:val="en-US" w:eastAsia="zh-CN" w:bidi="ar"/>
        </w:rPr>
        <w:t>4.平台建设方面。2021年度，我局政务信息公开平台板块及栏目设置，严格按照政府网站集约化管理的规范要求建设，确保应有公开栏目不漏项，努力做到应公开尽公开。我局暂无独立门户网站，重要信息和公示均发布在霍邱县人民政府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宋体" w:hAnsi="宋体" w:cs="宋体"/>
          <w:b/>
          <w:color w:val="333333"/>
          <w:shd w:val="clear" w:color="auto" w:fill="FFFFFF"/>
          <w:lang w:bidi="ar"/>
        </w:rPr>
      </w:pPr>
      <w:r>
        <w:rPr>
          <w:rFonts w:hint="eastAsia" w:ascii="仿宋_GB2312" w:eastAsia="仿宋_GB2312" w:cs="仿宋_GB2312"/>
          <w:sz w:val="32"/>
          <w:szCs w:val="32"/>
          <w:lang w:val="en-US" w:eastAsia="zh-CN" w:bidi="ar"/>
        </w:rPr>
        <w:t>5.强化监督保障。根据《中华人民共和国政府信息公开条例》等相关法律法规制定《霍邱县文化旅游体育局政务公开发布审核制度》，建立健全政务公开工作机制，明确政务公开分管领导，明确各股室职责、主动公开的事项、依申请公开的各项规定程序等，并按要求指定专人负责同步更新县政府网站我局信息公开专栏，坚持常态化推进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sz w:val="32"/>
          <w:szCs w:val="32"/>
          <w:lang w:val="en-US" w:eastAsia="zh-CN" w:bidi="ar"/>
        </w:rPr>
      </w:pPr>
      <w:r>
        <w:rPr>
          <w:rFonts w:hint="eastAsia" w:ascii="黑体" w:hAnsi="黑体" w:eastAsia="黑体" w:cs="黑体"/>
          <w:sz w:val="32"/>
          <w:szCs w:val="32"/>
          <w:lang w:val="en-US" w:eastAsia="zh-CN" w:bidi="ar"/>
        </w:rPr>
        <w:t>二、主动公开政府信息情况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sz w:val="32"/>
          <w:szCs w:val="32"/>
          <w:lang w:val="en-US" w:eastAsia="zh-CN" w:bidi="ar"/>
        </w:rPr>
      </w:pPr>
      <w:r>
        <w:rPr>
          <w:rFonts w:hint="eastAsia" w:ascii="黑体" w:hAnsi="黑体" w:eastAsia="黑体" w:cs="黑体"/>
          <w:sz w:val="32"/>
          <w:szCs w:val="32"/>
          <w:lang w:val="en-US" w:eastAsia="zh-CN" w:bidi="ar"/>
        </w:rPr>
        <w:t xml:space="preserve"> </w:t>
      </w:r>
    </w:p>
    <w:tbl>
      <w:tblPr>
        <w:tblStyle w:val="4"/>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442"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bidi="ar"/>
              </w:rPr>
              <w:t>4</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bidi="ar"/>
              </w:rPr>
              <w:t>17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56"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Cs w:val="21"/>
                <w:lang w:val="en-US" w:eastAsia="zh-CN" w:bidi="ar"/>
              </w:rPr>
              <w:t>100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cs="宋体"/>
                <w:color w:val="000000"/>
                <w:kern w:val="0"/>
                <w:sz w:val="20"/>
                <w:szCs w:val="20"/>
              </w:rPr>
            </w:pPr>
            <w:bookmarkStart w:id="0" w:name="_GoBack"/>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41</w:t>
            </w:r>
            <w:bookmarkEnd w:id="0"/>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hAnsi="Times New Roman" w:eastAsia="仿宋_GB2312" w:cs="仿宋_GB2312"/>
                <w:sz w:val="24"/>
                <w:lang w:val="en-US" w:eastAsia="zh-CN"/>
              </w:rPr>
            </w:pPr>
            <w:r>
              <w:rPr>
                <w:rFonts w:hint="eastAsia" w:ascii="宋体" w:eastAsia="仿宋_GB2312" w:cs="仿宋_GB2312"/>
                <w:sz w:val="24"/>
                <w:lang w:val="en-US" w:eastAsia="zh-CN"/>
              </w:rPr>
              <w:t>0</w:t>
            </w:r>
          </w:p>
        </w:tc>
      </w:tr>
    </w:tbl>
    <w:p>
      <w:pPr>
        <w:widowControl/>
        <w:jc w:val="left"/>
        <w:rPr>
          <w:rFonts w:ascii="仿宋_GB2312" w:eastAsia="仿宋_GB2312" w:cs="仿宋_GB2312"/>
          <w:sz w:val="32"/>
          <w:szCs w:val="32"/>
        </w:rPr>
      </w:pPr>
      <w:r>
        <w:rPr>
          <w:rFonts w:ascii="仿宋_GB2312" w:eastAsia="仿宋_GB2312" w:cs="仿宋_GB2312"/>
          <w:sz w:val="32"/>
          <w:szCs w:val="32"/>
          <w:lang w:bidi="ar"/>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sz w:val="32"/>
          <w:szCs w:val="32"/>
          <w:lang w:val="en-US" w:eastAsia="zh-CN" w:bidi="ar"/>
        </w:rPr>
      </w:pPr>
      <w:r>
        <w:rPr>
          <w:rFonts w:hint="eastAsia" w:ascii="黑体" w:hAnsi="黑体" w:eastAsia="黑体" w:cs="黑体"/>
          <w:sz w:val="32"/>
          <w:szCs w:val="32"/>
          <w:lang w:val="en-US" w:eastAsia="zh-CN" w:bidi="ar"/>
        </w:rPr>
        <w:t>三、收到和处理政府信息公开申请情况</w:t>
      </w:r>
    </w:p>
    <w:p>
      <w:pPr>
        <w:pStyle w:val="3"/>
        <w:widowControl/>
        <w:shd w:val="clear" w:color="auto" w:fill="FFFFFF"/>
        <w:spacing w:before="0" w:beforeAutospacing="0" w:after="0" w:afterAutospacing="0"/>
        <w:ind w:firstLine="420"/>
        <w:jc w:val="both"/>
        <w:rPr>
          <w:rFonts w:hint="eastAsia" w:ascii="宋体" w:hAnsi="宋体" w:cs="宋体"/>
          <w:color w:val="333333"/>
          <w:shd w:val="clear" w:color="auto" w:fill="FFFFFF"/>
        </w:rPr>
      </w:pPr>
      <w:r>
        <w:rPr>
          <w:rFonts w:hint="eastAsia" w:ascii="宋体" w:hAnsi="宋体" w:cs="宋体"/>
          <w:color w:val="333333"/>
          <w:shd w:val="clear" w:color="auto" w:fill="FFFFFF"/>
          <w:lang w:bidi="ar"/>
        </w:rPr>
        <w:t xml:space="preserve"> </w:t>
      </w:r>
    </w:p>
    <w:tbl>
      <w:tblPr>
        <w:tblStyle w:val="4"/>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仿宋_GB2312"/>
                <w:sz w:val="32"/>
                <w:szCs w:val="32"/>
              </w:rPr>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法人或其他组织</w:t>
            </w:r>
          </w:p>
        </w:tc>
        <w:tc>
          <w:tcPr>
            <w:tcW w:w="688" w:type="dxa"/>
            <w:vMerge w:val="restart"/>
            <w:tcBorders>
              <w:top w:val="single" w:color="auto" w:sz="8" w:space="0"/>
              <w:left w:val="single" w:color="auto" w:sz="0" w:space="0"/>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商业</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科研</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其他</w:t>
            </w:r>
          </w:p>
        </w:tc>
        <w:tc>
          <w:tcPr>
            <w:tcW w:w="688" w:type="dxa"/>
            <w:vMerge w:val="continue"/>
            <w:tcBorders>
              <w:top w:val="single" w:color="auto" w:sz="8" w:space="0"/>
              <w:left w:val="single" w:color="auto" w:sz="0" w:space="0"/>
              <w:bottom w:val="outset" w:color="auto" w:sz="8" w:space="0"/>
              <w:right w:val="single" w:color="auto" w:sz="8" w:space="0"/>
            </w:tcBorders>
            <w:tcMar>
              <w:left w:w="108" w:type="dxa"/>
              <w:right w:w="108" w:type="dxa"/>
            </w:tcMar>
            <w:vAlign w:val="center"/>
          </w:tcPr>
          <w:p>
            <w:pPr>
              <w:rPr>
                <w:rFonts w:ascii="Times New Roman" w:hAnsi="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r>
              <w:rPr>
                <w:rFonts w:eastAsia="仿宋_GB2312"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r>
              <w:rPr>
                <w:rFonts w:eastAsia="仿宋_GB2312"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r>
              <w:rPr>
                <w:rFonts w:eastAsia="仿宋_GB2312"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r>
              <w:rPr>
                <w:rFonts w:eastAsia="仿宋_GB2312"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single" w:color="auto" w:sz="0" w:space="0"/>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三、本年度办理结果</w:t>
            </w:r>
          </w:p>
        </w:tc>
        <w:tc>
          <w:tcPr>
            <w:tcW w:w="4162"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（一）予以公开</w:t>
            </w:r>
          </w:p>
        </w:tc>
        <w:tc>
          <w:tcPr>
            <w:tcW w:w="688" w:type="dxa"/>
            <w:tcBorders>
              <w:top w:val="single" w:color="auto" w:sz="0" w:space="0"/>
              <w:left w:val="doub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r>
              <w:rPr>
                <w:rFonts w:eastAsia="仿宋_GB2312" w:cs="Calibri"/>
                <w:kern w:val="0"/>
                <w:sz w:val="20"/>
                <w:szCs w:val="20"/>
                <w:lang w:bidi="ar"/>
              </w:rPr>
              <w:t> </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r>
              <w:rPr>
                <w:rFonts w:eastAsia="仿宋_GB2312"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4162"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single" w:color="auto" w:sz="0" w:space="0"/>
              <w:left w:val="doub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（三）不予公开</w:t>
            </w: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1.属于国家秘密</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2.其他法律行政法规禁止公开</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3.危及“三安全一稳定”</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4.保护第三方合法权益</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5.属于三类内部事务信息</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6.属于四类过程性信息</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7.属于行政执法案卷</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8.属于行政查询事项</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（四）无法提供</w:t>
            </w: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1.本机关不掌握相关政府信息</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2.没有现成信息需要另行制作</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3.补正后申请内容仍不明确</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（五）不予处理</w:t>
            </w: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1.信访举报投诉类申请</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2.重复申请</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3.要求提供公开出版物</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4.无正当理由大量反复申请</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仿宋_GB2312"/>
                <w:sz w:val="32"/>
                <w:szCs w:val="32"/>
              </w:rPr>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（六）其他处理</w:t>
            </w: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仿宋_GB2312"/>
                <w:sz w:val="32"/>
                <w:szCs w:val="32"/>
              </w:rPr>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仿宋_GB2312"/>
                <w:sz w:val="32"/>
                <w:szCs w:val="32"/>
              </w:rPr>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3.其他</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ascii="Times New Roman" w:hAnsi="Times New Roman"/>
                <w:sz w:val="20"/>
                <w:szCs w:val="20"/>
              </w:rPr>
            </w:pPr>
          </w:p>
        </w:tc>
        <w:tc>
          <w:tcPr>
            <w:tcW w:w="4162"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（七）总计</w:t>
            </w:r>
          </w:p>
        </w:tc>
        <w:tc>
          <w:tcPr>
            <w:tcW w:w="688" w:type="dxa"/>
            <w:tcBorders>
              <w:top w:val="nil"/>
              <w:left w:val="doub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thickThinMediumGap" w:color="auto" w:sz="8" w:space="0"/>
              <w:right w:val="doub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double" w:color="auto" w:sz="0" w:space="0"/>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eastAsia="仿宋_GB2312" w:cs="Calibri"/>
                <w:kern w:val="0"/>
                <w:sz w:val="20"/>
                <w:szCs w:val="20"/>
                <w:lang w:bidi="ar"/>
              </w:rPr>
              <w:t> </w:t>
            </w: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rPr>
                <w:rFonts w:ascii="宋体" w:hAnsi="Times New Roman" w:eastAsia="仿宋_GB2312" w:cs="仿宋_GB2312"/>
                <w:sz w:val="24"/>
              </w:rPr>
            </w:pPr>
            <w:r>
              <w:rPr>
                <w:rFonts w:hint="eastAsia" w:eastAsia="仿宋_GB2312" w:cs="Calibri"/>
                <w:kern w:val="0"/>
                <w:sz w:val="20"/>
                <w:szCs w:val="20"/>
                <w:lang w:val="en-US" w:eastAsia="zh-CN" w:bidi="ar"/>
              </w:rPr>
              <w:t>0</w:t>
            </w:r>
          </w:p>
        </w:tc>
      </w:tr>
    </w:tbl>
    <w:p>
      <w:pPr>
        <w:widowControl/>
        <w:shd w:val="clear" w:color="auto" w:fill="FFFFFF"/>
        <w:jc w:val="center"/>
        <w:rPr>
          <w:rFonts w:hint="eastAsia" w:ascii="宋体" w:hAnsi="宋体" w:cs="宋体"/>
          <w:color w:val="333333"/>
          <w:sz w:val="24"/>
          <w:shd w:val="clear" w:color="auto" w:fill="FFFFFF"/>
        </w:rPr>
      </w:pPr>
      <w:r>
        <w:rPr>
          <w:rFonts w:hint="eastAsia" w:ascii="宋体" w:hAnsi="宋体" w:cs="宋体"/>
          <w:color w:val="333333"/>
          <w:sz w:val="24"/>
          <w:shd w:val="clear" w:color="auto" w:fill="FFFFFF"/>
          <w:lang w:bidi="ar"/>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sz w:val="32"/>
          <w:szCs w:val="32"/>
          <w:lang w:val="en-US" w:eastAsia="zh-CN" w:bidi="ar"/>
        </w:rPr>
      </w:pPr>
      <w:r>
        <w:rPr>
          <w:rFonts w:hint="eastAsia" w:ascii="黑体" w:hAnsi="黑体" w:eastAsia="黑体" w:cs="黑体"/>
          <w:sz w:val="32"/>
          <w:szCs w:val="32"/>
          <w:lang w:val="en-US" w:eastAsia="zh-CN" w:bidi="ar"/>
        </w:rPr>
        <w:t>四、政府信息公开行政复议、行政诉讼情况</w:t>
      </w:r>
    </w:p>
    <w:p>
      <w:pPr>
        <w:widowControl/>
        <w:shd w:val="clear" w:color="auto" w:fill="FFFFFF"/>
        <w:jc w:val="center"/>
        <w:rPr>
          <w:rFonts w:hint="eastAsia" w:ascii="宋体" w:hAnsi="宋体" w:cs="宋体"/>
          <w:color w:val="333333"/>
          <w:sz w:val="24"/>
          <w:shd w:val="clear" w:color="auto" w:fill="FFFFFF"/>
        </w:rPr>
      </w:pPr>
      <w:r>
        <w:rPr>
          <w:rFonts w:hint="eastAsia" w:ascii="宋体" w:hAnsi="宋体" w:cs="宋体"/>
          <w:color w:val="333333"/>
          <w:sz w:val="24"/>
          <w:shd w:val="clear" w:color="auto" w:fill="FFFFFF"/>
          <w:lang w:bidi="ar"/>
        </w:rPr>
        <w:t xml:space="preserve"> </w:t>
      </w:r>
    </w:p>
    <w:tbl>
      <w:tblPr>
        <w:tblStyle w:val="4"/>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行政复议</w:t>
            </w:r>
          </w:p>
        </w:tc>
        <w:tc>
          <w:tcPr>
            <w:tcW w:w="6498"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结果维持</w:t>
            </w:r>
          </w:p>
        </w:tc>
        <w:tc>
          <w:tcPr>
            <w:tcW w:w="649" w:type="dxa"/>
            <w:vMerge w:val="restart"/>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总计</w:t>
            </w:r>
          </w:p>
        </w:tc>
        <w:tc>
          <w:tcPr>
            <w:tcW w:w="3248"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未经复议直接起诉</w:t>
            </w:r>
          </w:p>
        </w:tc>
        <w:tc>
          <w:tcPr>
            <w:tcW w:w="325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nil"/>
              <w:left w:val="nil"/>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Times New Roman" w:hAnsi="Times New Roman"/>
                <w:sz w:val="20"/>
                <w:szCs w:val="20"/>
              </w:rPr>
            </w:pPr>
          </w:p>
        </w:tc>
        <w:tc>
          <w:tcPr>
            <w:tcW w:w="649"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总计</w:t>
            </w:r>
          </w:p>
        </w:tc>
        <w:tc>
          <w:tcPr>
            <w:tcW w:w="650"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0"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0"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49"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49"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49"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49"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49"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49"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50"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50"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50"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50"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50"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50"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50"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50" w:type="dxa"/>
            <w:tcBorders>
              <w:top w:val="nil"/>
              <w:left w:val="nil"/>
              <w:bottom w:val="single" w:color="auto" w:sz="8" w:space="0"/>
              <w:right w:val="single" w:color="auto" w:sz="8" w:space="0"/>
            </w:tcBorders>
            <w:tcMar>
              <w:left w:w="108" w:type="dxa"/>
              <w:right w:w="108" w:type="dxa"/>
            </w:tcMar>
            <w:vAlign w:val="center"/>
          </w:tcPr>
          <w:p>
            <w:pPr>
              <w:rPr>
                <w:rFonts w:ascii="宋体" w:hAnsi="Times New Roman" w:eastAsia="仿宋_GB2312" w:cs="仿宋_GB2312"/>
                <w:sz w:val="24"/>
              </w:rPr>
            </w:pPr>
            <w:r>
              <w:rPr>
                <w:rFonts w:hint="eastAsia" w:eastAsia="仿宋_GB2312" w:cs="Calibri"/>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rPr>
          <w:rFonts w:hint="eastAsia" w:ascii="微软雅黑" w:hAnsi="微软雅黑" w:eastAsia="微软雅黑" w:cs="微软雅黑"/>
          <w:i w:val="0"/>
          <w:caps w:val="0"/>
          <w:color w:val="3D3D3D"/>
          <w:spacing w:val="0"/>
          <w:sz w:val="24"/>
          <w:szCs w:val="24"/>
        </w:rPr>
      </w:pPr>
      <w:r>
        <w:rPr>
          <w:rFonts w:hint="eastAsia" w:ascii="黑体" w:hAnsi="宋体" w:eastAsia="黑体" w:cs="黑体"/>
          <w:i w:val="0"/>
          <w:caps w:val="0"/>
          <w:color w:val="333333"/>
          <w:spacing w:val="0"/>
          <w:sz w:val="32"/>
          <w:szCs w:val="32"/>
          <w:shd w:val="clear" w:fill="FFFFFF"/>
        </w:rPr>
        <w:t>五、政府信息公开工作存在的主要问题及改进情况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ascii="仿宋_GB2312" w:eastAsia="仿宋_GB2312" w:cs="仿宋_GB2312"/>
          <w:sz w:val="32"/>
          <w:szCs w:val="32"/>
          <w:lang w:bidi="ar"/>
        </w:rPr>
      </w:pPr>
      <w:r>
        <w:rPr>
          <w:rFonts w:hint="eastAsia" w:ascii="仿宋_GB2312" w:eastAsia="仿宋_GB2312" w:cs="仿宋_GB2312"/>
          <w:sz w:val="32"/>
          <w:szCs w:val="32"/>
          <w:lang w:bidi="ar"/>
        </w:rPr>
        <w:t>202</w:t>
      </w:r>
      <w:r>
        <w:rPr>
          <w:rFonts w:hint="eastAsia" w:ascii="仿宋_GB2312" w:eastAsia="仿宋_GB2312" w:cs="仿宋_GB2312"/>
          <w:sz w:val="32"/>
          <w:szCs w:val="32"/>
          <w:lang w:val="en-US" w:eastAsia="zh-CN" w:bidi="ar"/>
        </w:rPr>
        <w:t>1</w:t>
      </w:r>
      <w:r>
        <w:rPr>
          <w:rFonts w:hint="eastAsia" w:ascii="仿宋_GB2312" w:eastAsia="仿宋_GB2312" w:cs="仿宋_GB2312"/>
          <w:sz w:val="32"/>
          <w:szCs w:val="32"/>
          <w:lang w:bidi="ar"/>
        </w:rPr>
        <w:t>年，</w:t>
      </w:r>
      <w:r>
        <w:rPr>
          <w:rFonts w:ascii="仿宋_GB2312" w:eastAsia="仿宋_GB2312" w:cs="仿宋_GB2312"/>
          <w:sz w:val="32"/>
          <w:szCs w:val="32"/>
          <w:lang w:bidi="ar"/>
        </w:rPr>
        <w:t>我局政府信息公开工作取得了一定进展，但与上级的要求和公众的需求还存在一些差距。一是信息公开不够及时；二是公开的内容不够丰富，便民性需要进一步提高；三是工作人员业务水平、信息质量还要进一步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仿宋_GB2312" w:eastAsia="仿宋_GB2312" w:cs="仿宋_GB2312"/>
          <w:sz w:val="32"/>
          <w:szCs w:val="32"/>
          <w:lang w:bidi="ar"/>
        </w:rPr>
      </w:pPr>
      <w:r>
        <w:rPr>
          <w:rFonts w:hint="eastAsia" w:ascii="仿宋_GB2312" w:eastAsia="仿宋_GB2312" w:cs="仿宋_GB2312"/>
          <w:sz w:val="32"/>
          <w:szCs w:val="32"/>
          <w:lang w:bidi="ar"/>
        </w:rPr>
        <w:t>今后，县文旅体局将继续深入贯彻落实《条例》，认真采取有效措施，一是充实公开内容。按照“以公开为原则，不公开为例外”的总体要求，进一步按照政府公开信息目录，重点推进政府的信息公开公众。二是规范工作流程。进一步规范提高依申请公开的处理流程，开展政府信息公开的咨询服务工作，方便公众查阅、申请、获取政府信息。三是建立长效机制。着力建立和完善内容审查、更新维护、考核评估、监督检查评议、培训宣传和工作年报等工作制度，促进信息公开工作制度化、规范化发展。四是不断提高政务信息工作人员的综合素质，增强处理信息的能力，提高信息质量。</w:t>
      </w:r>
    </w:p>
    <w:p>
      <w:pPr>
        <w:keepNext w:val="0"/>
        <w:keepLines w:val="0"/>
        <w:widowControl w:val="0"/>
        <w:suppressLineNumbers w:val="0"/>
        <w:spacing w:before="0" w:beforeAutospacing="1" w:after="0" w:afterAutospacing="1" w:line="540" w:lineRule="exact"/>
        <w:ind w:left="0" w:right="0" w:firstLine="640" w:firstLineChars="200"/>
        <w:jc w:val="left"/>
      </w:pPr>
      <w:r>
        <w:rPr>
          <w:rFonts w:hint="eastAsia" w:ascii="黑体" w:hAnsi="宋体" w:eastAsia="黑体" w:cs="黑体"/>
          <w:kern w:val="2"/>
          <w:sz w:val="32"/>
          <w:szCs w:val="32"/>
          <w:lang w:val="en-US" w:eastAsia="zh-CN" w:bidi="ar"/>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仿宋_GB2312" w:hAnsi="仿宋_GB2312" w:eastAsia="仿宋_GB2312" w:cs="仿宋_GB2312"/>
          <w:i w:val="0"/>
          <w:caps w:val="0"/>
          <w:color w:val="333333"/>
          <w:spacing w:val="0"/>
          <w:sz w:val="32"/>
          <w:szCs w:val="32"/>
          <w:shd w:val="clear" w:fill="FFFFFF"/>
        </w:rPr>
      </w:pPr>
      <w:r>
        <w:rPr>
          <w:rFonts w:ascii="仿宋_GB2312" w:eastAsia="仿宋_GB2312" w:cs="仿宋_GB2312"/>
          <w:sz w:val="32"/>
          <w:szCs w:val="32"/>
          <w:lang w:bidi="ar"/>
        </w:rPr>
        <w:t>按照《国务院办公厅关于印发〈政府信息公开信息处理费管理办法〉的通知》（国办函〔2020〕109号）规定的按件、按量收费标准，本年度没有产生信息公开处理费</w:t>
      </w:r>
    </w:p>
    <w:p>
      <w:pPr>
        <w:ind w:firstLine="640" w:firstLineChars="200"/>
        <w:rPr>
          <w:rFonts w:hint="eastAsia" w:ascii="仿宋_GB2312" w:eastAsia="仿宋_GB2312"/>
          <w:sz w:val="32"/>
          <w:szCs w:val="32"/>
        </w:rPr>
      </w:pP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OWY0ZjA3MDBkODk5NmY5ODJjMzU1NzhkMWM0NjUifQ=="/>
  </w:docVars>
  <w:rsids>
    <w:rsidRoot w:val="30B1144D"/>
    <w:rsid w:val="0CBC4D49"/>
    <w:rsid w:val="0CCB49A7"/>
    <w:rsid w:val="158D63B9"/>
    <w:rsid w:val="1D9E0728"/>
    <w:rsid w:val="22002B21"/>
    <w:rsid w:val="2B4E0B05"/>
    <w:rsid w:val="30B1144D"/>
    <w:rsid w:val="3F86317F"/>
    <w:rsid w:val="462A1F3A"/>
    <w:rsid w:val="46C21727"/>
    <w:rsid w:val="6BE2083C"/>
    <w:rsid w:val="7FB41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2455</Words>
  <Characters>2555</Characters>
  <Lines>0</Lines>
  <Paragraphs>0</Paragraphs>
  <TotalTime>1</TotalTime>
  <ScaleCrop>false</ScaleCrop>
  <LinksUpToDate>false</LinksUpToDate>
  <CharactersWithSpaces>2574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2020-02-12T06:29:00Z</dcterms:created>
  <dc:creator>红尘烟花</dc:creator>
  <cp:lastModifiedBy>Administrator</cp:lastModifiedBy>
  <dcterms:modified xsi:type="dcterms:W3CDTF">2023-01-30T07:02:55Z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C22119CE91FE4AF1BC93C1654BDAFB15</vt:lpwstr>
  </property>
</Properties>
</file>