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ascii="微软雅黑" w:hAnsi="微软雅黑" w:eastAsia="微软雅黑" w:cs="微软雅黑"/>
          <w:b/>
          <w:bCs/>
          <w:i w:val="0"/>
          <w:iCs w:val="0"/>
          <w:caps w:val="0"/>
          <w:color w:val="333333"/>
          <w:spacing w:val="0"/>
          <w:sz w:val="27"/>
          <w:szCs w:val="27"/>
        </w:rPr>
      </w:pPr>
      <w:r>
        <w:rPr>
          <w:rFonts w:hint="eastAsia" w:ascii="宋体" w:hAnsi="宋体" w:eastAsia="宋体" w:cs="宋体"/>
          <w:b/>
          <w:bCs/>
          <w:i w:val="0"/>
          <w:iCs w:val="0"/>
          <w:caps w:val="0"/>
          <w:color w:val="333333"/>
          <w:spacing w:val="0"/>
          <w:sz w:val="32"/>
          <w:szCs w:val="32"/>
          <w:bdr w:val="none" w:color="auto" w:sz="0" w:space="0"/>
          <w:shd w:val="clear" w:fill="FFFFFF"/>
        </w:rPr>
        <w:t>霍邱县第二人民医院医疗设备采购项目（第六批）招标公告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一、招标项目名称及内容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项目编号：2022HY-C701179；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项目名称：霍邱县第二人民医院医疗设备采购项目（第六批）；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招标方式：公开招标；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最高限价：本项目共4个包，其中01包最高投标限价为人民币200万元、02包最高投标限价为人民币200万元、03包中心供氧升级改造，04包最高投标限价为人民币140万元；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本次招标内容：详见下附表；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8"/>
        <w:gridCol w:w="3516"/>
        <w:gridCol w:w="698"/>
        <w:gridCol w:w="876"/>
        <w:gridCol w:w="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7" w:hRule="atLeast"/>
          <w:jc w:val="center"/>
        </w:trPr>
        <w:tc>
          <w:tcPr>
            <w:tcW w:w="0" w:type="auto"/>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b/>
                <w:bCs/>
                <w:sz w:val="22"/>
                <w:szCs w:val="22"/>
                <w:bdr w:val="none" w:color="auto" w:sz="0" w:space="0"/>
              </w:rPr>
              <w:t>包号</w:t>
            </w:r>
          </w:p>
        </w:tc>
        <w:tc>
          <w:tcPr>
            <w:tcW w:w="0" w:type="auto"/>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b/>
                <w:bCs/>
                <w:sz w:val="22"/>
                <w:szCs w:val="22"/>
                <w:bdr w:val="none" w:color="auto" w:sz="0" w:space="0"/>
              </w:rPr>
              <w:t>名称</w:t>
            </w:r>
          </w:p>
        </w:tc>
        <w:tc>
          <w:tcPr>
            <w:tcW w:w="0" w:type="auto"/>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b/>
                <w:bCs/>
                <w:sz w:val="22"/>
                <w:szCs w:val="22"/>
                <w:bdr w:val="none" w:color="auto" w:sz="0" w:space="0"/>
              </w:rPr>
              <w:t>品牌</w:t>
            </w:r>
          </w:p>
        </w:tc>
        <w:tc>
          <w:tcPr>
            <w:tcW w:w="0" w:type="auto"/>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b/>
                <w:bCs/>
                <w:sz w:val="22"/>
                <w:szCs w:val="22"/>
                <w:bdr w:val="none" w:color="auto" w:sz="0" w:space="0"/>
              </w:rPr>
              <w:t>数量</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b/>
                <w:bCs/>
                <w:sz w:val="22"/>
                <w:szCs w:val="22"/>
                <w:bdr w:val="none" w:color="auto" w:sz="0" w:space="0"/>
              </w:rPr>
              <w:t>预算总价（万元）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7" w:hRule="atLeast"/>
          <w:jc w:val="center"/>
        </w:trPr>
        <w:tc>
          <w:tcPr>
            <w:tcW w:w="0" w:type="auto"/>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01</w:t>
            </w:r>
          </w:p>
        </w:tc>
        <w:tc>
          <w:tcPr>
            <w:tcW w:w="0" w:type="auto"/>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病床（含床头柜）ABS双摇高配</w:t>
            </w:r>
          </w:p>
        </w:tc>
        <w:tc>
          <w:tcPr>
            <w:tcW w:w="0" w:type="auto"/>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国产</w:t>
            </w:r>
          </w:p>
        </w:tc>
        <w:tc>
          <w:tcPr>
            <w:tcW w:w="0" w:type="auto"/>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800台</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7" w:hRule="atLeast"/>
          <w:jc w:val="center"/>
        </w:trPr>
        <w:tc>
          <w:tcPr>
            <w:tcW w:w="0" w:type="auto"/>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02</w:t>
            </w:r>
          </w:p>
        </w:tc>
        <w:tc>
          <w:tcPr>
            <w:tcW w:w="0" w:type="auto"/>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大型体检车（含车载设备）</w:t>
            </w:r>
          </w:p>
        </w:tc>
        <w:tc>
          <w:tcPr>
            <w:tcW w:w="0" w:type="auto"/>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国产</w:t>
            </w:r>
          </w:p>
        </w:tc>
        <w:tc>
          <w:tcPr>
            <w:tcW w:w="0" w:type="auto"/>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1套</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7" w:hRule="atLeast"/>
          <w:jc w:val="center"/>
        </w:trPr>
        <w:tc>
          <w:tcPr>
            <w:tcW w:w="0" w:type="auto"/>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04</w:t>
            </w:r>
          </w:p>
        </w:tc>
        <w:tc>
          <w:tcPr>
            <w:tcW w:w="0" w:type="auto"/>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医用高压氧舱</w:t>
            </w:r>
          </w:p>
        </w:tc>
        <w:tc>
          <w:tcPr>
            <w:tcW w:w="0" w:type="auto"/>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国产</w:t>
            </w:r>
          </w:p>
        </w:tc>
        <w:tc>
          <w:tcPr>
            <w:tcW w:w="0" w:type="auto"/>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1套</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Calibri" w:hAnsi="Calibri" w:cs="Calibri"/>
                <w:sz w:val="20"/>
                <w:szCs w:val="20"/>
              </w:rPr>
            </w:pPr>
            <w:r>
              <w:rPr>
                <w:rFonts w:hint="eastAsia" w:ascii="宋体" w:hAnsi="宋体" w:eastAsia="宋体" w:cs="宋体"/>
                <w:sz w:val="22"/>
                <w:szCs w:val="22"/>
                <w:bdr w:val="none" w:color="auto" w:sz="0" w:space="0"/>
              </w:rPr>
              <w:t>140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合同履行期限：按合同签订并接招标人书面通知30日内完成供货及安装；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本项目不接受联合体投标。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二、投标人的资格要求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1.投标人须具有有效的营业执照。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2.所投产品属于二类医疗器械时，须提供投标人的医疗器械经营备案证明；属于三类医疗器械时，须提供投标人的医疗器械经营许可证。医疗器械注册人、备案人或者生产企业在其住所或者生产地址销售医疗器械，不需办理经营许可或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3.投标人所投产品（非进口产品）属于一类医疗器械时，须提供生产商的医疗器械生产备案证明；属于二、三类医疗器械时，须提供生产商的医疗器械生产许可证。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4.投标人所投产品属于一类医疗器械时，须提供产品的注册备案证明；属于二、三类医疗器械时，须提供产品的医疗器械注册证。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5.投标人中标后，须提供投标产品制造商（也可由制造商的中国销售公司或产品全国总代理公司或区域代理公司出具，但须同时提供能证明出具授权的单位具有相应合法代理身份的有效证明）针对本次项目投标出具的有效授权书（函）。</w:t>
      </w:r>
      <w:r>
        <w:rPr>
          <w:rFonts w:hint="eastAsia" w:ascii="宋体" w:hAnsi="宋体" w:eastAsia="宋体" w:cs="宋体"/>
          <w:b/>
          <w:bCs/>
          <w:i w:val="0"/>
          <w:iCs w:val="0"/>
          <w:caps w:val="0"/>
          <w:color w:val="333333"/>
          <w:spacing w:val="0"/>
          <w:sz w:val="22"/>
          <w:szCs w:val="22"/>
          <w:bdr w:val="none" w:color="auto" w:sz="0" w:space="0"/>
          <w:shd w:val="clear" w:fill="FFFFFF"/>
        </w:rPr>
        <w:t>投标时承诺。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（1）本项目所要求的制造商或代理商的经营或备案证书根据产品所属类别适用。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（2）与评审有关的资料审核，将在开标后由评标委员会负责执行，资格后审不合格的投标人，其投标将被否决。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（3）以上证明文件均须为合法有效。如按照国家规定需要进行年审的证书，证书必须为年审合格的证书。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6.投标人存在以下不良信用记录情形之一的，不得推荐为中标候选人，不得确定为中标人：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6.1 投标人被人民法院列入失信被执行人；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6.2 投标人、法定代表人或拟派项目负责人被人民检察院列入行贿犯罪档案；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6.3 投标人被市场监督管理部门列入企业经营异常名录；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6.4 投标人被税务部门列入重大税收违法案件当事人名单；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19"/>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2"/>
          <w:szCs w:val="22"/>
          <w:bdr w:val="none" w:color="auto" w:sz="0" w:space="0"/>
          <w:shd w:val="clear" w:fill="FFFFFF"/>
        </w:rPr>
        <w:t>6.5 投标人被招投标监管部门列入严重违法失信行为记录名单（在处罚期限内的）。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三、招标文件获取方式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1.时间：2022年11月23日 至 2022年11月30日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2.地点：登录寰亚新点电子交易平台网上获取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3.方式：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3.1 潜在投标人须使用</w:t>
      </w:r>
      <w:r>
        <w:rPr>
          <w:rFonts w:hint="eastAsia" w:ascii="宋体" w:hAnsi="宋体" w:eastAsia="宋体" w:cs="宋体"/>
          <w:b/>
          <w:bCs/>
          <w:i w:val="0"/>
          <w:iCs w:val="0"/>
          <w:caps w:val="0"/>
          <w:color w:val="333333"/>
          <w:spacing w:val="0"/>
          <w:sz w:val="22"/>
          <w:szCs w:val="22"/>
          <w:bdr w:val="none" w:color="auto" w:sz="0" w:space="0"/>
          <w:shd w:val="clear" w:fill="FFFFFF"/>
        </w:rPr>
        <w:t>IE浏览器</w:t>
      </w:r>
      <w:r>
        <w:rPr>
          <w:rFonts w:hint="eastAsia" w:ascii="宋体" w:hAnsi="宋体" w:eastAsia="宋体" w:cs="宋体"/>
          <w:i w:val="0"/>
          <w:iCs w:val="0"/>
          <w:caps w:val="0"/>
          <w:color w:val="333333"/>
          <w:spacing w:val="0"/>
          <w:sz w:val="22"/>
          <w:szCs w:val="22"/>
          <w:bdr w:val="none" w:color="auto" w:sz="0" w:space="0"/>
          <w:shd w:val="clear" w:fill="FFFFFF"/>
        </w:rPr>
        <w:t>登录 “寰亚新点电子交易平台http://jypt.ahhyzb.com.cn:8080”获取招标文件。首次登录须办理注册手续，企业完成注册并审核通过后即可参加投标活动。本项目的招标文件及其他资料（含澄清、答疑及相关补充文件）通过相关网站及寰亚新点电子交易系统发布，不再另行通知，投标人应及时关注、查阅上述相关内容，否则责任自负；联合体投标的，由联合体牵头人进行文件下载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hint="default"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3.2 项目如有多个包段的，各投标人须在寰亚新点电子系统对应包别内获取对应包段的招标文件，如参与包段错误，造成无法投标的情况，由各投标人自行承担；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hint="default"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3.3 各投标人可登陆“寰亚新点电子交易平台（</w:t>
      </w:r>
      <w:r>
        <w:rPr>
          <w:rFonts w:hint="default" w:ascii="Calibri" w:hAnsi="Calibri" w:cs="Calibri"/>
          <w:b/>
          <w:bCs/>
          <w:i w:val="0"/>
          <w:iCs w:val="0"/>
          <w:caps w:val="0"/>
          <w:color w:val="333333"/>
          <w:spacing w:val="0"/>
          <w:sz w:val="22"/>
          <w:szCs w:val="22"/>
          <w:bdr w:val="none" w:color="auto" w:sz="0" w:space="0"/>
          <w:shd w:val="clear" w:fill="FFFFFF"/>
        </w:rPr>
        <w:t>http://jypt.ahhyzb.com.cn:8080</w:t>
      </w:r>
      <w:r>
        <w:rPr>
          <w:rFonts w:hint="eastAsia" w:ascii="宋体" w:hAnsi="宋体" w:eastAsia="宋体" w:cs="宋体"/>
          <w:b/>
          <w:bCs/>
          <w:i w:val="0"/>
          <w:iCs w:val="0"/>
          <w:caps w:val="0"/>
          <w:color w:val="333333"/>
          <w:spacing w:val="0"/>
          <w:sz w:val="22"/>
          <w:szCs w:val="22"/>
          <w:bdr w:val="none" w:color="auto" w:sz="0" w:space="0"/>
          <w:shd w:val="clear" w:fill="FFFFFF"/>
        </w:rPr>
        <w:t>）</w:t>
      </w:r>
      <w:r>
        <w:rPr>
          <w:rFonts w:hint="default" w:ascii="Calibri" w:hAnsi="Calibri" w:eastAsia="宋体" w:cs="Calibri"/>
          <w:b/>
          <w:bCs/>
          <w:i w:val="0"/>
          <w:iCs w:val="0"/>
          <w:caps w:val="0"/>
          <w:color w:val="333333"/>
          <w:spacing w:val="0"/>
          <w:sz w:val="22"/>
          <w:szCs w:val="22"/>
          <w:bdr w:val="none" w:color="auto" w:sz="0" w:space="0"/>
          <w:shd w:val="clear" w:fill="FFFFFF"/>
        </w:rPr>
        <w:t>---</w:t>
      </w:r>
      <w:r>
        <w:rPr>
          <w:rFonts w:hint="eastAsia" w:ascii="宋体" w:hAnsi="宋体" w:eastAsia="宋体" w:cs="宋体"/>
          <w:b/>
          <w:bCs/>
          <w:i w:val="0"/>
          <w:iCs w:val="0"/>
          <w:caps w:val="0"/>
          <w:color w:val="333333"/>
          <w:spacing w:val="0"/>
          <w:sz w:val="22"/>
          <w:szCs w:val="22"/>
          <w:bdr w:val="none" w:color="auto" w:sz="0" w:space="0"/>
          <w:shd w:val="clear" w:fill="FFFFFF"/>
        </w:rPr>
        <w:t>通知公告</w:t>
      </w:r>
      <w:r>
        <w:rPr>
          <w:rFonts w:hint="default" w:ascii="Calibri" w:hAnsi="Calibri" w:eastAsia="宋体" w:cs="Calibri"/>
          <w:b/>
          <w:bCs/>
          <w:i w:val="0"/>
          <w:iCs w:val="0"/>
          <w:caps w:val="0"/>
          <w:color w:val="333333"/>
          <w:spacing w:val="0"/>
          <w:sz w:val="22"/>
          <w:szCs w:val="22"/>
          <w:bdr w:val="none" w:color="auto" w:sz="0" w:space="0"/>
          <w:shd w:val="clear" w:fill="FFFFFF"/>
        </w:rPr>
        <w:t>---</w:t>
      </w:r>
      <w:r>
        <w:rPr>
          <w:rFonts w:hint="eastAsia" w:ascii="宋体" w:hAnsi="宋体" w:eastAsia="宋体" w:cs="宋体"/>
          <w:b/>
          <w:bCs/>
          <w:i w:val="0"/>
          <w:iCs w:val="0"/>
          <w:caps w:val="0"/>
          <w:color w:val="333333"/>
          <w:spacing w:val="0"/>
          <w:sz w:val="22"/>
          <w:szCs w:val="22"/>
          <w:bdr w:val="none" w:color="auto" w:sz="0" w:space="0"/>
          <w:shd w:val="clear" w:fill="FFFFFF"/>
        </w:rPr>
        <w:t>操作视频演示及相关软件下载</w:t>
      </w:r>
      <w:r>
        <w:rPr>
          <w:rFonts w:hint="default" w:ascii="Calibri" w:hAnsi="Calibri" w:eastAsia="宋体" w:cs="Calibri"/>
          <w:b/>
          <w:bCs/>
          <w:i w:val="0"/>
          <w:iCs w:val="0"/>
          <w:caps w:val="0"/>
          <w:color w:val="333333"/>
          <w:spacing w:val="0"/>
          <w:sz w:val="22"/>
          <w:szCs w:val="22"/>
          <w:bdr w:val="none" w:color="auto" w:sz="0" w:space="0"/>
          <w:shd w:val="clear" w:fill="FFFFFF"/>
        </w:rPr>
        <w:t>--</w:t>
      </w:r>
      <w:r>
        <w:rPr>
          <w:rFonts w:hint="eastAsia" w:ascii="宋体" w:hAnsi="宋体" w:eastAsia="宋体" w:cs="宋体"/>
          <w:b/>
          <w:bCs/>
          <w:i w:val="0"/>
          <w:iCs w:val="0"/>
          <w:caps w:val="0"/>
          <w:color w:val="333333"/>
          <w:spacing w:val="0"/>
          <w:sz w:val="22"/>
          <w:szCs w:val="22"/>
          <w:bdr w:val="none" w:color="auto" w:sz="0" w:space="0"/>
          <w:shd w:val="clear" w:fill="FFFFFF"/>
        </w:rPr>
        <w:t>下载网站注册和文件获取视频”查看操作演示；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3.4 如需开具发票，开票所需的财务信息，以投标人注册登记时填报的信息为准，需确保注册的信息真实有效；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3.5 招标文件费发票开标结束之后在系统申请由财务开具电子发票后自行下载，申请及下载位置：</w:t>
      </w:r>
      <w:r>
        <w:rPr>
          <w:rFonts w:hint="eastAsia" w:ascii="宋体" w:hAnsi="宋体" w:eastAsia="宋体" w:cs="宋体"/>
          <w:b/>
          <w:bCs/>
          <w:i w:val="0"/>
          <w:iCs w:val="0"/>
          <w:caps w:val="0"/>
          <w:color w:val="333333"/>
          <w:spacing w:val="0"/>
          <w:sz w:val="22"/>
          <w:szCs w:val="22"/>
          <w:bdr w:val="none" w:color="auto" w:sz="0" w:space="0"/>
          <w:shd w:val="clear" w:fill="FFFFFF"/>
        </w:rPr>
        <w:t>我的项目-项目流程-标书费发票申请</w:t>
      </w:r>
      <w:r>
        <w:rPr>
          <w:rFonts w:hint="eastAsia" w:ascii="宋体" w:hAnsi="宋体" w:eastAsia="宋体" w:cs="宋体"/>
          <w:i w:val="0"/>
          <w:iCs w:val="0"/>
          <w:caps w:val="0"/>
          <w:color w:val="333333"/>
          <w:spacing w:val="0"/>
          <w:sz w:val="22"/>
          <w:szCs w:val="2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4.售价：每包段招标文件费人民币500元。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四、提交投标文件截止时间、开标时间和地点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1.提交投标文件截止时间、开标时间：2022年12月15日09点00分（北京时间）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2.开标地点：合肥市蜀山区湖光路与雪霁路交口蜀山跨境电商大厦B座20F</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3.递交投标文件的方式（地点）：通过寰亚新点电子交易系统提交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五、其他补充事宜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6"/>
        <w:jc w:val="left"/>
        <w:rPr>
          <w:rFonts w:hint="default"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本项目是全流程电子招投标，需要使用寰亚新点交易系统寰亚专用版投标文件制作工具（使用说明、驱动程序和电子文件制作工具可到寰亚新点电子交易平台-通知公告栏--操作视频演示及相关软件下载栏中下载）制作电子投标文件并需要办理手机APP电子CA数字证书“新点标证通”（投标单位系统可扫码下载，电子CA数字证书标证通需要绑定手机并下载关联“寰亚新点电子交易平台”的企业数字证书。如果卸载软件或换手机需要再次缴费请慎重选择被绑定的手机）加密签章解密电子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4"/>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1.招标人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名    称: 霍邱县第二人民医院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联系方式: 江工、0564-6018052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地    址: 霍邱县城关镇南环东路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2.代理机构信息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名    称: 安徽寰亚国际招标有限公司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电子邮箱：dept2@ahhyzb.com.cn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项目负责人：李工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联系电话：0551-65320549或65307749转分机号6303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lef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地    址:</w:t>
      </w:r>
      <w:r>
        <w:rPr>
          <w:rFonts w:hint="eastAsia" w:ascii="宋体" w:hAnsi="宋体" w:eastAsia="宋体" w:cs="宋体"/>
          <w:i w:val="0"/>
          <w:iCs w:val="0"/>
          <w:caps w:val="0"/>
          <w:color w:val="333333"/>
          <w:spacing w:val="0"/>
          <w:sz w:val="20"/>
          <w:szCs w:val="20"/>
          <w:bdr w:val="none" w:color="auto" w:sz="0" w:space="0"/>
          <w:shd w:val="clear" w:fill="FFFFFF"/>
        </w:rPr>
        <w:t> </w:t>
      </w:r>
      <w:r>
        <w:rPr>
          <w:rFonts w:hint="eastAsia" w:ascii="宋体" w:hAnsi="宋体" w:eastAsia="宋体" w:cs="宋体"/>
          <w:i w:val="0"/>
          <w:iCs w:val="0"/>
          <w:caps w:val="0"/>
          <w:color w:val="333333"/>
          <w:spacing w:val="0"/>
          <w:sz w:val="22"/>
          <w:szCs w:val="22"/>
          <w:bdr w:val="none" w:color="auto" w:sz="0" w:space="0"/>
          <w:shd w:val="clear" w:fill="FFFFFF"/>
        </w:rPr>
        <w:t>合肥市蜀山区湖光路与雪霁路交口蜀山跨境电商大厦B座20F</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241"/>
        <w:jc w:val="left"/>
        <w:rPr>
          <w:rFonts w:hint="default" w:ascii="Calibri" w:hAnsi="Calibri" w:cs="Calibri"/>
          <w:i w:val="0"/>
          <w:iCs w:val="0"/>
          <w:caps w:val="0"/>
          <w:color w:val="333333"/>
          <w:spacing w:val="0"/>
          <w:sz w:val="20"/>
          <w:szCs w:val="20"/>
        </w:rPr>
      </w:pPr>
      <w:r>
        <w:rPr>
          <w:rFonts w:hint="eastAsia" w:ascii="宋体" w:hAnsi="宋体" w:eastAsia="宋体" w:cs="宋体"/>
          <w:b/>
          <w:bCs/>
          <w:i w:val="0"/>
          <w:iCs w:val="0"/>
          <w:caps w:val="0"/>
          <w:color w:val="333333"/>
          <w:spacing w:val="0"/>
          <w:sz w:val="22"/>
          <w:szCs w:val="22"/>
          <w:bdr w:val="none" w:color="auto" w:sz="0" w:space="0"/>
          <w:shd w:val="clear" w:fill="FFFFFF"/>
        </w:rPr>
        <w:t>（电话咨询时间：工作日上午8:30至12:00，下午14:00至17:30）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ascii="楷体" w:hAnsi="楷体" w:eastAsia="楷体" w:cs="楷体"/>
          <w:i w:val="0"/>
          <w:iCs w:val="0"/>
          <w:caps w:val="0"/>
          <w:color w:val="333333"/>
          <w:spacing w:val="0"/>
          <w:sz w:val="20"/>
          <w:szCs w:val="20"/>
        </w:rPr>
      </w:pPr>
      <w:r>
        <w:rPr>
          <w:rFonts w:hint="eastAsia" w:ascii="楷体" w:hAnsi="楷体" w:eastAsia="楷体" w:cs="楷体"/>
          <w:i w:val="0"/>
          <w:iCs w:val="0"/>
          <w:caps w:val="0"/>
          <w:color w:val="333333"/>
          <w:spacing w:val="0"/>
          <w:sz w:val="20"/>
          <w:szCs w:val="2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righ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霍邱县第二人民医院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right"/>
        <w:rPr>
          <w:rFonts w:hint="default" w:ascii="Calibri" w:hAnsi="Calibri" w:cs="Calibri"/>
          <w:i w:val="0"/>
          <w:iCs w:val="0"/>
          <w:caps w:val="0"/>
          <w:color w:val="333333"/>
          <w:spacing w:val="0"/>
          <w:sz w:val="20"/>
          <w:szCs w:val="20"/>
        </w:rPr>
      </w:pPr>
      <w:r>
        <w:rPr>
          <w:rFonts w:hint="eastAsia" w:ascii="宋体" w:hAnsi="宋体" w:eastAsia="宋体" w:cs="宋体"/>
          <w:i w:val="0"/>
          <w:iCs w:val="0"/>
          <w:caps w:val="0"/>
          <w:color w:val="333333"/>
          <w:spacing w:val="0"/>
          <w:sz w:val="22"/>
          <w:szCs w:val="22"/>
          <w:bdr w:val="none" w:color="auto" w:sz="0" w:space="0"/>
          <w:shd w:val="clear" w:fill="FFFFFF"/>
        </w:rPr>
        <w:t>安徽寰亚国际招标有限公司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mYTg2YjZmMDdiYmE4MzNjNDRmZTYwZTQ4NmFmMzkifQ=="/>
  </w:docVars>
  <w:rsids>
    <w:rsidRoot w:val="74B32584"/>
    <w:rsid w:val="1BE85270"/>
    <w:rsid w:val="74B32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1954</Words>
  <Characters>2189</Characters>
  <Lines>0</Lines>
  <Paragraphs>0</Paragraphs>
  <TotalTime>1</TotalTime>
  <ScaleCrop>false</ScaleCrop>
  <LinksUpToDate>false</LinksUpToDate>
  <CharactersWithSpaces>2224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2022-11-24T08:34:00Z</dcterms:created>
  <dc:creator>笨鸟先飞</dc:creator>
  <cp:lastModifiedBy>笨鸟先飞</cp:lastModifiedBy>
  <cp:lastPrinted>2022-11-24T08:34:54Z</cp:lastPrinted>
  <dcterms:modified xsi:type="dcterms:W3CDTF">2022-11-24T08:35:35Z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838A5CFE5890465FB06DBA85E3E4B424</vt:lpwstr>
  </property>
</Properties>
</file>