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277" w:rsidRDefault="000D7DD2" w:rsidP="0020621A">
      <w:pPr>
        <w:spacing w:before="4480" w:after="900"/>
        <w:ind w:leftChars="100" w:left="316" w:rightChars="100" w:right="316" w:firstLineChars="0" w:firstLine="0"/>
        <w:jc w:val="center"/>
      </w:pPr>
      <w:bookmarkStart w:id="0" w:name="_GoBack"/>
      <w:bookmarkEnd w:id="0"/>
      <w:r>
        <w:rPr>
          <w:rFonts w:hint="eastAsia"/>
        </w:rPr>
        <w:t>西</w:t>
      </w:r>
      <w:r w:rsidR="00965E05">
        <w:rPr>
          <w:rFonts w:hint="eastAsia"/>
        </w:rPr>
        <w:t>政</w:t>
      </w:r>
      <w:r w:rsidRPr="00D54E75">
        <w:rPr>
          <w:rFonts w:hint="eastAsia"/>
        </w:rPr>
        <w:t>〔</w:t>
      </w:r>
      <w:r w:rsidR="003F2E09">
        <w:rPr>
          <w:rFonts w:hint="eastAsia"/>
        </w:rPr>
        <w:t>202</w:t>
      </w:r>
      <w:r w:rsidR="003F2E09">
        <w:t>2</w:t>
      </w:r>
      <w:r w:rsidRPr="00D54E75">
        <w:rPr>
          <w:rFonts w:hint="eastAsia"/>
        </w:rPr>
        <w:t>〕</w:t>
      </w:r>
      <w:r w:rsidR="000C20B6">
        <w:rPr>
          <w:rFonts w:hint="eastAsia"/>
        </w:rPr>
        <w:t>3</w:t>
      </w:r>
      <w:r w:rsidR="000C20B6">
        <w:t>7</w:t>
      </w:r>
      <w:r>
        <w:rPr>
          <w:rFonts w:hint="eastAsia"/>
        </w:rPr>
        <w:t>号</w:t>
      </w:r>
    </w:p>
    <w:p w:rsidR="000C20B6" w:rsidRDefault="00965E05" w:rsidP="00610258">
      <w:pPr>
        <w:spacing w:line="578" w:lineRule="exact"/>
        <w:ind w:firstLineChars="0" w:firstLine="0"/>
        <w:jc w:val="center"/>
        <w:rPr>
          <w:rFonts w:ascii="方正小标宋简体" w:eastAsia="方正小标宋简体"/>
          <w:sz w:val="44"/>
          <w:szCs w:val="44"/>
        </w:rPr>
      </w:pPr>
      <w:r w:rsidRPr="0079791B">
        <w:rPr>
          <w:rFonts w:ascii="方正小标宋简体" w:eastAsia="方正小标宋简体" w:hint="eastAsia"/>
          <w:sz w:val="44"/>
          <w:szCs w:val="44"/>
        </w:rPr>
        <w:t>城西湖乡人</w:t>
      </w:r>
      <w:r w:rsidRPr="0079791B">
        <w:rPr>
          <w:rFonts w:ascii="方正小标宋简体" w:eastAsia="方正小标宋简体"/>
          <w:sz w:val="44"/>
          <w:szCs w:val="44"/>
        </w:rPr>
        <w:t>民政府</w:t>
      </w:r>
      <w:r w:rsidR="000C20B6" w:rsidRPr="000C20B6">
        <w:rPr>
          <w:rFonts w:ascii="方正小标宋简体" w:eastAsia="方正小标宋简体" w:hint="eastAsia"/>
          <w:sz w:val="44"/>
          <w:szCs w:val="44"/>
        </w:rPr>
        <w:t>关于印发</w:t>
      </w:r>
      <w:r w:rsidR="009001EB">
        <w:rPr>
          <w:rFonts w:ascii="方正小标宋简体" w:eastAsia="方正小标宋简体" w:hint="eastAsia"/>
          <w:sz w:val="44"/>
          <w:szCs w:val="44"/>
        </w:rPr>
        <w:t>《</w:t>
      </w:r>
      <w:r w:rsidR="000C20B6" w:rsidRPr="000C20B6">
        <w:rPr>
          <w:rFonts w:ascii="方正小标宋简体" w:eastAsia="方正小标宋简体" w:hint="eastAsia"/>
          <w:sz w:val="44"/>
          <w:szCs w:val="44"/>
        </w:rPr>
        <w:t>2022</w:t>
      </w:r>
      <w:r w:rsidR="009001EB">
        <w:rPr>
          <w:rFonts w:ascii="方正小标宋简体" w:eastAsia="方正小标宋简体" w:hint="eastAsia"/>
          <w:sz w:val="44"/>
          <w:szCs w:val="44"/>
        </w:rPr>
        <w:t>年城西湖乡</w:t>
      </w:r>
    </w:p>
    <w:p w:rsidR="00E25A85" w:rsidRPr="00DB1DC5" w:rsidRDefault="000C20B6" w:rsidP="00610258">
      <w:pPr>
        <w:spacing w:line="578" w:lineRule="exact"/>
        <w:ind w:firstLineChars="0" w:firstLine="0"/>
        <w:jc w:val="center"/>
        <w:rPr>
          <w:rFonts w:ascii="楷体_GB2312" w:eastAsia="楷体_GB2312"/>
          <w:w w:val="92"/>
        </w:rPr>
      </w:pPr>
      <w:r w:rsidRPr="000C20B6">
        <w:rPr>
          <w:rFonts w:ascii="方正小标宋简体" w:eastAsia="方正小标宋简体" w:hint="eastAsia"/>
          <w:sz w:val="44"/>
          <w:szCs w:val="44"/>
        </w:rPr>
        <w:t>水稻绿色高质高效行动实施方案</w:t>
      </w:r>
      <w:r w:rsidR="009001EB">
        <w:rPr>
          <w:rFonts w:ascii="方正小标宋简体" w:eastAsia="方正小标宋简体" w:hint="eastAsia"/>
          <w:sz w:val="44"/>
          <w:szCs w:val="44"/>
        </w:rPr>
        <w:t>》</w:t>
      </w:r>
      <w:r w:rsidRPr="000C20B6">
        <w:rPr>
          <w:rFonts w:ascii="方正小标宋简体" w:eastAsia="方正小标宋简体" w:hint="eastAsia"/>
          <w:sz w:val="44"/>
          <w:szCs w:val="44"/>
        </w:rPr>
        <w:t>的通知</w:t>
      </w:r>
    </w:p>
    <w:p w:rsidR="00526E6E" w:rsidRPr="00DB1DC5" w:rsidRDefault="00526E6E" w:rsidP="00610258">
      <w:pPr>
        <w:spacing w:line="578" w:lineRule="exact"/>
        <w:ind w:firstLineChars="0" w:firstLine="0"/>
        <w:jc w:val="center"/>
        <w:rPr>
          <w:rFonts w:ascii="楷体_GB2312" w:eastAsia="楷体_GB2312"/>
          <w:w w:val="92"/>
        </w:rPr>
      </w:pPr>
    </w:p>
    <w:p w:rsidR="000C20B6" w:rsidRDefault="000C20B6" w:rsidP="000C20B6">
      <w:pPr>
        <w:spacing w:line="578" w:lineRule="exact"/>
        <w:ind w:firstLineChars="0" w:firstLine="0"/>
      </w:pPr>
      <w:r>
        <w:rPr>
          <w:rFonts w:hint="eastAsia"/>
        </w:rPr>
        <w:t>各有关村、乡直有关单位:</w:t>
      </w:r>
    </w:p>
    <w:p w:rsidR="000C20B6" w:rsidRDefault="000C20B6" w:rsidP="000C20B6">
      <w:pPr>
        <w:spacing w:line="578" w:lineRule="exact"/>
        <w:ind w:firstLine="632"/>
      </w:pPr>
      <w:r>
        <w:rPr>
          <w:rFonts w:hint="eastAsia"/>
        </w:rPr>
        <w:t>根据《安徽省农业农村厅关于印发绿色高质高效行动实施方案的通知》（皖农技函[2022]477号）和《霍邱县农村工作领导组办公室关于印发2022年霍邱县水稻绿色高质高效行动实施方案的通知》（霍农工组办</w:t>
      </w:r>
      <w:r w:rsidR="009001EB">
        <w:rPr>
          <w:rFonts w:hint="eastAsia"/>
        </w:rPr>
        <w:t>〔2</w:t>
      </w:r>
      <w:r w:rsidR="009001EB">
        <w:t>022</w:t>
      </w:r>
      <w:r w:rsidR="009001EB">
        <w:rPr>
          <w:rFonts w:hint="eastAsia"/>
        </w:rPr>
        <w:t>〕</w:t>
      </w:r>
      <w:r>
        <w:rPr>
          <w:rFonts w:hint="eastAsia"/>
        </w:rPr>
        <w:t>43号）文件要求，我乡制定了2022年城西湖乡水稻绿色高质高效行动实施方案,现印发给你们请认真贯彻落实。</w:t>
      </w:r>
    </w:p>
    <w:p w:rsidR="000C20B6" w:rsidRDefault="000C20B6" w:rsidP="000C20B6">
      <w:pPr>
        <w:spacing w:line="578" w:lineRule="exact"/>
        <w:ind w:firstLine="632"/>
      </w:pPr>
    </w:p>
    <w:p w:rsidR="000C20B6" w:rsidRDefault="000C20B6" w:rsidP="000C20B6">
      <w:pPr>
        <w:spacing w:line="578" w:lineRule="exact"/>
        <w:ind w:firstLine="632"/>
      </w:pPr>
      <w:r>
        <w:rPr>
          <w:rFonts w:hint="eastAsia"/>
        </w:rPr>
        <w:lastRenderedPageBreak/>
        <w:t>附件</w:t>
      </w:r>
      <w:r w:rsidR="009001EB">
        <w:rPr>
          <w:rFonts w:hint="eastAsia"/>
        </w:rPr>
        <w:t>：</w:t>
      </w:r>
      <w:r>
        <w:rPr>
          <w:rFonts w:hint="eastAsia"/>
        </w:rPr>
        <w:t>2022年霍邱县水稻绿色高质高效行动实施方案</w:t>
      </w:r>
    </w:p>
    <w:p w:rsidR="000C20B6" w:rsidRDefault="000C20B6" w:rsidP="000C20B6">
      <w:pPr>
        <w:spacing w:line="578" w:lineRule="exact"/>
        <w:ind w:firstLine="632"/>
      </w:pPr>
    </w:p>
    <w:p w:rsidR="00BC10B8" w:rsidRDefault="00BC10B8" w:rsidP="00610258">
      <w:pPr>
        <w:spacing w:line="578" w:lineRule="exact"/>
        <w:ind w:firstLine="632"/>
      </w:pPr>
    </w:p>
    <w:p w:rsidR="00BC10B8" w:rsidRDefault="00BC10B8" w:rsidP="00610258">
      <w:pPr>
        <w:spacing w:line="578" w:lineRule="exact"/>
        <w:ind w:firstLine="632"/>
      </w:pPr>
    </w:p>
    <w:p w:rsidR="002B1C44" w:rsidRDefault="000D7DD2" w:rsidP="00610258">
      <w:pPr>
        <w:spacing w:line="578" w:lineRule="exact"/>
        <w:ind w:firstLine="632"/>
      </w:pPr>
      <w:r w:rsidRPr="00840707">
        <w:rPr>
          <w:rFonts w:hint="eastAsia"/>
        </w:rPr>
        <w:t xml:space="preserve">  </w:t>
      </w:r>
      <w:r w:rsidR="000C20B6">
        <w:t xml:space="preserve">   </w:t>
      </w:r>
      <w:r w:rsidRPr="00840707">
        <w:rPr>
          <w:rFonts w:hint="eastAsia"/>
        </w:rPr>
        <w:t xml:space="preserve">              </w:t>
      </w:r>
      <w:r w:rsidR="00DF6C58">
        <w:t xml:space="preserve"> </w:t>
      </w:r>
      <w:r w:rsidRPr="00840707">
        <w:rPr>
          <w:rFonts w:hint="eastAsia"/>
        </w:rPr>
        <w:t xml:space="preserve">        </w:t>
      </w:r>
      <w:r w:rsidR="00965E05" w:rsidRPr="00840707">
        <w:rPr>
          <w:rFonts w:hint="eastAsia"/>
        </w:rPr>
        <w:t>城西湖乡人民政府</w:t>
      </w:r>
    </w:p>
    <w:p w:rsidR="00FD648F" w:rsidRDefault="003F2E09" w:rsidP="00610258">
      <w:pPr>
        <w:spacing w:line="578" w:lineRule="exact"/>
        <w:ind w:rightChars="400" w:right="1263" w:firstLineChars="314" w:firstLine="992"/>
        <w:jc w:val="right"/>
      </w:pPr>
      <w:r>
        <w:rPr>
          <w:rFonts w:hint="eastAsia"/>
        </w:rPr>
        <w:t>202</w:t>
      </w:r>
      <w:r>
        <w:t>2</w:t>
      </w:r>
      <w:r w:rsidR="00FD648F" w:rsidRPr="00840707">
        <w:rPr>
          <w:rFonts w:hint="eastAsia"/>
        </w:rPr>
        <w:t>年</w:t>
      </w:r>
      <w:r w:rsidR="000C20B6">
        <w:rPr>
          <w:rFonts w:hint="eastAsia"/>
        </w:rPr>
        <w:t>6</w:t>
      </w:r>
      <w:r w:rsidR="00FD648F" w:rsidRPr="00840707">
        <w:rPr>
          <w:rFonts w:hint="eastAsia"/>
        </w:rPr>
        <w:t>月</w:t>
      </w:r>
      <w:r w:rsidR="000C20B6">
        <w:rPr>
          <w:rFonts w:hint="eastAsia"/>
        </w:rPr>
        <w:t>2</w:t>
      </w:r>
      <w:r w:rsidR="000C20B6">
        <w:t>7</w:t>
      </w:r>
      <w:r w:rsidR="00FD648F" w:rsidRPr="00840707">
        <w:rPr>
          <w:rFonts w:hint="eastAsia"/>
        </w:rPr>
        <w:t>日</w:t>
      </w:r>
    </w:p>
    <w:p w:rsidR="000C20B6" w:rsidRDefault="000C20B6" w:rsidP="00610258">
      <w:pPr>
        <w:spacing w:line="578" w:lineRule="exact"/>
        <w:ind w:firstLineChars="0" w:firstLine="0"/>
      </w:pPr>
      <w:r>
        <w:br w:type="page"/>
      </w:r>
    </w:p>
    <w:p w:rsidR="000C20B6" w:rsidRDefault="000C20B6" w:rsidP="000C20B6">
      <w:pPr>
        <w:spacing w:line="560" w:lineRule="exact"/>
        <w:ind w:firstLine="715"/>
        <w:jc w:val="center"/>
        <w:rPr>
          <w:rFonts w:ascii="仿宋" w:eastAsia="仿宋" w:hAnsi="仿宋" w:cs="仿宋"/>
          <w:b/>
          <w:bCs/>
          <w:sz w:val="36"/>
          <w:szCs w:val="36"/>
        </w:rPr>
      </w:pPr>
    </w:p>
    <w:p w:rsidR="000C20B6" w:rsidRPr="000C20B6" w:rsidRDefault="000C20B6" w:rsidP="000C20B6">
      <w:pPr>
        <w:spacing w:line="560" w:lineRule="exact"/>
        <w:ind w:firstLineChars="0" w:firstLine="0"/>
        <w:jc w:val="center"/>
        <w:rPr>
          <w:rFonts w:ascii="方正小标宋简体" w:eastAsia="方正小标宋简体" w:hAnsi="仿宋" w:cs="仿宋"/>
          <w:bCs/>
          <w:w w:val="95"/>
          <w:sz w:val="44"/>
          <w:szCs w:val="44"/>
        </w:rPr>
      </w:pPr>
      <w:r w:rsidRPr="000C20B6">
        <w:rPr>
          <w:rFonts w:ascii="方正小标宋简体" w:eastAsia="方正小标宋简体" w:hAnsi="仿宋" w:cs="仿宋" w:hint="eastAsia"/>
          <w:bCs/>
          <w:w w:val="95"/>
          <w:sz w:val="44"/>
          <w:szCs w:val="44"/>
        </w:rPr>
        <w:t>2022年城西湖乡水稻绿色高质高效行动实施方案</w:t>
      </w:r>
    </w:p>
    <w:p w:rsidR="000C20B6" w:rsidRDefault="000C20B6" w:rsidP="000C20B6">
      <w:pPr>
        <w:spacing w:line="560" w:lineRule="exact"/>
        <w:ind w:firstLine="632"/>
        <w:rPr>
          <w:rFonts w:ascii="仿宋" w:eastAsia="仿宋" w:hAnsi="仿宋" w:cs="仿宋"/>
        </w:rPr>
      </w:pPr>
    </w:p>
    <w:p w:rsidR="000C20B6" w:rsidRPr="000C20B6" w:rsidRDefault="000C20B6" w:rsidP="000C20B6">
      <w:pPr>
        <w:spacing w:line="578" w:lineRule="exact"/>
        <w:ind w:firstLine="632"/>
      </w:pPr>
      <w:r w:rsidRPr="000C20B6">
        <w:rPr>
          <w:rFonts w:hint="eastAsia"/>
        </w:rPr>
        <w:t>为加快推进我乡水稻生产方式转变，有效减少和控制化学农药、肥料使用量，保障农业生产安全、农产品质量安全和生态环境安全，建设我乡绿色食品原料基地，培育稻米知名品牌，推动水稻产业向绿色高质高效发展，粮食产品向品牌转变，使城西湖乡从粮食生产大乡走向粮食生产强乡。根据《霍邱县农村工作领导组办公室关于印发2022年霍邱县水稻绿色高质高效行动实施方案的通知》</w:t>
      </w:r>
      <w:r>
        <w:rPr>
          <w:rFonts w:hint="eastAsia"/>
        </w:rPr>
        <w:t>（</w:t>
      </w:r>
      <w:r w:rsidRPr="000C20B6">
        <w:rPr>
          <w:rFonts w:hint="eastAsia"/>
        </w:rPr>
        <w:t>霍农工组办</w:t>
      </w:r>
      <w:r w:rsidR="002548A8">
        <w:rPr>
          <w:rFonts w:hint="eastAsia"/>
        </w:rPr>
        <w:t>〔2</w:t>
      </w:r>
      <w:r w:rsidR="002548A8">
        <w:t>022</w:t>
      </w:r>
      <w:r w:rsidR="002548A8">
        <w:rPr>
          <w:rFonts w:hint="eastAsia"/>
        </w:rPr>
        <w:t>〕</w:t>
      </w:r>
      <w:r w:rsidRPr="000C20B6">
        <w:rPr>
          <w:rFonts w:hint="eastAsia"/>
        </w:rPr>
        <w:t>43号</w:t>
      </w:r>
      <w:r>
        <w:rPr>
          <w:rFonts w:hint="eastAsia"/>
        </w:rPr>
        <w:t>）</w:t>
      </w:r>
      <w:r w:rsidRPr="000C20B6">
        <w:rPr>
          <w:rFonts w:hint="eastAsia"/>
        </w:rPr>
        <w:t>文件精神，结合我乡实际情况，制定本实施方案。</w:t>
      </w:r>
    </w:p>
    <w:p w:rsidR="000C20B6" w:rsidRPr="000C20B6" w:rsidRDefault="000C20B6" w:rsidP="000C20B6">
      <w:pPr>
        <w:spacing w:line="578" w:lineRule="exact"/>
        <w:ind w:firstLine="632"/>
        <w:rPr>
          <w:rFonts w:ascii="黑体" w:eastAsia="黑体" w:hAnsi="黑体"/>
        </w:rPr>
      </w:pPr>
      <w:r w:rsidRPr="000C20B6">
        <w:rPr>
          <w:rFonts w:ascii="黑体" w:eastAsia="黑体" w:hAnsi="黑体" w:hint="eastAsia"/>
        </w:rPr>
        <w:t>一、总体思路</w:t>
      </w:r>
    </w:p>
    <w:p w:rsidR="000C20B6" w:rsidRPr="000C20B6" w:rsidRDefault="000C20B6" w:rsidP="000C20B6">
      <w:pPr>
        <w:spacing w:line="578" w:lineRule="exact"/>
        <w:ind w:firstLine="632"/>
      </w:pPr>
      <w:r w:rsidRPr="000C20B6">
        <w:rPr>
          <w:rFonts w:hint="eastAsia"/>
        </w:rPr>
        <w:t>以习近平新时代中国特色社会主义思想为指导，全面贯彻落实党的十九大和十九届历次全会精神，按照中央经济工作会议、中央农村工作会议、中央一号文件及省委、省政府、市委、市政府、县农村工作领导小组办公室部署要求，坚持把保障粮食供给安全作为“三农”工作的首要任务，依托绿色高质高效行动，结合我县“两强一增”行动，以绿色发展为导向，以促进粮食增产和农民增收为目标，突出主导品种、主推技术，坚持小面积高产攻关和大面积均衡增产相结合，集成推广一批高质高效技术，推动农机农艺融合、良种良法配套，带动大面积均衡增产和效益提升，夯实全乡粮食安全基础。</w:t>
      </w:r>
    </w:p>
    <w:p w:rsidR="000C20B6" w:rsidRPr="000C20B6" w:rsidRDefault="000C20B6" w:rsidP="000C20B6">
      <w:pPr>
        <w:spacing w:line="578" w:lineRule="exact"/>
        <w:ind w:firstLine="632"/>
        <w:rPr>
          <w:rFonts w:ascii="黑体" w:eastAsia="黑体" w:hAnsi="黑体"/>
        </w:rPr>
      </w:pPr>
      <w:r w:rsidRPr="000C20B6">
        <w:rPr>
          <w:rFonts w:ascii="黑体" w:eastAsia="黑体" w:hAnsi="黑体" w:hint="eastAsia"/>
        </w:rPr>
        <w:lastRenderedPageBreak/>
        <w:t>二、行动目标</w:t>
      </w:r>
    </w:p>
    <w:p w:rsidR="000C20B6" w:rsidRPr="000C20B6" w:rsidRDefault="000C20B6" w:rsidP="000C20B6">
      <w:pPr>
        <w:spacing w:line="578" w:lineRule="exact"/>
        <w:ind w:firstLine="634"/>
      </w:pPr>
      <w:r w:rsidRPr="002548A8">
        <w:rPr>
          <w:rFonts w:ascii="楷体_GB2312" w:eastAsia="楷体_GB2312" w:hint="eastAsia"/>
          <w:b/>
        </w:rPr>
        <w:t>（一）面积目标</w:t>
      </w:r>
      <w:r w:rsidR="002548A8">
        <w:rPr>
          <w:rFonts w:ascii="楷体_GB2312" w:eastAsia="楷体_GB2312" w:hint="eastAsia"/>
          <w:b/>
        </w:rPr>
        <w:t>。</w:t>
      </w:r>
      <w:r w:rsidRPr="000C20B6">
        <w:rPr>
          <w:rFonts w:hint="eastAsia"/>
        </w:rPr>
        <w:t>依托“安徽省霍邱县城西湖乡全国绿色食品原料</w:t>
      </w:r>
      <w:r>
        <w:rPr>
          <w:rFonts w:hint="eastAsia"/>
        </w:rPr>
        <w:t>（</w:t>
      </w:r>
      <w:r w:rsidRPr="000C20B6">
        <w:rPr>
          <w:rFonts w:hint="eastAsia"/>
        </w:rPr>
        <w:t>水稻</w:t>
      </w:r>
      <w:r>
        <w:rPr>
          <w:rFonts w:hint="eastAsia"/>
        </w:rPr>
        <w:t>）</w:t>
      </w:r>
      <w:r w:rsidRPr="000C20B6">
        <w:rPr>
          <w:rFonts w:hint="eastAsia"/>
        </w:rPr>
        <w:t>标准化生产基地”所在村：双河、邹台2村建立项目示范区，建设1个万亩示范片，2个千亩方和1个百亩田，辐射带动双河、邹台、王台、汪集4村绿色食品原料</w:t>
      </w:r>
      <w:r>
        <w:rPr>
          <w:rFonts w:hint="eastAsia"/>
        </w:rPr>
        <w:t>（</w:t>
      </w:r>
      <w:r w:rsidRPr="000C20B6">
        <w:rPr>
          <w:rFonts w:hint="eastAsia"/>
        </w:rPr>
        <w:t>水稻</w:t>
      </w:r>
      <w:r>
        <w:rPr>
          <w:rFonts w:hint="eastAsia"/>
        </w:rPr>
        <w:t>）</w:t>
      </w:r>
      <w:r w:rsidRPr="000C20B6">
        <w:rPr>
          <w:rFonts w:hint="eastAsia"/>
        </w:rPr>
        <w:t>基地3万亩提质增效。</w:t>
      </w:r>
    </w:p>
    <w:p w:rsidR="000C20B6" w:rsidRPr="000C20B6" w:rsidRDefault="000C20B6" w:rsidP="000C20B6">
      <w:pPr>
        <w:spacing w:line="578" w:lineRule="exact"/>
        <w:ind w:firstLine="634"/>
      </w:pPr>
      <w:r w:rsidRPr="002548A8">
        <w:rPr>
          <w:rFonts w:ascii="楷体_GB2312" w:eastAsia="楷体_GB2312" w:hint="eastAsia"/>
          <w:b/>
        </w:rPr>
        <w:t>（二）单产目标</w:t>
      </w:r>
      <w:r w:rsidR="002548A8">
        <w:rPr>
          <w:rFonts w:ascii="楷体_GB2312" w:eastAsia="楷体_GB2312" w:hint="eastAsia"/>
          <w:b/>
        </w:rPr>
        <w:t>。</w:t>
      </w:r>
      <w:r w:rsidRPr="000C20B6">
        <w:rPr>
          <w:rFonts w:hint="eastAsia"/>
        </w:rPr>
        <w:t>在项目示范区力争实现单季稻集中连片700公斤以上的创建目标，辐射带动大面积均衡增产。</w:t>
      </w:r>
    </w:p>
    <w:p w:rsidR="000C20B6" w:rsidRPr="000C20B6" w:rsidRDefault="000C20B6" w:rsidP="000C20B6">
      <w:pPr>
        <w:spacing w:line="578" w:lineRule="exact"/>
        <w:ind w:firstLine="634"/>
      </w:pPr>
      <w:r w:rsidRPr="002548A8">
        <w:rPr>
          <w:rFonts w:ascii="楷体_GB2312" w:eastAsia="楷体_GB2312" w:hint="eastAsia"/>
          <w:b/>
        </w:rPr>
        <w:t>（三）绿色目标</w:t>
      </w:r>
      <w:r w:rsidR="002548A8">
        <w:rPr>
          <w:rFonts w:ascii="楷体_GB2312" w:eastAsia="楷体_GB2312" w:hint="eastAsia"/>
          <w:b/>
        </w:rPr>
        <w:t>。</w:t>
      </w:r>
      <w:r w:rsidRPr="000C20B6">
        <w:rPr>
          <w:rFonts w:hint="eastAsia"/>
        </w:rPr>
        <w:t>根据资源禀赋和生产基础，以单产提升和生产生态相协调为目标，集成推广一批适合本区域的高产高效、资源节约、生态环保技术模式，示范区化肥农药利用率均提升至41.5%，用量低于全乡平均水平，病虫害绿色防控全覆盖、危害损失率控制在5%以内,节本增效5%以上.示范基地品种优质率达到100%，打造安徽省霍邱县城西湖乡全国绿色食品</w:t>
      </w:r>
      <w:r>
        <w:rPr>
          <w:rFonts w:hint="eastAsia"/>
        </w:rPr>
        <w:t>（</w:t>
      </w:r>
      <w:r w:rsidRPr="000C20B6">
        <w:rPr>
          <w:rFonts w:hint="eastAsia"/>
        </w:rPr>
        <w:t>水稻</w:t>
      </w:r>
      <w:r>
        <w:rPr>
          <w:rFonts w:hint="eastAsia"/>
        </w:rPr>
        <w:t>）</w:t>
      </w:r>
      <w:r w:rsidRPr="000C20B6">
        <w:rPr>
          <w:rFonts w:hint="eastAsia"/>
        </w:rPr>
        <w:t>原料基地。</w:t>
      </w:r>
    </w:p>
    <w:p w:rsidR="000C20B6" w:rsidRPr="000C20B6" w:rsidRDefault="000C20B6" w:rsidP="000C20B6">
      <w:pPr>
        <w:spacing w:line="578" w:lineRule="exact"/>
        <w:ind w:firstLine="634"/>
      </w:pPr>
      <w:r w:rsidRPr="002548A8">
        <w:rPr>
          <w:rFonts w:ascii="楷体_GB2312" w:eastAsia="楷体_GB2312" w:hint="eastAsia"/>
          <w:b/>
        </w:rPr>
        <w:t>（四）产业目标</w:t>
      </w:r>
      <w:r w:rsidR="002548A8">
        <w:rPr>
          <w:rFonts w:ascii="楷体_GB2312" w:eastAsia="楷体_GB2312" w:hint="eastAsia"/>
          <w:b/>
        </w:rPr>
        <w:t>。</w:t>
      </w:r>
      <w:r w:rsidRPr="000C20B6">
        <w:rPr>
          <w:rFonts w:hint="eastAsia"/>
        </w:rPr>
        <w:t>围绕市场需求，以品种培优、品质提升、品牌打造、标准化生产的农业“三品-标”为重点，大力推行“家庭农场+示范区”、“合作社+示范区”、“龙头企业+示范区”等经营模式，推进订单种植、产销衔接，打造稻米全产业链条。</w:t>
      </w:r>
    </w:p>
    <w:p w:rsidR="000C20B6" w:rsidRPr="000C20B6" w:rsidRDefault="000C20B6" w:rsidP="000C20B6">
      <w:pPr>
        <w:spacing w:line="578" w:lineRule="exact"/>
        <w:ind w:firstLine="632"/>
        <w:rPr>
          <w:rFonts w:ascii="黑体" w:eastAsia="黑体" w:hAnsi="黑体"/>
        </w:rPr>
      </w:pPr>
      <w:r w:rsidRPr="000C20B6">
        <w:rPr>
          <w:rFonts w:ascii="黑体" w:eastAsia="黑体" w:hAnsi="黑体" w:hint="eastAsia"/>
        </w:rPr>
        <w:t>三、重点任务</w:t>
      </w:r>
    </w:p>
    <w:p w:rsidR="002548A8" w:rsidRDefault="000C20B6" w:rsidP="000C20B6">
      <w:pPr>
        <w:spacing w:line="578" w:lineRule="exact"/>
        <w:ind w:firstLine="634"/>
        <w:rPr>
          <w:rFonts w:ascii="楷体_GB2312" w:eastAsia="楷体_GB2312"/>
          <w:b/>
        </w:rPr>
      </w:pPr>
      <w:r w:rsidRPr="002548A8">
        <w:rPr>
          <w:rFonts w:ascii="楷体_GB2312" w:eastAsia="楷体_GB2312" w:hint="eastAsia"/>
          <w:b/>
        </w:rPr>
        <w:t>（一）推广主导品种，提高单一品种规模化种植水平</w:t>
      </w:r>
    </w:p>
    <w:p w:rsidR="000C20B6" w:rsidRPr="000C20B6" w:rsidRDefault="000C20B6" w:rsidP="000C20B6">
      <w:pPr>
        <w:spacing w:line="578" w:lineRule="exact"/>
        <w:ind w:firstLine="632"/>
      </w:pPr>
      <w:r w:rsidRPr="000C20B6">
        <w:rPr>
          <w:rFonts w:hint="eastAsia"/>
        </w:rPr>
        <w:t>突出主导品种的稳产增产作用，推动构建全乡1-2个、主导</w:t>
      </w:r>
      <w:r w:rsidRPr="000C20B6">
        <w:rPr>
          <w:rFonts w:hint="eastAsia"/>
        </w:rPr>
        <w:lastRenderedPageBreak/>
        <w:t>品种的结构布局。重点是主推高产优质的具有二级米质以上的杂交中籼稻，如黄花占及隆晶优1212。</w:t>
      </w:r>
    </w:p>
    <w:p w:rsidR="000C20B6" w:rsidRPr="002548A8" w:rsidRDefault="000C20B6" w:rsidP="002548A8">
      <w:pPr>
        <w:spacing w:line="578" w:lineRule="exact"/>
        <w:ind w:firstLine="634"/>
        <w:rPr>
          <w:rFonts w:ascii="楷体_GB2312" w:eastAsia="楷体_GB2312"/>
          <w:b/>
        </w:rPr>
      </w:pPr>
      <w:r w:rsidRPr="002548A8">
        <w:rPr>
          <w:rFonts w:ascii="楷体_GB2312" w:eastAsia="楷体_GB2312" w:hint="eastAsia"/>
          <w:b/>
        </w:rPr>
        <w:t>（二）加强主推技术应用，促进引领性技术示范</w:t>
      </w:r>
    </w:p>
    <w:p w:rsidR="000C20B6" w:rsidRPr="002548A8" w:rsidRDefault="000C20B6" w:rsidP="000C20B6">
      <w:pPr>
        <w:spacing w:line="578" w:lineRule="exact"/>
        <w:ind w:firstLine="634"/>
        <w:rPr>
          <w:b/>
        </w:rPr>
      </w:pPr>
      <w:r w:rsidRPr="002548A8">
        <w:rPr>
          <w:rFonts w:hint="eastAsia"/>
          <w:b/>
        </w:rPr>
        <w:t>1.模式运用</w:t>
      </w:r>
    </w:p>
    <w:p w:rsidR="000C20B6" w:rsidRPr="000C20B6" w:rsidRDefault="000C20B6" w:rsidP="000C20B6">
      <w:pPr>
        <w:spacing w:line="578" w:lineRule="exact"/>
        <w:ind w:firstLine="632"/>
      </w:pPr>
      <w:r w:rsidRPr="000C20B6">
        <w:rPr>
          <w:rFonts w:hint="eastAsia"/>
        </w:rPr>
        <w:t>①“虾-稻一虾”模式。在双河、邹台、王台实施0.4万亩，农药化肥减量增效技术。</w:t>
      </w:r>
    </w:p>
    <w:p w:rsidR="000C20B6" w:rsidRPr="000C20B6" w:rsidRDefault="000C20B6" w:rsidP="000C20B6">
      <w:pPr>
        <w:spacing w:line="578" w:lineRule="exact"/>
        <w:ind w:firstLine="632"/>
      </w:pPr>
      <w:r w:rsidRPr="000C20B6">
        <w:rPr>
          <w:rFonts w:hint="eastAsia"/>
        </w:rPr>
        <w:t>②“稻-再生稻”模式。在双河实施0.1万亩，示范推广水稻“一种两收”，少施肥少施药绿色环保生产技术。</w:t>
      </w:r>
    </w:p>
    <w:p w:rsidR="000C20B6" w:rsidRPr="000C20B6" w:rsidRDefault="000C20B6" w:rsidP="000C20B6">
      <w:pPr>
        <w:spacing w:line="578" w:lineRule="exact"/>
        <w:ind w:firstLine="632"/>
      </w:pPr>
      <w:r w:rsidRPr="000C20B6">
        <w:rPr>
          <w:rFonts w:hint="eastAsia"/>
        </w:rPr>
        <w:t>③“稻一小麦”生产模式。在双河、邹台、王台、汪集实施2.5万亩，示范推广水稻轻简化栽培技术。</w:t>
      </w:r>
    </w:p>
    <w:p w:rsidR="000C20B6" w:rsidRPr="002548A8" w:rsidRDefault="000C20B6" w:rsidP="002548A8">
      <w:pPr>
        <w:spacing w:line="578" w:lineRule="exact"/>
        <w:ind w:firstLine="634"/>
        <w:rPr>
          <w:b/>
        </w:rPr>
      </w:pPr>
      <w:r w:rsidRPr="002548A8">
        <w:rPr>
          <w:rFonts w:hint="eastAsia"/>
          <w:b/>
        </w:rPr>
        <w:t>2.病虫害绿色防控集成技术应用</w:t>
      </w:r>
    </w:p>
    <w:p w:rsidR="000C20B6" w:rsidRPr="000C20B6" w:rsidRDefault="000C20B6" w:rsidP="000C20B6">
      <w:pPr>
        <w:spacing w:line="578" w:lineRule="exact"/>
        <w:ind w:firstLine="632"/>
      </w:pPr>
      <w:r w:rsidRPr="000C20B6">
        <w:rPr>
          <w:rFonts w:hint="eastAsia"/>
        </w:rPr>
        <w:t>①生态工程控害技术。田埂保留禾本科杂草，为天敌提供过渡寄主，保护天敌，提高天敌的控害能力；控制氮肥使用量，降低害虫种群的增长速率；适当推迟水稻播期，避开和减轻二化螟主害代的为害。</w:t>
      </w:r>
    </w:p>
    <w:p w:rsidR="000C20B6" w:rsidRPr="000C20B6" w:rsidRDefault="000C20B6" w:rsidP="000C20B6">
      <w:pPr>
        <w:spacing w:line="578" w:lineRule="exact"/>
        <w:ind w:firstLine="632"/>
      </w:pPr>
      <w:r w:rsidRPr="000C20B6">
        <w:rPr>
          <w:rFonts w:hint="eastAsia"/>
        </w:rPr>
        <w:t>②种子处理控害技术。采用种子处理技术，预防苗期水稻病虫害</w:t>
      </w:r>
      <w:r>
        <w:rPr>
          <w:rFonts w:hint="eastAsia"/>
        </w:rPr>
        <w:t>（</w:t>
      </w:r>
      <w:r w:rsidRPr="000C20B6">
        <w:rPr>
          <w:rFonts w:hint="eastAsia"/>
        </w:rPr>
        <w:t>恶苗病、稻瘟病、稻蓟马等</w:t>
      </w:r>
      <w:r>
        <w:rPr>
          <w:rFonts w:hint="eastAsia"/>
        </w:rPr>
        <w:t>）</w:t>
      </w:r>
      <w:r w:rsidRPr="000C20B6">
        <w:rPr>
          <w:rFonts w:hint="eastAsia"/>
        </w:rPr>
        <w:t>，提高秧苗素质和抗逆性，促进壮苗。</w:t>
      </w:r>
    </w:p>
    <w:p w:rsidR="000C20B6" w:rsidRPr="000C20B6" w:rsidRDefault="000C20B6" w:rsidP="000C20B6">
      <w:pPr>
        <w:spacing w:line="578" w:lineRule="exact"/>
        <w:ind w:firstLine="632"/>
      </w:pPr>
      <w:r w:rsidRPr="000C20B6">
        <w:rPr>
          <w:rFonts w:hint="eastAsia"/>
        </w:rPr>
        <w:t>③生物农药控害技术。防治二化螟选用苏云金杆菌</w:t>
      </w:r>
      <w:r>
        <w:rPr>
          <w:rFonts w:hint="eastAsia"/>
        </w:rPr>
        <w:t>（</w:t>
      </w:r>
      <w:r w:rsidRPr="000C20B6">
        <w:rPr>
          <w:rFonts w:hint="eastAsia"/>
        </w:rPr>
        <w:t>Bt</w:t>
      </w:r>
      <w:r>
        <w:rPr>
          <w:rFonts w:hint="eastAsia"/>
        </w:rPr>
        <w:t>）</w:t>
      </w:r>
      <w:r w:rsidRPr="000C20B6">
        <w:rPr>
          <w:rFonts w:hint="eastAsia"/>
        </w:rPr>
        <w:t>，防治稻纵卷叶螟选用Bt、短稳杆菌，防治稻飞虱选用球孢白僵菌，于卵孵化始盛期施用，防治稻瘟病采用井冈·蜡芽菌、枯草芽孢杆菌；预防稻曲病采用井冈·蜡芽菌、井冈霉素A</w:t>
      </w:r>
      <w:r>
        <w:rPr>
          <w:rFonts w:hint="eastAsia"/>
        </w:rPr>
        <w:t>（</w:t>
      </w:r>
      <w:r w:rsidRPr="000C20B6">
        <w:rPr>
          <w:rFonts w:hint="eastAsia"/>
        </w:rPr>
        <w:t>选用24%高含</w:t>
      </w:r>
      <w:r w:rsidRPr="000C20B6">
        <w:rPr>
          <w:rFonts w:hint="eastAsia"/>
        </w:rPr>
        <w:lastRenderedPageBreak/>
        <w:t>量制剂</w:t>
      </w:r>
      <w:r>
        <w:rPr>
          <w:rFonts w:hint="eastAsia"/>
        </w:rPr>
        <w:t>）</w:t>
      </w:r>
      <w:r w:rsidRPr="000C20B6">
        <w:rPr>
          <w:rFonts w:hint="eastAsia"/>
        </w:rPr>
        <w:t>、申嗪霉素、蛇床子素，并可兼治纹枯病。</w:t>
      </w:r>
    </w:p>
    <w:p w:rsidR="000C20B6" w:rsidRPr="000C20B6" w:rsidRDefault="000C20B6" w:rsidP="000C20B6">
      <w:pPr>
        <w:spacing w:line="578" w:lineRule="exact"/>
        <w:ind w:firstLine="632"/>
      </w:pPr>
      <w:r w:rsidRPr="000C20B6">
        <w:rPr>
          <w:rFonts w:hint="eastAsia"/>
        </w:rPr>
        <w:t>④稻虾综合种养控害技术。虾稻综合种养是在冬季涵养水士，秸秆还田，保持了地力;水稻在生产过程中，水稻田里的龙虾脱的壳和排泄物是禾苗生长的天然有机肥料，减少了禾苗生长对化肥的依赖，做到不施肥或少施肥:由于是“稻虾共生”，稻田里的龙虾又是禾苗的治虫好手，稻田里的害虫</w:t>
      </w:r>
      <w:r>
        <w:rPr>
          <w:rFonts w:hint="eastAsia"/>
        </w:rPr>
        <w:t>（</w:t>
      </w:r>
      <w:r w:rsidRPr="000C20B6">
        <w:rPr>
          <w:rFonts w:hint="eastAsia"/>
        </w:rPr>
        <w:t>包括成虫、幼虫、蛾和卵</w:t>
      </w:r>
      <w:r>
        <w:rPr>
          <w:rFonts w:hint="eastAsia"/>
        </w:rPr>
        <w:t>）</w:t>
      </w:r>
      <w:r w:rsidRPr="000C20B6">
        <w:rPr>
          <w:rFonts w:hint="eastAsia"/>
        </w:rPr>
        <w:t>都是龙虾的美食，形成了一种优势互补的生物链，减少施药量和施药次数。</w:t>
      </w:r>
    </w:p>
    <w:p w:rsidR="000C20B6" w:rsidRPr="000C20B6" w:rsidRDefault="000C20B6" w:rsidP="000C20B6">
      <w:pPr>
        <w:spacing w:line="578" w:lineRule="exact"/>
        <w:ind w:firstLine="632"/>
      </w:pPr>
      <w:r w:rsidRPr="000C20B6">
        <w:rPr>
          <w:rFonts w:hint="eastAsia"/>
        </w:rPr>
        <w:t>⑤精准使用化学农药技术。“预防为主，综合防治”，适时选用高效、低毒、低残留环境友好型农药进行防治，严格按照绿色食品原料基地投入品要求使用化学农药。防治稻飞虱，田间喷雾选用吡蚜酮。防治螟虫和稻纵卷叶螟,选用氯虫苯甲酰胺。防治纹枯病，选用丙环唑、氟环唑。防治稻曲病，选用氟环唑。</w:t>
      </w:r>
    </w:p>
    <w:p w:rsidR="000C20B6" w:rsidRPr="002548A8" w:rsidRDefault="000C20B6" w:rsidP="002548A8">
      <w:pPr>
        <w:spacing w:line="578" w:lineRule="exact"/>
        <w:ind w:firstLine="634"/>
        <w:rPr>
          <w:b/>
        </w:rPr>
      </w:pPr>
      <w:r w:rsidRPr="002548A8">
        <w:rPr>
          <w:rFonts w:hint="eastAsia"/>
          <w:b/>
        </w:rPr>
        <w:t>3.减肥增效集成技术应用</w:t>
      </w:r>
    </w:p>
    <w:p w:rsidR="000C20B6" w:rsidRPr="000C20B6" w:rsidRDefault="000C20B6" w:rsidP="000C20B6">
      <w:pPr>
        <w:spacing w:line="578" w:lineRule="exact"/>
        <w:ind w:firstLine="632"/>
      </w:pPr>
      <w:r w:rsidRPr="000C20B6">
        <w:rPr>
          <w:rFonts w:hint="eastAsia"/>
        </w:rPr>
        <w:t>①推进精准施肥。根据示范基地不同区域土壤条件、水稻生产量潜力和养分综合管理要求，合理制定各区域、作物单位面积施肥限量标准，大力推广无人机精准定量投施技术，改表施、撒施为机械深施、水肥一体化，大力推广测土配方施肥技术应用，减少盲目施肥行为。</w:t>
      </w:r>
    </w:p>
    <w:p w:rsidR="000C20B6" w:rsidRPr="000C20B6" w:rsidRDefault="000C20B6" w:rsidP="000C20B6">
      <w:pPr>
        <w:spacing w:line="578" w:lineRule="exact"/>
        <w:ind w:firstLine="632"/>
      </w:pPr>
      <w:r w:rsidRPr="000C20B6">
        <w:rPr>
          <w:rFonts w:hint="eastAsia"/>
        </w:rPr>
        <w:t>②调整化肥使用结构。大力推广测土配方施肥，优化氮、磷、钾配比，促进大量元素与中微量元素配合。适应现代农业发展需要，引导肥料产品优化升级，大力推广高效新型肥料，使用控释</w:t>
      </w:r>
      <w:r w:rsidRPr="000C20B6">
        <w:rPr>
          <w:rFonts w:hint="eastAsia"/>
        </w:rPr>
        <w:lastRenderedPageBreak/>
        <w:t>肥、叶面肥等新产品，采用有机肥替代部分化肥等。</w:t>
      </w:r>
    </w:p>
    <w:p w:rsidR="000C20B6" w:rsidRPr="000C20B6" w:rsidRDefault="000C20B6" w:rsidP="000C20B6">
      <w:pPr>
        <w:spacing w:line="578" w:lineRule="exact"/>
        <w:ind w:firstLine="632"/>
      </w:pPr>
      <w:r w:rsidRPr="000C20B6">
        <w:rPr>
          <w:rFonts w:hint="eastAsia"/>
        </w:rPr>
        <w:t>③推进秸秆还田技术应用。开展统一秸秆粉碎还田、深松深耕等服务，有效解决秸秆直接还田存在的实际问题。加强农机农艺结合。培育壮大农机社会化服务组织，提升农机服务水平，提高秸秆直接粉碎还田的质量。</w:t>
      </w:r>
    </w:p>
    <w:p w:rsidR="000C20B6" w:rsidRPr="000C20B6" w:rsidRDefault="000C20B6" w:rsidP="000C20B6">
      <w:pPr>
        <w:spacing w:line="578" w:lineRule="exact"/>
        <w:ind w:firstLine="632"/>
      </w:pPr>
      <w:r w:rsidRPr="000C20B6">
        <w:rPr>
          <w:rFonts w:hint="eastAsia"/>
        </w:rPr>
        <w:t>④开展全量秸秆还田条件下直播水稻播量与氮肥协同技术攻关研究试验。在双河（老滩）李士银田里开展播种量及氯肥用量对直播水稻产量和水稻养分吸收、转运及分配的影响试验，明确播种量及氮肥用量对直播水稻产量形成和氮素利用特征的影响。为全乡水稻高效施肥，绿色增产提供技术支撑。</w:t>
      </w:r>
    </w:p>
    <w:p w:rsidR="000C20B6" w:rsidRPr="002548A8" w:rsidRDefault="002548A8" w:rsidP="002548A8">
      <w:pPr>
        <w:spacing w:line="578" w:lineRule="exact"/>
        <w:ind w:firstLine="634"/>
        <w:rPr>
          <w:rFonts w:ascii="楷体_GB2312" w:eastAsia="楷体_GB2312"/>
          <w:b/>
        </w:rPr>
      </w:pPr>
      <w:r>
        <w:rPr>
          <w:rFonts w:ascii="楷体_GB2312" w:eastAsia="楷体_GB2312" w:hint="eastAsia"/>
          <w:b/>
        </w:rPr>
        <w:t>（三）</w:t>
      </w:r>
      <w:r w:rsidR="000C20B6" w:rsidRPr="002548A8">
        <w:rPr>
          <w:rFonts w:ascii="楷体_GB2312" w:eastAsia="楷体_GB2312" w:hint="eastAsia"/>
          <w:b/>
        </w:rPr>
        <w:t>打造高产创建示范片，推进小面积攻关和大面积均衡增产</w:t>
      </w:r>
    </w:p>
    <w:p w:rsidR="000C20B6" w:rsidRPr="000C20B6" w:rsidRDefault="000C20B6" w:rsidP="000C20B6">
      <w:pPr>
        <w:spacing w:line="578" w:lineRule="exact"/>
        <w:ind w:firstLine="632"/>
      </w:pPr>
      <w:r w:rsidRPr="000C20B6">
        <w:rPr>
          <w:rFonts w:hint="eastAsia"/>
        </w:rPr>
        <w:t>围绕集成推广水稻新品种、新技术、新模式，选择基础条件好、技术力量强的示范基地，打造“万亩片”、“千亩方”、“百亩田”，集中资源、集聚力量，大力推行统一良种供应、统一肥水管理、统一病虫防控、统一技术指导、统一机械作业的“五统一”，推进农机农艺融合示范基地建设，实现良田、良种、良法、良机、良制配套,将专家产量转化为农户产量,把典型产量转化为大田产量，力争示范片平均单产达700公斤，辐射带动大面积均衡增产。</w:t>
      </w:r>
    </w:p>
    <w:p w:rsidR="000C20B6" w:rsidRPr="002548A8" w:rsidRDefault="000C20B6" w:rsidP="000C20B6">
      <w:pPr>
        <w:spacing w:line="578" w:lineRule="exact"/>
        <w:ind w:firstLine="634"/>
        <w:rPr>
          <w:rFonts w:ascii="楷体_GB2312" w:eastAsia="楷体_GB2312"/>
          <w:b/>
        </w:rPr>
      </w:pPr>
      <w:r w:rsidRPr="002548A8">
        <w:rPr>
          <w:rFonts w:ascii="楷体_GB2312" w:eastAsia="楷体_GB2312" w:hint="eastAsia"/>
          <w:b/>
        </w:rPr>
        <w:t>（四）加强生产主体培育，提升规模化生产水平和社会化服务能力</w:t>
      </w:r>
    </w:p>
    <w:p w:rsidR="000C20B6" w:rsidRPr="000C20B6" w:rsidRDefault="000C20B6" w:rsidP="000C20B6">
      <w:pPr>
        <w:spacing w:line="578" w:lineRule="exact"/>
        <w:ind w:firstLine="632"/>
      </w:pPr>
      <w:r w:rsidRPr="000C20B6">
        <w:rPr>
          <w:rFonts w:hint="eastAsia"/>
        </w:rPr>
        <w:lastRenderedPageBreak/>
        <w:t>选择霍邱县双盈粮食种植专业合作社、霍邱县肥田家庭农场、霍邱县竟成农事服务中心、安徽省谷穗丰农业发展有限公司等种植和服务主体，集约资源，集中推进，参与实施绿色高质高效行动，承担新品种新技术新模式示范任务，提升规模化、组织化生产水平和社会化、专业化服务。</w:t>
      </w:r>
    </w:p>
    <w:p w:rsidR="000C20B6" w:rsidRPr="002548A8" w:rsidRDefault="000C20B6" w:rsidP="002548A8">
      <w:pPr>
        <w:spacing w:line="578" w:lineRule="exact"/>
        <w:ind w:firstLine="634"/>
        <w:rPr>
          <w:rFonts w:ascii="楷体_GB2312" w:eastAsia="楷体_GB2312"/>
          <w:b/>
        </w:rPr>
      </w:pPr>
      <w:r w:rsidRPr="002548A8">
        <w:rPr>
          <w:rFonts w:ascii="楷体_GB2312" w:eastAsia="楷体_GB2312" w:hint="eastAsia"/>
          <w:b/>
        </w:rPr>
        <w:t>（五）推进产业融合发展，提升价值链延长产业链</w:t>
      </w:r>
    </w:p>
    <w:p w:rsidR="000C20B6" w:rsidRPr="000C20B6" w:rsidRDefault="000C20B6" w:rsidP="000C20B6">
      <w:pPr>
        <w:spacing w:line="578" w:lineRule="exact"/>
        <w:ind w:firstLine="632"/>
      </w:pPr>
      <w:r w:rsidRPr="000C20B6">
        <w:rPr>
          <w:rFonts w:hint="eastAsia"/>
        </w:rPr>
        <w:t>支持安徽鑫溢米业有限责任公司、安徽龙源、元壮米业等大米加工企业，实行“公司+基地”，发展生产促进产业融合，产业融合带动生产发展。示范区重点发展一级米</w:t>
      </w:r>
      <w:r>
        <w:rPr>
          <w:rFonts w:hint="eastAsia"/>
        </w:rPr>
        <w:t>（</w:t>
      </w:r>
      <w:r w:rsidRPr="000C20B6">
        <w:rPr>
          <w:rFonts w:hint="eastAsia"/>
        </w:rPr>
        <w:t>黄华占</w:t>
      </w:r>
      <w:r>
        <w:rPr>
          <w:rFonts w:hint="eastAsia"/>
        </w:rPr>
        <w:t>）</w:t>
      </w:r>
      <w:r w:rsidRPr="000C20B6">
        <w:rPr>
          <w:rFonts w:hint="eastAsia"/>
        </w:rPr>
        <w:t>高档优质区、霍邱虾田稻米生态区，增加优质绿色农产品供给。集中打造一批优质口粮基地及特色品牌，延长产业链，提升水稻生产的质量效益和竞争力。</w:t>
      </w:r>
    </w:p>
    <w:p w:rsidR="000C20B6" w:rsidRPr="000C20B6" w:rsidRDefault="002548A8" w:rsidP="000C20B6">
      <w:pPr>
        <w:spacing w:line="578" w:lineRule="exact"/>
        <w:ind w:firstLine="632"/>
        <w:rPr>
          <w:rFonts w:ascii="黑体" w:eastAsia="黑体" w:hAnsi="黑体"/>
        </w:rPr>
      </w:pPr>
      <w:r>
        <w:rPr>
          <w:rFonts w:ascii="黑体" w:eastAsia="黑体" w:hAnsi="黑体" w:hint="eastAsia"/>
        </w:rPr>
        <w:t>四、</w:t>
      </w:r>
      <w:r w:rsidR="000C20B6" w:rsidRPr="000C20B6">
        <w:rPr>
          <w:rFonts w:ascii="黑体" w:eastAsia="黑体" w:hAnsi="黑体" w:hint="eastAsia"/>
        </w:rPr>
        <w:t>保障措施</w:t>
      </w:r>
    </w:p>
    <w:p w:rsidR="000C20B6" w:rsidRPr="002548A8" w:rsidRDefault="000C20B6" w:rsidP="002548A8">
      <w:pPr>
        <w:spacing w:line="578" w:lineRule="exact"/>
        <w:ind w:firstLine="634"/>
        <w:rPr>
          <w:rFonts w:ascii="楷体_GB2312" w:eastAsia="楷体_GB2312"/>
          <w:b/>
        </w:rPr>
      </w:pPr>
      <w:r w:rsidRPr="002548A8">
        <w:rPr>
          <w:rFonts w:ascii="楷体_GB2312" w:eastAsia="楷体_GB2312" w:hint="eastAsia"/>
          <w:b/>
        </w:rPr>
        <w:t>（一）强化组织领导</w:t>
      </w:r>
    </w:p>
    <w:p w:rsidR="000C20B6" w:rsidRPr="000C20B6" w:rsidRDefault="000C20B6" w:rsidP="000C20B6">
      <w:pPr>
        <w:spacing w:line="578" w:lineRule="exact"/>
        <w:ind w:firstLine="632"/>
      </w:pPr>
      <w:r w:rsidRPr="000C20B6">
        <w:rPr>
          <w:rFonts w:hint="eastAsia"/>
        </w:rPr>
        <w:t>为切实做好本项目各项工作实施，细化工作方案，强化统筹协调，落实责任分工，加强部门协调。乡政府成立“城西湖乡水稻绿色高质高效行动项目领导小组”。</w:t>
      </w:r>
    </w:p>
    <w:p w:rsidR="000C20B6" w:rsidRPr="000C20B6" w:rsidRDefault="000C20B6" w:rsidP="000C20B6">
      <w:pPr>
        <w:spacing w:line="578" w:lineRule="exact"/>
        <w:ind w:firstLine="632"/>
      </w:pPr>
      <w:r w:rsidRPr="000C20B6">
        <w:rPr>
          <w:rFonts w:hint="eastAsia"/>
        </w:rPr>
        <w:t>组  长: 张应奎</w:t>
      </w:r>
      <w:r w:rsidR="002548A8">
        <w:rPr>
          <w:rFonts w:hint="eastAsia"/>
        </w:rPr>
        <w:t xml:space="preserve"> </w:t>
      </w:r>
      <w:r w:rsidR="002548A8">
        <w:t xml:space="preserve"> 乡党委副书记、</w:t>
      </w:r>
      <w:r w:rsidRPr="000C20B6">
        <w:rPr>
          <w:rFonts w:hint="eastAsia"/>
        </w:rPr>
        <w:t>乡</w:t>
      </w:r>
      <w:r w:rsidR="002548A8">
        <w:rPr>
          <w:rFonts w:hint="eastAsia"/>
        </w:rPr>
        <w:t>长</w:t>
      </w:r>
    </w:p>
    <w:p w:rsidR="000C20B6" w:rsidRPr="000C20B6" w:rsidRDefault="000C20B6" w:rsidP="000C20B6">
      <w:pPr>
        <w:spacing w:line="578" w:lineRule="exact"/>
        <w:ind w:firstLine="632"/>
      </w:pPr>
      <w:r w:rsidRPr="000C20B6">
        <w:rPr>
          <w:rFonts w:hint="eastAsia"/>
        </w:rPr>
        <w:t>副组长: 吕  俊</w:t>
      </w:r>
      <w:r w:rsidR="002548A8">
        <w:rPr>
          <w:rFonts w:hint="eastAsia"/>
        </w:rPr>
        <w:t xml:space="preserve"> </w:t>
      </w:r>
      <w:r w:rsidR="002548A8">
        <w:t xml:space="preserve"> </w:t>
      </w:r>
      <w:r w:rsidRPr="000C20B6">
        <w:rPr>
          <w:rFonts w:hint="eastAsia"/>
        </w:rPr>
        <w:t>统战委员</w:t>
      </w:r>
    </w:p>
    <w:p w:rsidR="000C20B6" w:rsidRPr="000C20B6" w:rsidRDefault="000C20B6" w:rsidP="002548A8">
      <w:pPr>
        <w:spacing w:line="578" w:lineRule="exact"/>
        <w:ind w:firstLineChars="600" w:firstLine="1895"/>
      </w:pPr>
      <w:r w:rsidRPr="000C20B6">
        <w:rPr>
          <w:rFonts w:hint="eastAsia"/>
        </w:rPr>
        <w:t>康炳龙</w:t>
      </w:r>
      <w:r w:rsidR="002548A8">
        <w:rPr>
          <w:rFonts w:hint="eastAsia"/>
        </w:rPr>
        <w:t xml:space="preserve"> </w:t>
      </w:r>
      <w:r w:rsidR="002548A8">
        <w:t xml:space="preserve"> </w:t>
      </w:r>
      <w:r w:rsidRPr="000C20B6">
        <w:rPr>
          <w:rFonts w:hint="eastAsia"/>
        </w:rPr>
        <w:t>农综站站长</w:t>
      </w:r>
    </w:p>
    <w:p w:rsidR="000C20B6" w:rsidRPr="000C20B6" w:rsidRDefault="000C20B6" w:rsidP="000C20B6">
      <w:pPr>
        <w:spacing w:line="578" w:lineRule="exact"/>
        <w:ind w:firstLine="632"/>
      </w:pPr>
      <w:r w:rsidRPr="000C20B6">
        <w:rPr>
          <w:rFonts w:hint="eastAsia"/>
        </w:rPr>
        <w:t xml:space="preserve">成  员: </w:t>
      </w:r>
      <w:r w:rsidR="002548A8">
        <w:rPr>
          <w:rFonts w:hint="eastAsia"/>
        </w:rPr>
        <w:t xml:space="preserve">牛金合 </w:t>
      </w:r>
      <w:r w:rsidR="002548A8">
        <w:t xml:space="preserve"> </w:t>
      </w:r>
      <w:r w:rsidR="002548A8">
        <w:rPr>
          <w:rFonts w:hint="eastAsia"/>
        </w:rPr>
        <w:t>财政分局局长</w:t>
      </w:r>
    </w:p>
    <w:p w:rsidR="000C20B6" w:rsidRPr="000C20B6" w:rsidRDefault="000C20B6" w:rsidP="000C20B6">
      <w:pPr>
        <w:spacing w:line="578" w:lineRule="exact"/>
        <w:ind w:firstLine="632"/>
      </w:pPr>
      <w:r w:rsidRPr="000C20B6">
        <w:rPr>
          <w:rFonts w:hint="eastAsia"/>
        </w:rPr>
        <w:t xml:space="preserve">        </w:t>
      </w:r>
      <w:r w:rsidR="002548A8">
        <w:rPr>
          <w:rFonts w:hint="eastAsia"/>
        </w:rPr>
        <w:t xml:space="preserve">姚巧云 </w:t>
      </w:r>
      <w:r w:rsidR="002548A8">
        <w:t xml:space="preserve"> </w:t>
      </w:r>
      <w:r w:rsidR="002548A8">
        <w:rPr>
          <w:rFonts w:hint="eastAsia"/>
        </w:rPr>
        <w:t>水产站站长</w:t>
      </w:r>
    </w:p>
    <w:p w:rsidR="000C20B6" w:rsidRPr="000C20B6" w:rsidRDefault="000C20B6" w:rsidP="000C20B6">
      <w:pPr>
        <w:spacing w:line="578" w:lineRule="exact"/>
        <w:ind w:firstLine="632"/>
      </w:pPr>
      <w:r w:rsidRPr="000C20B6">
        <w:rPr>
          <w:rFonts w:hint="eastAsia"/>
        </w:rPr>
        <w:lastRenderedPageBreak/>
        <w:t>董  松（公务员）</w:t>
      </w:r>
    </w:p>
    <w:p w:rsidR="000C20B6" w:rsidRPr="000C20B6" w:rsidRDefault="000C20B6" w:rsidP="000C20B6">
      <w:pPr>
        <w:spacing w:line="578" w:lineRule="exact"/>
        <w:ind w:firstLine="632"/>
      </w:pPr>
      <w:r w:rsidRPr="000C20B6">
        <w:rPr>
          <w:rFonts w:hint="eastAsia"/>
        </w:rPr>
        <w:t xml:space="preserve">王  琼 </w:t>
      </w:r>
      <w:r>
        <w:rPr>
          <w:rFonts w:hint="eastAsia"/>
        </w:rPr>
        <w:t>（</w:t>
      </w:r>
      <w:r w:rsidRPr="000C20B6">
        <w:rPr>
          <w:rFonts w:hint="eastAsia"/>
        </w:rPr>
        <w:t>农艺师</w:t>
      </w:r>
      <w:r>
        <w:rPr>
          <w:rFonts w:hint="eastAsia"/>
        </w:rPr>
        <w:t>）</w:t>
      </w:r>
    </w:p>
    <w:p w:rsidR="000C20B6" w:rsidRPr="000C20B6" w:rsidRDefault="000C20B6" w:rsidP="000C20B6">
      <w:pPr>
        <w:spacing w:line="578" w:lineRule="exact"/>
        <w:ind w:firstLine="632"/>
      </w:pPr>
      <w:r w:rsidRPr="000C20B6">
        <w:rPr>
          <w:rFonts w:hint="eastAsia"/>
        </w:rPr>
        <w:t xml:space="preserve">吴  建 </w:t>
      </w:r>
      <w:r>
        <w:rPr>
          <w:rFonts w:hint="eastAsia"/>
        </w:rPr>
        <w:t>（</w:t>
      </w:r>
      <w:r w:rsidRPr="000C20B6">
        <w:rPr>
          <w:rFonts w:hint="eastAsia"/>
        </w:rPr>
        <w:t>农艺师</w:t>
      </w:r>
      <w:r>
        <w:rPr>
          <w:rFonts w:hint="eastAsia"/>
        </w:rPr>
        <w:t>）</w:t>
      </w:r>
    </w:p>
    <w:p w:rsidR="000C20B6" w:rsidRPr="000C20B6" w:rsidRDefault="000C20B6" w:rsidP="000C20B6">
      <w:pPr>
        <w:spacing w:line="578" w:lineRule="exact"/>
        <w:ind w:firstLine="632"/>
      </w:pPr>
      <w:r w:rsidRPr="000C20B6">
        <w:rPr>
          <w:rFonts w:hint="eastAsia"/>
        </w:rPr>
        <w:t>刘同民</w:t>
      </w:r>
      <w:r>
        <w:rPr>
          <w:rFonts w:hint="eastAsia"/>
        </w:rPr>
        <w:t>（</w:t>
      </w:r>
      <w:r w:rsidRPr="000C20B6">
        <w:rPr>
          <w:rFonts w:hint="eastAsia"/>
        </w:rPr>
        <w:t>高级农艺师</w:t>
      </w:r>
      <w:r>
        <w:rPr>
          <w:rFonts w:hint="eastAsia"/>
        </w:rPr>
        <w:t>）</w:t>
      </w:r>
    </w:p>
    <w:p w:rsidR="000C20B6" w:rsidRPr="000C20B6" w:rsidRDefault="000C20B6" w:rsidP="000C20B6">
      <w:pPr>
        <w:spacing w:line="578" w:lineRule="exact"/>
        <w:ind w:firstLine="632"/>
      </w:pPr>
      <w:r w:rsidRPr="000C20B6">
        <w:rPr>
          <w:rFonts w:hint="eastAsia"/>
        </w:rPr>
        <w:t>王苗苗</w:t>
      </w:r>
      <w:r>
        <w:rPr>
          <w:rFonts w:hint="eastAsia"/>
        </w:rPr>
        <w:t>（</w:t>
      </w:r>
      <w:r w:rsidRPr="000C20B6">
        <w:rPr>
          <w:rFonts w:hint="eastAsia"/>
        </w:rPr>
        <w:t>双河村支部书记</w:t>
      </w:r>
      <w:r>
        <w:rPr>
          <w:rFonts w:hint="eastAsia"/>
        </w:rPr>
        <w:t>）</w:t>
      </w:r>
    </w:p>
    <w:p w:rsidR="000C20B6" w:rsidRPr="000C20B6" w:rsidRDefault="000C20B6" w:rsidP="000C20B6">
      <w:pPr>
        <w:spacing w:line="578" w:lineRule="exact"/>
        <w:ind w:firstLine="632"/>
      </w:pPr>
      <w:r w:rsidRPr="000C20B6">
        <w:rPr>
          <w:rFonts w:hint="eastAsia"/>
        </w:rPr>
        <w:t>王友保</w:t>
      </w:r>
      <w:r>
        <w:rPr>
          <w:rFonts w:hint="eastAsia"/>
        </w:rPr>
        <w:t>（</w:t>
      </w:r>
      <w:r w:rsidRPr="000C20B6">
        <w:rPr>
          <w:rFonts w:hint="eastAsia"/>
        </w:rPr>
        <w:t>邹台村支部书记</w:t>
      </w:r>
      <w:r>
        <w:rPr>
          <w:rFonts w:hint="eastAsia"/>
        </w:rPr>
        <w:t>）</w:t>
      </w:r>
    </w:p>
    <w:p w:rsidR="000C20B6" w:rsidRPr="000C20B6" w:rsidRDefault="000C20B6" w:rsidP="000C20B6">
      <w:pPr>
        <w:spacing w:line="578" w:lineRule="exact"/>
        <w:ind w:firstLine="632"/>
      </w:pPr>
      <w:r w:rsidRPr="000C20B6">
        <w:rPr>
          <w:rFonts w:hint="eastAsia"/>
        </w:rPr>
        <w:t>张家录</w:t>
      </w:r>
      <w:r>
        <w:rPr>
          <w:rFonts w:hint="eastAsia"/>
        </w:rPr>
        <w:t>（</w:t>
      </w:r>
      <w:r w:rsidRPr="000C20B6">
        <w:rPr>
          <w:rFonts w:hint="eastAsia"/>
        </w:rPr>
        <w:t>王台村支部书记</w:t>
      </w:r>
      <w:r>
        <w:rPr>
          <w:rFonts w:hint="eastAsia"/>
        </w:rPr>
        <w:t>）</w:t>
      </w:r>
    </w:p>
    <w:p w:rsidR="000C20B6" w:rsidRPr="000C20B6" w:rsidRDefault="000C20B6" w:rsidP="000C20B6">
      <w:pPr>
        <w:spacing w:line="578" w:lineRule="exact"/>
        <w:ind w:firstLine="632"/>
      </w:pPr>
      <w:r w:rsidRPr="000C20B6">
        <w:rPr>
          <w:rFonts w:hint="eastAsia"/>
        </w:rPr>
        <w:t>李怀俊</w:t>
      </w:r>
      <w:r>
        <w:rPr>
          <w:rFonts w:hint="eastAsia"/>
        </w:rPr>
        <w:t>（</w:t>
      </w:r>
      <w:r w:rsidRPr="000C20B6">
        <w:rPr>
          <w:rFonts w:hint="eastAsia"/>
        </w:rPr>
        <w:t>汪集村支部书记</w:t>
      </w:r>
      <w:r>
        <w:rPr>
          <w:rFonts w:hint="eastAsia"/>
        </w:rPr>
        <w:t>）</w:t>
      </w:r>
    </w:p>
    <w:p w:rsidR="000C20B6" w:rsidRPr="002548A8" w:rsidRDefault="000C20B6" w:rsidP="002548A8">
      <w:pPr>
        <w:spacing w:line="578" w:lineRule="exact"/>
        <w:ind w:firstLine="634"/>
        <w:rPr>
          <w:rFonts w:ascii="楷体_GB2312" w:eastAsia="楷体_GB2312"/>
          <w:b/>
        </w:rPr>
      </w:pPr>
      <w:r w:rsidRPr="002548A8">
        <w:rPr>
          <w:rFonts w:ascii="楷体_GB2312" w:eastAsia="楷体_GB2312" w:hint="eastAsia"/>
          <w:b/>
        </w:rPr>
        <w:t>（二）强化指导服务</w:t>
      </w:r>
    </w:p>
    <w:p w:rsidR="000C20B6" w:rsidRPr="000C20B6" w:rsidRDefault="000C20B6" w:rsidP="000C20B6">
      <w:pPr>
        <w:spacing w:line="578" w:lineRule="exact"/>
        <w:ind w:firstLine="632"/>
      </w:pPr>
      <w:r w:rsidRPr="000C20B6">
        <w:rPr>
          <w:rFonts w:hint="eastAsia"/>
        </w:rPr>
        <w:t>为加强对绿色高质高效行动的技术指导，乡里成立技术指导组，聘请县种植业发展中心郭永生研究员为首席技术专家。技术指导组负责技术方案制定和指导服务，跟踪记录作物生育进展和重要农事活动。在关键农时季节，开展现场观摩、技术培训、专家巡回指导等，提高技术到位率。建立专家对口联系制度，以示范方和新型经营主体为重点，开展市场信息、生产技术、产品销售等全过程指导，促进产销衔接。乡政府成立城西湖乡水稻绿色高质高效行动项目技术指导组。</w:t>
      </w:r>
    </w:p>
    <w:p w:rsidR="000C20B6" w:rsidRPr="000C20B6" w:rsidRDefault="000C20B6" w:rsidP="000C20B6">
      <w:pPr>
        <w:spacing w:line="578" w:lineRule="exact"/>
        <w:ind w:firstLine="632"/>
      </w:pPr>
      <w:r w:rsidRPr="000C20B6">
        <w:rPr>
          <w:rFonts w:hint="eastAsia"/>
        </w:rPr>
        <w:t>组  长: 郭永生</w:t>
      </w:r>
      <w:r>
        <w:rPr>
          <w:rFonts w:hint="eastAsia"/>
        </w:rPr>
        <w:t>（</w:t>
      </w:r>
      <w:r w:rsidRPr="000C20B6">
        <w:rPr>
          <w:rFonts w:hint="eastAsia"/>
        </w:rPr>
        <w:t>县种植业发展中心 研究员</w:t>
      </w:r>
      <w:r>
        <w:rPr>
          <w:rFonts w:hint="eastAsia"/>
        </w:rPr>
        <w:t>）</w:t>
      </w:r>
    </w:p>
    <w:p w:rsidR="000C20B6" w:rsidRPr="000C20B6" w:rsidRDefault="000C20B6" w:rsidP="000C20B6">
      <w:pPr>
        <w:spacing w:line="578" w:lineRule="exact"/>
        <w:ind w:firstLine="632"/>
      </w:pPr>
      <w:r w:rsidRPr="000C20B6">
        <w:rPr>
          <w:rFonts w:hint="eastAsia"/>
        </w:rPr>
        <w:t>副组长: 康炳龙</w:t>
      </w:r>
      <w:r>
        <w:rPr>
          <w:rFonts w:hint="eastAsia"/>
        </w:rPr>
        <w:t>（</w:t>
      </w:r>
      <w:r w:rsidRPr="000C20B6">
        <w:rPr>
          <w:rFonts w:hint="eastAsia"/>
        </w:rPr>
        <w:t>乡农综站站长 研究员</w:t>
      </w:r>
      <w:r>
        <w:rPr>
          <w:rFonts w:hint="eastAsia"/>
        </w:rPr>
        <w:t>）</w:t>
      </w:r>
    </w:p>
    <w:p w:rsidR="000C20B6" w:rsidRPr="000C20B6" w:rsidRDefault="000C20B6" w:rsidP="000C20B6">
      <w:pPr>
        <w:spacing w:line="578" w:lineRule="exact"/>
        <w:ind w:firstLine="632"/>
      </w:pPr>
      <w:r w:rsidRPr="000C20B6">
        <w:rPr>
          <w:rFonts w:hint="eastAsia"/>
        </w:rPr>
        <w:t>成  员: 刘同民</w:t>
      </w:r>
      <w:r>
        <w:rPr>
          <w:rFonts w:hint="eastAsia"/>
        </w:rPr>
        <w:t>（</w:t>
      </w:r>
      <w:r w:rsidRPr="000C20B6">
        <w:rPr>
          <w:rFonts w:hint="eastAsia"/>
        </w:rPr>
        <w:t>乡农综站 高级农艺师</w:t>
      </w:r>
      <w:r>
        <w:rPr>
          <w:rFonts w:hint="eastAsia"/>
        </w:rPr>
        <w:t>）</w:t>
      </w:r>
    </w:p>
    <w:p w:rsidR="000C20B6" w:rsidRPr="000C20B6" w:rsidRDefault="000C20B6" w:rsidP="000C20B6">
      <w:pPr>
        <w:spacing w:line="578" w:lineRule="exact"/>
        <w:ind w:firstLine="632"/>
      </w:pPr>
      <w:r w:rsidRPr="000C20B6">
        <w:rPr>
          <w:rFonts w:hint="eastAsia"/>
        </w:rPr>
        <w:t>王  琼</w:t>
      </w:r>
      <w:r>
        <w:rPr>
          <w:rFonts w:hint="eastAsia"/>
        </w:rPr>
        <w:t>（</w:t>
      </w:r>
      <w:r w:rsidRPr="000C20B6">
        <w:rPr>
          <w:rFonts w:hint="eastAsia"/>
        </w:rPr>
        <w:t>乡农综站副站长 农艺师</w:t>
      </w:r>
      <w:r>
        <w:rPr>
          <w:rFonts w:hint="eastAsia"/>
        </w:rPr>
        <w:t>）</w:t>
      </w:r>
    </w:p>
    <w:p w:rsidR="000C20B6" w:rsidRPr="000C20B6" w:rsidRDefault="000C20B6" w:rsidP="000C20B6">
      <w:pPr>
        <w:spacing w:line="578" w:lineRule="exact"/>
        <w:ind w:firstLine="632"/>
      </w:pPr>
      <w:r w:rsidRPr="000C20B6">
        <w:rPr>
          <w:rFonts w:hint="eastAsia"/>
        </w:rPr>
        <w:t>吴  建</w:t>
      </w:r>
      <w:r>
        <w:rPr>
          <w:rFonts w:hint="eastAsia"/>
        </w:rPr>
        <w:t>（</w:t>
      </w:r>
      <w:r w:rsidRPr="000C20B6">
        <w:rPr>
          <w:rFonts w:hint="eastAsia"/>
        </w:rPr>
        <w:t>乡农综站  农艺师</w:t>
      </w:r>
      <w:r>
        <w:rPr>
          <w:rFonts w:hint="eastAsia"/>
        </w:rPr>
        <w:t>）</w:t>
      </w:r>
    </w:p>
    <w:p w:rsidR="000C20B6" w:rsidRPr="000C20B6" w:rsidRDefault="002548A8" w:rsidP="002548A8">
      <w:pPr>
        <w:spacing w:line="578" w:lineRule="exact"/>
        <w:ind w:firstLineChars="600" w:firstLine="1895"/>
      </w:pPr>
      <w:r>
        <w:rPr>
          <w:rFonts w:hint="eastAsia"/>
        </w:rPr>
        <w:lastRenderedPageBreak/>
        <w:t xml:space="preserve">李厚林 </w:t>
      </w:r>
      <w:r>
        <w:t xml:space="preserve"> </w:t>
      </w:r>
      <w:r>
        <w:rPr>
          <w:rFonts w:hint="eastAsia"/>
        </w:rPr>
        <w:t>经营主体负责人</w:t>
      </w:r>
    </w:p>
    <w:p w:rsidR="000C20B6" w:rsidRPr="000C20B6" w:rsidRDefault="002548A8" w:rsidP="002548A8">
      <w:pPr>
        <w:spacing w:line="578" w:lineRule="exact"/>
        <w:ind w:firstLineChars="600" w:firstLine="1895"/>
      </w:pPr>
      <w:r>
        <w:rPr>
          <w:rFonts w:hint="eastAsia"/>
        </w:rPr>
        <w:t xml:space="preserve">李士银 </w:t>
      </w:r>
      <w:r>
        <w:t xml:space="preserve"> </w:t>
      </w:r>
      <w:r>
        <w:rPr>
          <w:rFonts w:hint="eastAsia"/>
        </w:rPr>
        <w:t>经营主体负责人</w:t>
      </w:r>
    </w:p>
    <w:p w:rsidR="000C20B6" w:rsidRPr="000C20B6" w:rsidRDefault="002548A8" w:rsidP="002548A8">
      <w:pPr>
        <w:spacing w:line="578" w:lineRule="exact"/>
        <w:ind w:firstLineChars="600" w:firstLine="1895"/>
      </w:pPr>
      <w:r>
        <w:rPr>
          <w:rFonts w:hint="eastAsia"/>
        </w:rPr>
        <w:t xml:space="preserve">李俊田 </w:t>
      </w:r>
      <w:r>
        <w:t xml:space="preserve"> </w:t>
      </w:r>
      <w:r>
        <w:rPr>
          <w:rFonts w:hint="eastAsia"/>
        </w:rPr>
        <w:t>经营主体负责人</w:t>
      </w:r>
    </w:p>
    <w:p w:rsidR="000C20B6" w:rsidRPr="000C20B6" w:rsidRDefault="002548A8" w:rsidP="002548A8">
      <w:pPr>
        <w:spacing w:line="578" w:lineRule="exact"/>
        <w:ind w:firstLineChars="600" w:firstLine="1895"/>
      </w:pPr>
      <w:r>
        <w:rPr>
          <w:rFonts w:hint="eastAsia"/>
        </w:rPr>
        <w:t xml:space="preserve">王仁松 </w:t>
      </w:r>
      <w:r>
        <w:t xml:space="preserve"> </w:t>
      </w:r>
      <w:r>
        <w:rPr>
          <w:rFonts w:hint="eastAsia"/>
        </w:rPr>
        <w:t>经营主体负责人</w:t>
      </w:r>
    </w:p>
    <w:p w:rsidR="000C20B6" w:rsidRPr="002548A8" w:rsidRDefault="000C20B6" w:rsidP="002548A8">
      <w:pPr>
        <w:spacing w:line="578" w:lineRule="exact"/>
        <w:ind w:firstLine="634"/>
        <w:rPr>
          <w:rFonts w:ascii="楷体_GB2312" w:eastAsia="楷体_GB2312"/>
          <w:b/>
        </w:rPr>
      </w:pPr>
      <w:r w:rsidRPr="002548A8">
        <w:rPr>
          <w:rFonts w:ascii="楷体_GB2312" w:eastAsia="楷体_GB2312" w:hint="eastAsia"/>
          <w:b/>
        </w:rPr>
        <w:t>（三）严格资金使用</w:t>
      </w:r>
    </w:p>
    <w:p w:rsidR="000C20B6" w:rsidRPr="000C20B6" w:rsidRDefault="000C20B6" w:rsidP="000C20B6">
      <w:pPr>
        <w:spacing w:line="578" w:lineRule="exact"/>
        <w:ind w:firstLine="632"/>
      </w:pPr>
      <w:r w:rsidRPr="000C20B6">
        <w:rPr>
          <w:rFonts w:hint="eastAsia"/>
        </w:rPr>
        <w:t>根据</w:t>
      </w:r>
      <w:r>
        <w:rPr>
          <w:rFonts w:hint="eastAsia"/>
        </w:rPr>
        <w:t>（</w:t>
      </w:r>
      <w:r w:rsidRPr="000C20B6">
        <w:rPr>
          <w:rFonts w:hint="eastAsia"/>
        </w:rPr>
        <w:t>霍农工组办[2022]43号</w:t>
      </w:r>
      <w:r>
        <w:rPr>
          <w:rFonts w:hint="eastAsia"/>
        </w:rPr>
        <w:t>）</w:t>
      </w:r>
      <w:r w:rsidRPr="000C20B6">
        <w:rPr>
          <w:rFonts w:hint="eastAsia"/>
        </w:rPr>
        <w:t>文件精神，项目资金110万元。</w:t>
      </w:r>
    </w:p>
    <w:p w:rsidR="000C20B6" w:rsidRPr="000C20B6" w:rsidRDefault="000C20B6" w:rsidP="000C20B6">
      <w:pPr>
        <w:spacing w:line="578" w:lineRule="exact"/>
        <w:ind w:firstLine="632"/>
      </w:pPr>
      <w:r w:rsidRPr="000C20B6">
        <w:rPr>
          <w:rFonts w:hint="eastAsia"/>
        </w:rPr>
        <w:t>1.主要病虫</w:t>
      </w:r>
      <w:r>
        <w:rPr>
          <w:rFonts w:hint="eastAsia"/>
        </w:rPr>
        <w:t>（</w:t>
      </w:r>
      <w:r w:rsidRPr="000C20B6">
        <w:rPr>
          <w:rFonts w:hint="eastAsia"/>
        </w:rPr>
        <w:t>二化螟二代、稻曲病等</w:t>
      </w:r>
      <w:r>
        <w:rPr>
          <w:rFonts w:hint="eastAsia"/>
        </w:rPr>
        <w:t>）</w:t>
      </w:r>
      <w:r w:rsidRPr="000C20B6">
        <w:rPr>
          <w:rFonts w:hint="eastAsia"/>
        </w:rPr>
        <w:t>统防统治及药剂。每亩10元，全覆盖实施3 万亩，计30万元;</w:t>
      </w:r>
    </w:p>
    <w:p w:rsidR="000C20B6" w:rsidRPr="000C20B6" w:rsidRDefault="000C20B6" w:rsidP="000C20B6">
      <w:pPr>
        <w:spacing w:line="578" w:lineRule="exact"/>
        <w:ind w:firstLine="632"/>
      </w:pPr>
      <w:r w:rsidRPr="000C20B6">
        <w:rPr>
          <w:rFonts w:hint="eastAsia"/>
        </w:rPr>
        <w:t>2.有机肥使用。每亩50元，实施1.2万亩</w:t>
      </w:r>
      <w:r>
        <w:rPr>
          <w:rFonts w:hint="eastAsia"/>
        </w:rPr>
        <w:t>（</w:t>
      </w:r>
      <w:r w:rsidRPr="000C20B6">
        <w:rPr>
          <w:rFonts w:hint="eastAsia"/>
        </w:rPr>
        <w:t>只含万亩片、千亩方</w:t>
      </w:r>
      <w:r>
        <w:rPr>
          <w:rFonts w:hint="eastAsia"/>
        </w:rPr>
        <w:t>）</w:t>
      </w:r>
      <w:r w:rsidRPr="000C20B6">
        <w:rPr>
          <w:rFonts w:hint="eastAsia"/>
        </w:rPr>
        <w:t>，计 60万元;</w:t>
      </w:r>
    </w:p>
    <w:p w:rsidR="000C20B6" w:rsidRPr="000C20B6" w:rsidRDefault="000C20B6" w:rsidP="000C20B6">
      <w:pPr>
        <w:spacing w:line="578" w:lineRule="exact"/>
        <w:ind w:firstLine="632"/>
      </w:pPr>
      <w:r w:rsidRPr="000C20B6">
        <w:rPr>
          <w:rFonts w:hint="eastAsia"/>
        </w:rPr>
        <w:t>3.太阳能杀虫灯。80台，预计20万元;</w:t>
      </w:r>
    </w:p>
    <w:p w:rsidR="000C20B6" w:rsidRPr="000C20B6" w:rsidRDefault="000C20B6" w:rsidP="000C20B6">
      <w:pPr>
        <w:spacing w:line="578" w:lineRule="exact"/>
        <w:ind w:firstLine="632"/>
      </w:pPr>
      <w:r w:rsidRPr="000C20B6">
        <w:rPr>
          <w:rFonts w:hint="eastAsia"/>
        </w:rPr>
        <w:t>4.技术培训、指导服务、标牌制作等 由县统一解决。总投入资金110万元，由乡负责统一采购</w:t>
      </w:r>
      <w:r>
        <w:rPr>
          <w:rFonts w:hint="eastAsia"/>
        </w:rPr>
        <w:t>（</w:t>
      </w:r>
      <w:r w:rsidRPr="000C20B6">
        <w:rPr>
          <w:rFonts w:hint="eastAsia"/>
        </w:rPr>
        <w:t>见下表</w:t>
      </w:r>
      <w:r>
        <w:rPr>
          <w:rFonts w:hint="eastAsia"/>
        </w:rPr>
        <w:t>）</w:t>
      </w:r>
      <w:r w:rsidRPr="000C20B6">
        <w:rPr>
          <w:rFonts w:hint="eastAsia"/>
        </w:rPr>
        <w:t>，专款专用，不得挪用。</w:t>
      </w:r>
    </w:p>
    <w:p w:rsidR="000C20B6" w:rsidRPr="00683A9C" w:rsidRDefault="000C20B6" w:rsidP="00683A9C">
      <w:pPr>
        <w:spacing w:line="440" w:lineRule="exact"/>
        <w:ind w:firstLineChars="0" w:firstLine="0"/>
        <w:jc w:val="center"/>
        <w:rPr>
          <w:rFonts w:ascii="方正小标宋简体" w:eastAsia="方正小标宋简体" w:hAnsi="仿宋" w:cs="仿宋"/>
          <w:bCs/>
        </w:rPr>
      </w:pPr>
      <w:r w:rsidRPr="00683A9C">
        <w:rPr>
          <w:rFonts w:ascii="方正小标宋简体" w:eastAsia="方正小标宋简体" w:hAnsi="仿宋" w:cs="仿宋" w:hint="eastAsia"/>
          <w:bCs/>
        </w:rPr>
        <w:t>城西湖乡水稻绿色高质高效行动资金使用表</w:t>
      </w:r>
    </w:p>
    <w:tbl>
      <w:tblPr>
        <w:tblStyle w:val="aa"/>
        <w:tblW w:w="9722" w:type="dxa"/>
        <w:tblInd w:w="-497" w:type="dxa"/>
        <w:tblLayout w:type="fixed"/>
        <w:tblLook w:val="04A0" w:firstRow="1" w:lastRow="0" w:firstColumn="1" w:lastColumn="0" w:noHBand="0" w:noVBand="1"/>
      </w:tblPr>
      <w:tblGrid>
        <w:gridCol w:w="1059"/>
        <w:gridCol w:w="1758"/>
        <w:gridCol w:w="1200"/>
        <w:gridCol w:w="1266"/>
        <w:gridCol w:w="1200"/>
        <w:gridCol w:w="1250"/>
        <w:gridCol w:w="1123"/>
        <w:gridCol w:w="866"/>
      </w:tblGrid>
      <w:tr w:rsidR="000C20B6" w:rsidTr="00683A9C">
        <w:tc>
          <w:tcPr>
            <w:tcW w:w="1059" w:type="dxa"/>
            <w:vMerge w:val="restart"/>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村名</w:t>
            </w:r>
          </w:p>
        </w:tc>
        <w:tc>
          <w:tcPr>
            <w:tcW w:w="6674" w:type="dxa"/>
            <w:gridSpan w:val="5"/>
            <w:vAlign w:val="center"/>
          </w:tcPr>
          <w:p w:rsidR="000C20B6" w:rsidRPr="00683A9C" w:rsidRDefault="000C20B6" w:rsidP="00683A9C">
            <w:pPr>
              <w:tabs>
                <w:tab w:val="left" w:pos="2263"/>
              </w:tabs>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高质高效行动实施面积</w:t>
            </w:r>
          </w:p>
        </w:tc>
        <w:tc>
          <w:tcPr>
            <w:tcW w:w="1123" w:type="dxa"/>
            <w:vMerge w:val="restart"/>
            <w:vAlign w:val="center"/>
          </w:tcPr>
          <w:p w:rsidR="000C20B6" w:rsidRPr="00683A9C" w:rsidRDefault="000C20B6" w:rsidP="00683A9C">
            <w:pPr>
              <w:spacing w:line="280" w:lineRule="exact"/>
              <w:ind w:firstLineChars="0" w:firstLine="0"/>
              <w:rPr>
                <w:rFonts w:ascii="仿宋" w:eastAsia="仿宋" w:hAnsi="仿宋" w:cs="仿宋"/>
                <w:sz w:val="24"/>
                <w:szCs w:val="24"/>
              </w:rPr>
            </w:pPr>
            <w:r w:rsidRPr="00683A9C">
              <w:rPr>
                <w:rFonts w:ascii="仿宋" w:eastAsia="仿宋" w:hAnsi="仿宋" w:cs="仿宋" w:hint="eastAsia"/>
                <w:sz w:val="24"/>
                <w:szCs w:val="24"/>
              </w:rPr>
              <w:t>资金</w:t>
            </w:r>
          </w:p>
          <w:p w:rsidR="000C20B6" w:rsidRPr="00683A9C" w:rsidRDefault="00683A9C" w:rsidP="00683A9C">
            <w:pPr>
              <w:spacing w:line="280" w:lineRule="exact"/>
              <w:ind w:firstLineChars="0" w:firstLine="0"/>
              <w:rPr>
                <w:rFonts w:ascii="仿宋" w:eastAsia="仿宋" w:hAnsi="仿宋" w:cs="仿宋"/>
                <w:sz w:val="24"/>
                <w:szCs w:val="24"/>
              </w:rPr>
            </w:pPr>
            <w:r w:rsidRPr="00683A9C">
              <w:rPr>
                <w:rFonts w:ascii="仿宋" w:eastAsia="仿宋" w:hAnsi="仿宋" w:cs="仿宋" w:hint="eastAsia"/>
                <w:sz w:val="24"/>
                <w:szCs w:val="24"/>
              </w:rPr>
              <w:t>(</w:t>
            </w:r>
            <w:r w:rsidR="000C20B6" w:rsidRPr="00683A9C">
              <w:rPr>
                <w:rFonts w:ascii="仿宋" w:eastAsia="仿宋" w:hAnsi="仿宋" w:cs="仿宋" w:hint="eastAsia"/>
                <w:sz w:val="24"/>
                <w:szCs w:val="24"/>
              </w:rPr>
              <w:t>万</w:t>
            </w:r>
            <w:r w:rsidRPr="00683A9C">
              <w:rPr>
                <w:rFonts w:ascii="仿宋" w:eastAsia="仿宋" w:hAnsi="仿宋" w:cs="仿宋" w:hint="eastAsia"/>
                <w:sz w:val="24"/>
                <w:szCs w:val="24"/>
              </w:rPr>
              <w:t>元）</w:t>
            </w:r>
          </w:p>
        </w:tc>
        <w:tc>
          <w:tcPr>
            <w:tcW w:w="866" w:type="dxa"/>
            <w:vMerge w:val="restart"/>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p>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备注</w:t>
            </w:r>
          </w:p>
        </w:tc>
      </w:tr>
      <w:tr w:rsidR="000C20B6" w:rsidTr="00683A9C">
        <w:trPr>
          <w:trHeight w:val="777"/>
        </w:trPr>
        <w:tc>
          <w:tcPr>
            <w:tcW w:w="1059" w:type="dxa"/>
            <w:vMerge/>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c>
          <w:tcPr>
            <w:tcW w:w="1758" w:type="dxa"/>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水稻绿色原料基地面积</w:t>
            </w:r>
          </w:p>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（万亩）</w:t>
            </w:r>
          </w:p>
        </w:tc>
        <w:tc>
          <w:tcPr>
            <w:tcW w:w="1200" w:type="dxa"/>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万亩片</w:t>
            </w:r>
          </w:p>
          <w:p w:rsidR="000C20B6" w:rsidRPr="00683A9C" w:rsidRDefault="00683A9C"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w:t>
            </w:r>
            <w:r w:rsidR="000C20B6" w:rsidRPr="00683A9C">
              <w:rPr>
                <w:rFonts w:ascii="仿宋" w:eastAsia="仿宋" w:hAnsi="仿宋" w:cs="仿宋" w:hint="eastAsia"/>
                <w:sz w:val="24"/>
                <w:szCs w:val="24"/>
              </w:rPr>
              <w:t>万亩</w:t>
            </w:r>
            <w:r w:rsidRPr="00683A9C">
              <w:rPr>
                <w:rFonts w:ascii="仿宋" w:eastAsia="仿宋" w:hAnsi="仿宋" w:cs="仿宋" w:hint="eastAsia"/>
                <w:sz w:val="24"/>
                <w:szCs w:val="24"/>
              </w:rPr>
              <w:t>)</w:t>
            </w:r>
          </w:p>
        </w:tc>
        <w:tc>
          <w:tcPr>
            <w:tcW w:w="1266" w:type="dxa"/>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千亩方</w:t>
            </w:r>
            <w:r w:rsidR="00683A9C" w:rsidRPr="00683A9C">
              <w:rPr>
                <w:rFonts w:ascii="仿宋" w:eastAsia="仿宋" w:hAnsi="仿宋" w:cs="仿宋" w:hint="eastAsia"/>
                <w:sz w:val="24"/>
                <w:szCs w:val="24"/>
              </w:rPr>
              <w:t>(</w:t>
            </w:r>
            <w:r w:rsidRPr="00683A9C">
              <w:rPr>
                <w:rFonts w:ascii="仿宋" w:eastAsia="仿宋" w:hAnsi="仿宋" w:cs="仿宋" w:hint="eastAsia"/>
                <w:sz w:val="24"/>
                <w:szCs w:val="24"/>
              </w:rPr>
              <w:t>万亩）</w:t>
            </w:r>
          </w:p>
        </w:tc>
        <w:tc>
          <w:tcPr>
            <w:tcW w:w="1200" w:type="dxa"/>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百亩田</w:t>
            </w:r>
            <w:r w:rsidR="00683A9C" w:rsidRPr="00683A9C">
              <w:rPr>
                <w:rFonts w:ascii="仿宋" w:eastAsia="仿宋" w:hAnsi="仿宋" w:cs="仿宋" w:hint="eastAsia"/>
                <w:sz w:val="24"/>
                <w:szCs w:val="24"/>
              </w:rPr>
              <w:t>(</w:t>
            </w:r>
            <w:r w:rsidRPr="00683A9C">
              <w:rPr>
                <w:rFonts w:ascii="仿宋" w:eastAsia="仿宋" w:hAnsi="仿宋" w:cs="仿宋" w:hint="eastAsia"/>
                <w:sz w:val="24"/>
                <w:szCs w:val="24"/>
              </w:rPr>
              <w:t>万亩）</w:t>
            </w:r>
          </w:p>
        </w:tc>
        <w:tc>
          <w:tcPr>
            <w:tcW w:w="1250" w:type="dxa"/>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合计</w:t>
            </w:r>
          </w:p>
          <w:p w:rsidR="000C20B6" w:rsidRPr="00683A9C" w:rsidRDefault="00683A9C"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w:t>
            </w:r>
            <w:r w:rsidR="000C20B6" w:rsidRPr="00683A9C">
              <w:rPr>
                <w:rFonts w:ascii="仿宋" w:eastAsia="仿宋" w:hAnsi="仿宋" w:cs="仿宋" w:hint="eastAsia"/>
                <w:sz w:val="24"/>
                <w:szCs w:val="24"/>
              </w:rPr>
              <w:t>万亩）</w:t>
            </w:r>
          </w:p>
        </w:tc>
        <w:tc>
          <w:tcPr>
            <w:tcW w:w="1123" w:type="dxa"/>
            <w:vMerge/>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p>
        </w:tc>
        <w:tc>
          <w:tcPr>
            <w:tcW w:w="866" w:type="dxa"/>
            <w:vMerge/>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p>
        </w:tc>
      </w:tr>
      <w:tr w:rsidR="000C20B6" w:rsidTr="00683A9C">
        <w:tc>
          <w:tcPr>
            <w:tcW w:w="1059"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双河村</w:t>
            </w:r>
          </w:p>
        </w:tc>
        <w:tc>
          <w:tcPr>
            <w:tcW w:w="1758"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0.8557</w:t>
            </w:r>
          </w:p>
        </w:tc>
        <w:tc>
          <w:tcPr>
            <w:tcW w:w="1200"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0.65</w:t>
            </w:r>
          </w:p>
        </w:tc>
        <w:tc>
          <w:tcPr>
            <w:tcW w:w="1266"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0.1</w:t>
            </w:r>
          </w:p>
        </w:tc>
        <w:tc>
          <w:tcPr>
            <w:tcW w:w="1200"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0.01</w:t>
            </w:r>
          </w:p>
        </w:tc>
        <w:tc>
          <w:tcPr>
            <w:tcW w:w="1250"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1.6157</w:t>
            </w:r>
          </w:p>
        </w:tc>
        <w:tc>
          <w:tcPr>
            <w:tcW w:w="1123"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c>
          <w:tcPr>
            <w:tcW w:w="866"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r>
      <w:tr w:rsidR="000C20B6" w:rsidTr="00683A9C">
        <w:tc>
          <w:tcPr>
            <w:tcW w:w="1059"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邹台村</w:t>
            </w:r>
          </w:p>
        </w:tc>
        <w:tc>
          <w:tcPr>
            <w:tcW w:w="1758"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0.6817</w:t>
            </w:r>
          </w:p>
        </w:tc>
        <w:tc>
          <w:tcPr>
            <w:tcW w:w="1200"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0.35</w:t>
            </w:r>
          </w:p>
        </w:tc>
        <w:tc>
          <w:tcPr>
            <w:tcW w:w="1266"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0.1</w:t>
            </w:r>
          </w:p>
        </w:tc>
        <w:tc>
          <w:tcPr>
            <w:tcW w:w="1200"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c>
          <w:tcPr>
            <w:tcW w:w="1250"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1.1317</w:t>
            </w:r>
          </w:p>
        </w:tc>
        <w:tc>
          <w:tcPr>
            <w:tcW w:w="1123"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c>
          <w:tcPr>
            <w:tcW w:w="866"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r>
      <w:tr w:rsidR="000C20B6" w:rsidTr="00683A9C">
        <w:tc>
          <w:tcPr>
            <w:tcW w:w="1059"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王台村</w:t>
            </w:r>
          </w:p>
        </w:tc>
        <w:tc>
          <w:tcPr>
            <w:tcW w:w="1758"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0.6843</w:t>
            </w:r>
          </w:p>
        </w:tc>
        <w:tc>
          <w:tcPr>
            <w:tcW w:w="1200"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c>
          <w:tcPr>
            <w:tcW w:w="1266"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c>
          <w:tcPr>
            <w:tcW w:w="1200"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c>
          <w:tcPr>
            <w:tcW w:w="1250"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0.6843</w:t>
            </w:r>
          </w:p>
        </w:tc>
        <w:tc>
          <w:tcPr>
            <w:tcW w:w="1123"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c>
          <w:tcPr>
            <w:tcW w:w="866"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r>
      <w:tr w:rsidR="000C20B6" w:rsidTr="00683A9C">
        <w:tc>
          <w:tcPr>
            <w:tcW w:w="1059"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汪集村</w:t>
            </w:r>
          </w:p>
        </w:tc>
        <w:tc>
          <w:tcPr>
            <w:tcW w:w="1758"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0.7783</w:t>
            </w:r>
          </w:p>
        </w:tc>
        <w:tc>
          <w:tcPr>
            <w:tcW w:w="1200"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c>
          <w:tcPr>
            <w:tcW w:w="1266"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c>
          <w:tcPr>
            <w:tcW w:w="1200"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c>
          <w:tcPr>
            <w:tcW w:w="1250"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0.7783</w:t>
            </w:r>
          </w:p>
        </w:tc>
        <w:tc>
          <w:tcPr>
            <w:tcW w:w="1123"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c>
          <w:tcPr>
            <w:tcW w:w="866" w:type="dxa"/>
            <w:vAlign w:val="center"/>
          </w:tcPr>
          <w:p w:rsidR="000C20B6" w:rsidRPr="00683A9C" w:rsidRDefault="000C20B6" w:rsidP="00683A9C">
            <w:pPr>
              <w:spacing w:line="320" w:lineRule="exact"/>
              <w:ind w:firstLineChars="0" w:firstLine="0"/>
              <w:jc w:val="center"/>
              <w:rPr>
                <w:rFonts w:ascii="仿宋" w:eastAsia="仿宋" w:hAnsi="仿宋" w:cs="仿宋"/>
                <w:sz w:val="24"/>
                <w:szCs w:val="24"/>
              </w:rPr>
            </w:pPr>
          </w:p>
        </w:tc>
      </w:tr>
      <w:tr w:rsidR="000C20B6" w:rsidTr="00683A9C">
        <w:tc>
          <w:tcPr>
            <w:tcW w:w="1059" w:type="dxa"/>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合计</w:t>
            </w:r>
          </w:p>
        </w:tc>
        <w:tc>
          <w:tcPr>
            <w:tcW w:w="1758" w:type="dxa"/>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3</w:t>
            </w:r>
          </w:p>
        </w:tc>
        <w:tc>
          <w:tcPr>
            <w:tcW w:w="1200" w:type="dxa"/>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1</w:t>
            </w:r>
          </w:p>
        </w:tc>
        <w:tc>
          <w:tcPr>
            <w:tcW w:w="1266" w:type="dxa"/>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0.2</w:t>
            </w:r>
          </w:p>
        </w:tc>
        <w:tc>
          <w:tcPr>
            <w:tcW w:w="1200" w:type="dxa"/>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0.01</w:t>
            </w:r>
          </w:p>
        </w:tc>
        <w:tc>
          <w:tcPr>
            <w:tcW w:w="1250" w:type="dxa"/>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4.21</w:t>
            </w:r>
          </w:p>
        </w:tc>
        <w:tc>
          <w:tcPr>
            <w:tcW w:w="1123" w:type="dxa"/>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110</w:t>
            </w:r>
          </w:p>
        </w:tc>
        <w:tc>
          <w:tcPr>
            <w:tcW w:w="866" w:type="dxa"/>
            <w:vAlign w:val="center"/>
          </w:tcPr>
          <w:p w:rsidR="000C20B6" w:rsidRPr="00683A9C" w:rsidRDefault="000C20B6" w:rsidP="00683A9C">
            <w:pPr>
              <w:spacing w:line="280" w:lineRule="exact"/>
              <w:ind w:firstLineChars="0" w:firstLine="0"/>
              <w:jc w:val="center"/>
              <w:rPr>
                <w:rFonts w:ascii="仿宋" w:eastAsia="仿宋" w:hAnsi="仿宋" w:cs="仿宋"/>
                <w:sz w:val="24"/>
                <w:szCs w:val="24"/>
              </w:rPr>
            </w:pPr>
            <w:r w:rsidRPr="00683A9C">
              <w:rPr>
                <w:rFonts w:ascii="仿宋" w:eastAsia="仿宋" w:hAnsi="仿宋" w:cs="仿宋" w:hint="eastAsia"/>
                <w:sz w:val="24"/>
                <w:szCs w:val="24"/>
              </w:rPr>
              <w:t>含杀虫灯80台</w:t>
            </w:r>
          </w:p>
        </w:tc>
      </w:tr>
    </w:tbl>
    <w:p w:rsidR="000C20B6" w:rsidRPr="002548A8" w:rsidRDefault="000C20B6" w:rsidP="002548A8">
      <w:pPr>
        <w:spacing w:line="578" w:lineRule="exact"/>
        <w:ind w:firstLine="634"/>
        <w:rPr>
          <w:rFonts w:ascii="楷体_GB2312" w:eastAsia="楷体_GB2312"/>
          <w:b/>
        </w:rPr>
      </w:pPr>
      <w:r w:rsidRPr="002548A8">
        <w:rPr>
          <w:rFonts w:ascii="楷体_GB2312" w:eastAsia="楷体_GB2312" w:hint="eastAsia"/>
          <w:b/>
        </w:rPr>
        <w:lastRenderedPageBreak/>
        <w:t>（四）强化宣传引导</w:t>
      </w:r>
    </w:p>
    <w:p w:rsidR="000C20B6" w:rsidRDefault="000C20B6" w:rsidP="000C20B6">
      <w:pPr>
        <w:spacing w:line="520" w:lineRule="exact"/>
        <w:ind w:firstLine="632"/>
        <w:rPr>
          <w:rFonts w:ascii="仿宋" w:eastAsia="仿宋" w:hAnsi="仿宋" w:cs="仿宋"/>
        </w:rPr>
      </w:pPr>
      <w:r>
        <w:rPr>
          <w:rFonts w:ascii="仿宋" w:eastAsia="仿宋" w:hAnsi="仿宋" w:cs="仿宋" w:hint="eastAsia"/>
        </w:rPr>
        <w:t>示范片统一树立标识标牌，便于宣传展示、学习交流，在关键农时和重大活动时，邀请主流媒体开展系列宣传，营造良好舆论氛围。</w:t>
      </w:r>
    </w:p>
    <w:p w:rsidR="000C20B6" w:rsidRPr="002548A8" w:rsidRDefault="000C20B6" w:rsidP="002548A8">
      <w:pPr>
        <w:spacing w:line="578" w:lineRule="exact"/>
        <w:ind w:firstLine="634"/>
        <w:rPr>
          <w:rFonts w:ascii="楷体_GB2312" w:eastAsia="楷体_GB2312"/>
          <w:b/>
        </w:rPr>
      </w:pPr>
      <w:r w:rsidRPr="002548A8">
        <w:rPr>
          <w:rFonts w:ascii="楷体_GB2312" w:eastAsia="楷体_GB2312" w:hint="eastAsia"/>
          <w:b/>
        </w:rPr>
        <w:t>（五）工作进度安排</w:t>
      </w:r>
    </w:p>
    <w:p w:rsidR="000C20B6" w:rsidRPr="00683A9C" w:rsidRDefault="000C20B6" w:rsidP="000C20B6">
      <w:pPr>
        <w:spacing w:line="520" w:lineRule="exact"/>
        <w:ind w:firstLine="632"/>
        <w:rPr>
          <w:rFonts w:hAnsi="仿宋" w:cs="仿宋"/>
        </w:rPr>
      </w:pPr>
      <w:r w:rsidRPr="00683A9C">
        <w:rPr>
          <w:rFonts w:hAnsi="仿宋" w:cs="仿宋" w:hint="eastAsia"/>
          <w:bCs/>
        </w:rPr>
        <w:t>1.2022年4月份。</w:t>
      </w:r>
      <w:r w:rsidRPr="00683A9C">
        <w:rPr>
          <w:rFonts w:hAnsi="仿宋" w:cs="仿宋" w:hint="eastAsia"/>
        </w:rPr>
        <w:t>申报水稻绿色高质高效行动项目;</w:t>
      </w:r>
    </w:p>
    <w:p w:rsidR="000C20B6" w:rsidRPr="00683A9C" w:rsidRDefault="000C20B6" w:rsidP="000C20B6">
      <w:pPr>
        <w:spacing w:line="520" w:lineRule="exact"/>
        <w:ind w:firstLine="632"/>
        <w:rPr>
          <w:rFonts w:hAnsi="仿宋" w:cs="仿宋"/>
        </w:rPr>
      </w:pPr>
      <w:r w:rsidRPr="00683A9C">
        <w:rPr>
          <w:rFonts w:hAnsi="仿宋" w:cs="仿宋" w:hint="eastAsia"/>
          <w:bCs/>
        </w:rPr>
        <w:t>2.2022年5月份。</w:t>
      </w:r>
      <w:r w:rsidRPr="00683A9C">
        <w:rPr>
          <w:rFonts w:hAnsi="仿宋" w:cs="仿宋" w:hint="eastAsia"/>
        </w:rPr>
        <w:t>上报乡级实施方案、安排落实示范基地并开展培训，实施项目;</w:t>
      </w:r>
    </w:p>
    <w:p w:rsidR="000C20B6" w:rsidRPr="00683A9C" w:rsidRDefault="000C20B6" w:rsidP="000C20B6">
      <w:pPr>
        <w:spacing w:line="520" w:lineRule="exact"/>
        <w:ind w:firstLine="632"/>
        <w:rPr>
          <w:rFonts w:hAnsi="仿宋" w:cs="仿宋"/>
        </w:rPr>
      </w:pPr>
      <w:r w:rsidRPr="00683A9C">
        <w:rPr>
          <w:rFonts w:hAnsi="仿宋" w:cs="仿宋" w:hint="eastAsia"/>
          <w:bCs/>
        </w:rPr>
        <w:t>3.2022年6月份。</w:t>
      </w:r>
      <w:r w:rsidRPr="00683A9C">
        <w:rPr>
          <w:rFonts w:hAnsi="仿宋" w:cs="仿宋" w:hint="eastAsia"/>
        </w:rPr>
        <w:t>水稻播插，田间管理；</w:t>
      </w:r>
    </w:p>
    <w:p w:rsidR="000C20B6" w:rsidRPr="00683A9C" w:rsidRDefault="000C20B6" w:rsidP="000C20B6">
      <w:pPr>
        <w:spacing w:line="520" w:lineRule="exact"/>
        <w:ind w:firstLine="632"/>
        <w:rPr>
          <w:rFonts w:hAnsi="仿宋" w:cs="仿宋"/>
        </w:rPr>
      </w:pPr>
      <w:r w:rsidRPr="00683A9C">
        <w:rPr>
          <w:rFonts w:hAnsi="仿宋" w:cs="仿宋" w:hint="eastAsia"/>
          <w:bCs/>
        </w:rPr>
        <w:t>4.2022年7-8月份。</w:t>
      </w:r>
      <w:r w:rsidRPr="00683A9C">
        <w:rPr>
          <w:rFonts w:hAnsi="仿宋" w:cs="仿宋" w:hint="eastAsia"/>
        </w:rPr>
        <w:t>病虫害统防统治、科学施肥、水浆管理，督查指导;</w:t>
      </w:r>
    </w:p>
    <w:p w:rsidR="000C20B6" w:rsidRPr="00683A9C" w:rsidRDefault="000C20B6" w:rsidP="000C20B6">
      <w:pPr>
        <w:spacing w:line="520" w:lineRule="exact"/>
        <w:ind w:firstLine="632"/>
        <w:rPr>
          <w:rFonts w:hAnsi="仿宋" w:cs="仿宋"/>
          <w:sz w:val="28"/>
          <w:szCs w:val="28"/>
        </w:rPr>
      </w:pPr>
      <w:r w:rsidRPr="00683A9C">
        <w:rPr>
          <w:rFonts w:hAnsi="仿宋" w:cs="仿宋" w:hint="eastAsia"/>
          <w:bCs/>
        </w:rPr>
        <w:t>5.2022年9-10月份。</w:t>
      </w:r>
      <w:r w:rsidRPr="00683A9C">
        <w:rPr>
          <w:rFonts w:hAnsi="仿宋" w:cs="仿宋" w:hint="eastAsia"/>
        </w:rPr>
        <w:t>现场观学习、测产验收、工作总结、绩效考评。</w:t>
      </w:r>
    </w:p>
    <w:p w:rsidR="000C20B6" w:rsidRPr="00683A9C" w:rsidRDefault="000C20B6" w:rsidP="00683A9C">
      <w:pPr>
        <w:spacing w:line="440" w:lineRule="exact"/>
        <w:ind w:firstLineChars="0" w:firstLine="0"/>
        <w:jc w:val="center"/>
        <w:rPr>
          <w:rFonts w:ascii="方正小标宋简体" w:eastAsia="方正小标宋简体" w:hAnsi="仿宋" w:cs="仿宋"/>
          <w:bCs/>
        </w:rPr>
      </w:pPr>
      <w:r w:rsidRPr="00683A9C">
        <w:rPr>
          <w:rFonts w:ascii="方正小标宋简体" w:eastAsia="方正小标宋简体" w:hAnsi="仿宋" w:cs="仿宋" w:hint="eastAsia"/>
          <w:bCs/>
        </w:rPr>
        <w:t>城西湖乡绿色食品原料（水稻）标准化生产基地</w:t>
      </w:r>
    </w:p>
    <w:p w:rsidR="000C20B6" w:rsidRPr="00683A9C" w:rsidRDefault="000C20B6" w:rsidP="00683A9C">
      <w:pPr>
        <w:spacing w:line="440" w:lineRule="exact"/>
        <w:ind w:firstLineChars="0" w:firstLine="0"/>
        <w:jc w:val="center"/>
        <w:rPr>
          <w:rFonts w:ascii="方正小标宋简体" w:eastAsia="方正小标宋简体" w:hAnsi="仿宋" w:cs="仿宋"/>
          <w:bCs/>
        </w:rPr>
      </w:pPr>
      <w:r w:rsidRPr="00683A9C">
        <w:rPr>
          <w:rFonts w:ascii="方正小标宋简体" w:eastAsia="方正小标宋简体" w:hAnsi="仿宋" w:cs="仿宋" w:hint="eastAsia"/>
          <w:bCs/>
        </w:rPr>
        <w:t>单元负责人具体负责人</w:t>
      </w:r>
    </w:p>
    <w:tbl>
      <w:tblPr>
        <w:tblStyle w:val="aa"/>
        <w:tblW w:w="8581" w:type="dxa"/>
        <w:tblLayout w:type="fixed"/>
        <w:tblLook w:val="04A0" w:firstRow="1" w:lastRow="0" w:firstColumn="1" w:lastColumn="0" w:noHBand="0" w:noVBand="1"/>
      </w:tblPr>
      <w:tblGrid>
        <w:gridCol w:w="2381"/>
        <w:gridCol w:w="2150"/>
        <w:gridCol w:w="2150"/>
        <w:gridCol w:w="1900"/>
      </w:tblGrid>
      <w:tr w:rsidR="000C20B6" w:rsidTr="00683A9C">
        <w:trPr>
          <w:trHeight w:val="721"/>
        </w:trPr>
        <w:tc>
          <w:tcPr>
            <w:tcW w:w="2381"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基地单元名称（村）</w:t>
            </w:r>
          </w:p>
        </w:tc>
        <w:tc>
          <w:tcPr>
            <w:tcW w:w="215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负责人</w:t>
            </w:r>
          </w:p>
        </w:tc>
        <w:tc>
          <w:tcPr>
            <w:tcW w:w="215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具体负责人</w:t>
            </w:r>
          </w:p>
        </w:tc>
        <w:tc>
          <w:tcPr>
            <w:tcW w:w="190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基地村民组</w:t>
            </w:r>
          </w:p>
        </w:tc>
      </w:tr>
      <w:tr w:rsidR="000C20B6" w:rsidTr="00683A9C">
        <w:tc>
          <w:tcPr>
            <w:tcW w:w="2381"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双河村</w:t>
            </w:r>
          </w:p>
        </w:tc>
        <w:tc>
          <w:tcPr>
            <w:tcW w:w="215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康炳龙13856480977</w:t>
            </w:r>
          </w:p>
        </w:tc>
        <w:tc>
          <w:tcPr>
            <w:tcW w:w="215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王苗苗13733005569</w:t>
            </w:r>
          </w:p>
        </w:tc>
        <w:tc>
          <w:tcPr>
            <w:tcW w:w="190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21</w:t>
            </w:r>
          </w:p>
        </w:tc>
      </w:tr>
      <w:tr w:rsidR="000C20B6" w:rsidTr="00683A9C">
        <w:tc>
          <w:tcPr>
            <w:tcW w:w="2381"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邹台村</w:t>
            </w:r>
          </w:p>
        </w:tc>
        <w:tc>
          <w:tcPr>
            <w:tcW w:w="215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康炳龙13856480977</w:t>
            </w:r>
          </w:p>
        </w:tc>
        <w:tc>
          <w:tcPr>
            <w:tcW w:w="215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王友宝15855944189</w:t>
            </w:r>
          </w:p>
        </w:tc>
        <w:tc>
          <w:tcPr>
            <w:tcW w:w="190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13</w:t>
            </w:r>
          </w:p>
        </w:tc>
      </w:tr>
      <w:tr w:rsidR="000C20B6" w:rsidTr="00683A9C">
        <w:tc>
          <w:tcPr>
            <w:tcW w:w="2381"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王台村</w:t>
            </w:r>
          </w:p>
        </w:tc>
        <w:tc>
          <w:tcPr>
            <w:tcW w:w="215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王琼15855228758</w:t>
            </w:r>
          </w:p>
        </w:tc>
        <w:tc>
          <w:tcPr>
            <w:tcW w:w="215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张家录15855276789</w:t>
            </w:r>
          </w:p>
        </w:tc>
        <w:tc>
          <w:tcPr>
            <w:tcW w:w="190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18</w:t>
            </w:r>
          </w:p>
        </w:tc>
      </w:tr>
      <w:tr w:rsidR="000C20B6" w:rsidTr="00683A9C">
        <w:tc>
          <w:tcPr>
            <w:tcW w:w="2381"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汪集村</w:t>
            </w:r>
          </w:p>
        </w:tc>
        <w:tc>
          <w:tcPr>
            <w:tcW w:w="215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吴建15855213062</w:t>
            </w:r>
          </w:p>
        </w:tc>
        <w:tc>
          <w:tcPr>
            <w:tcW w:w="215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李怀俊15955036236</w:t>
            </w:r>
          </w:p>
        </w:tc>
        <w:tc>
          <w:tcPr>
            <w:tcW w:w="1900" w:type="dxa"/>
            <w:vAlign w:val="center"/>
          </w:tcPr>
          <w:p w:rsidR="000C20B6" w:rsidRPr="00683A9C" w:rsidRDefault="000C20B6" w:rsidP="00683A9C">
            <w:pPr>
              <w:spacing w:line="340" w:lineRule="exact"/>
              <w:ind w:firstLineChars="0" w:firstLine="0"/>
              <w:jc w:val="center"/>
              <w:rPr>
                <w:rFonts w:ascii="仿宋_GB2312" w:eastAsia="仿宋_GB2312" w:hAnsi="仿宋" w:cs="仿宋"/>
                <w:sz w:val="24"/>
                <w:szCs w:val="24"/>
              </w:rPr>
            </w:pPr>
            <w:r w:rsidRPr="00683A9C">
              <w:rPr>
                <w:rFonts w:ascii="仿宋_GB2312" w:eastAsia="仿宋_GB2312" w:hAnsi="仿宋" w:cs="仿宋" w:hint="eastAsia"/>
                <w:sz w:val="24"/>
                <w:szCs w:val="24"/>
              </w:rPr>
              <w:t>18</w:t>
            </w:r>
          </w:p>
        </w:tc>
      </w:tr>
    </w:tbl>
    <w:p w:rsidR="000C20B6" w:rsidRDefault="000C20B6" w:rsidP="000C20B6">
      <w:pPr>
        <w:spacing w:line="520" w:lineRule="exact"/>
        <w:ind w:firstLine="712"/>
        <w:jc w:val="center"/>
        <w:rPr>
          <w:rFonts w:ascii="仿宋" w:eastAsia="仿宋" w:hAnsi="仿宋" w:cs="仿宋"/>
          <w:sz w:val="36"/>
          <w:szCs w:val="36"/>
        </w:rPr>
      </w:pPr>
    </w:p>
    <w:p w:rsidR="00784221" w:rsidRDefault="00784221" w:rsidP="00610258">
      <w:pPr>
        <w:spacing w:line="578" w:lineRule="exact"/>
        <w:ind w:firstLineChars="0" w:firstLine="0"/>
      </w:pPr>
    </w:p>
    <w:p w:rsidR="00E154CD" w:rsidRDefault="00E154CD" w:rsidP="00610258">
      <w:pPr>
        <w:spacing w:line="578" w:lineRule="exact"/>
        <w:ind w:firstLineChars="0" w:firstLine="0"/>
      </w:pPr>
    </w:p>
    <w:p w:rsidR="00E154CD" w:rsidRDefault="00E154CD" w:rsidP="00610258">
      <w:pPr>
        <w:spacing w:line="578" w:lineRule="exact"/>
        <w:ind w:firstLineChars="0" w:firstLine="0"/>
      </w:pPr>
    </w:p>
    <w:p w:rsidR="00E154CD" w:rsidRDefault="00E154CD" w:rsidP="00610258">
      <w:pPr>
        <w:spacing w:line="578" w:lineRule="exact"/>
        <w:ind w:firstLineChars="0" w:firstLine="0"/>
      </w:pPr>
    </w:p>
    <w:p w:rsidR="00E154CD" w:rsidRDefault="00E154CD" w:rsidP="00610258">
      <w:pPr>
        <w:spacing w:line="578" w:lineRule="exact"/>
        <w:ind w:firstLineChars="0" w:firstLine="0"/>
      </w:pPr>
    </w:p>
    <w:p w:rsidR="00E154CD" w:rsidRDefault="00E154CD" w:rsidP="00610258">
      <w:pPr>
        <w:spacing w:line="578" w:lineRule="exact"/>
        <w:ind w:firstLineChars="0" w:firstLine="0"/>
      </w:pPr>
    </w:p>
    <w:p w:rsidR="00E154CD" w:rsidRDefault="00E154CD" w:rsidP="00610258">
      <w:pPr>
        <w:spacing w:line="578" w:lineRule="exact"/>
        <w:ind w:firstLineChars="0" w:firstLine="0"/>
      </w:pPr>
    </w:p>
    <w:p w:rsidR="00E154CD" w:rsidRDefault="00E154CD" w:rsidP="00610258">
      <w:pPr>
        <w:spacing w:line="578" w:lineRule="exact"/>
        <w:ind w:firstLineChars="0" w:firstLine="0"/>
      </w:pPr>
    </w:p>
    <w:p w:rsidR="00E154CD" w:rsidRDefault="00E154CD" w:rsidP="00610258">
      <w:pPr>
        <w:spacing w:line="578" w:lineRule="exact"/>
        <w:ind w:firstLineChars="0" w:firstLine="0"/>
      </w:pPr>
    </w:p>
    <w:p w:rsidR="00E154CD" w:rsidRDefault="00E154CD" w:rsidP="00610258">
      <w:pPr>
        <w:spacing w:line="578" w:lineRule="exact"/>
        <w:ind w:firstLineChars="0" w:firstLine="0"/>
      </w:pPr>
    </w:p>
    <w:p w:rsidR="00E154CD" w:rsidRDefault="00E154CD" w:rsidP="00610258">
      <w:pPr>
        <w:spacing w:line="578" w:lineRule="exact"/>
        <w:ind w:firstLineChars="0" w:firstLine="0"/>
      </w:pPr>
    </w:p>
    <w:p w:rsidR="00E154CD" w:rsidRDefault="00E154CD" w:rsidP="00610258">
      <w:pPr>
        <w:spacing w:line="578" w:lineRule="exact"/>
        <w:ind w:firstLineChars="0" w:firstLine="0"/>
      </w:pPr>
    </w:p>
    <w:p w:rsidR="00DF6771" w:rsidRDefault="00DF6771" w:rsidP="00610258">
      <w:pPr>
        <w:spacing w:line="578" w:lineRule="exact"/>
        <w:ind w:firstLineChars="0" w:firstLine="0"/>
      </w:pPr>
    </w:p>
    <w:p w:rsidR="00DF6771" w:rsidRDefault="00DF6771" w:rsidP="00610258">
      <w:pPr>
        <w:spacing w:line="578" w:lineRule="exact"/>
        <w:ind w:firstLineChars="0" w:firstLine="0"/>
      </w:pPr>
    </w:p>
    <w:p w:rsidR="00DF6771" w:rsidRDefault="00DF6771" w:rsidP="00610258">
      <w:pPr>
        <w:spacing w:line="578" w:lineRule="exact"/>
        <w:ind w:firstLineChars="0" w:firstLine="0"/>
      </w:pPr>
    </w:p>
    <w:p w:rsidR="00683A9C" w:rsidRDefault="00683A9C" w:rsidP="00610258">
      <w:pPr>
        <w:spacing w:line="578" w:lineRule="exact"/>
        <w:ind w:firstLineChars="0" w:firstLine="0"/>
      </w:pPr>
    </w:p>
    <w:p w:rsidR="00683A9C" w:rsidRDefault="00683A9C" w:rsidP="00610258">
      <w:pPr>
        <w:spacing w:line="578" w:lineRule="exact"/>
        <w:ind w:firstLineChars="0" w:firstLine="0"/>
      </w:pPr>
    </w:p>
    <w:p w:rsidR="00683A9C" w:rsidRDefault="00683A9C" w:rsidP="00610258">
      <w:pPr>
        <w:spacing w:line="578" w:lineRule="exact"/>
        <w:ind w:firstLineChars="0" w:firstLine="0"/>
      </w:pPr>
    </w:p>
    <w:p w:rsidR="00DF6771" w:rsidRDefault="00DF6771" w:rsidP="00610258">
      <w:pPr>
        <w:spacing w:line="578" w:lineRule="exact"/>
        <w:ind w:firstLineChars="0" w:firstLine="0"/>
      </w:pPr>
    </w:p>
    <w:p w:rsidR="001025D0" w:rsidRPr="001025D0" w:rsidRDefault="001025D0" w:rsidP="00610258">
      <w:pPr>
        <w:spacing w:line="578" w:lineRule="exact"/>
        <w:ind w:firstLineChars="0" w:firstLine="0"/>
      </w:pPr>
    </w:p>
    <w:p w:rsidR="000D63EC" w:rsidRDefault="000D63EC" w:rsidP="00610258">
      <w:pPr>
        <w:spacing w:line="578" w:lineRule="exact"/>
        <w:ind w:firstLineChars="0" w:firstLine="0"/>
      </w:pPr>
    </w:p>
    <w:p w:rsidR="002B1C44" w:rsidRDefault="002B1C44" w:rsidP="00610258">
      <w:pPr>
        <w:spacing w:line="578" w:lineRule="exact"/>
        <w:ind w:firstLineChars="0" w:firstLine="0"/>
      </w:pPr>
    </w:p>
    <w:p w:rsidR="002B1C44" w:rsidRPr="002B1C44" w:rsidRDefault="00D569F6" w:rsidP="00610258">
      <w:pPr>
        <w:spacing w:line="578" w:lineRule="exact"/>
        <w:ind w:leftChars="100" w:left="316" w:rightChars="100" w:right="316" w:firstLineChars="0" w:firstLine="0"/>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1CBC2711" wp14:editId="79337729">
                <wp:simplePos x="0" y="0"/>
                <wp:positionH relativeFrom="column">
                  <wp:posOffset>1270</wp:posOffset>
                </wp:positionH>
                <wp:positionV relativeFrom="paragraph">
                  <wp:posOffset>401850</wp:posOffset>
                </wp:positionV>
                <wp:extent cx="561975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5619750" cy="0"/>
                        </a:xfrm>
                        <a:prstGeom prst="line">
                          <a:avLst/>
                        </a:prstGeom>
                        <a:ln w="1397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65E90"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pt,31.65pt" to="442.6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" strokecolor="black [3213]" strokeweight="1.1pt"/>
            </w:pict>
          </mc:Fallback>
        </mc:AlternateContent>
      </w:r>
      <w:r w:rsidR="00683A9C">
        <w:rPr>
          <w:rFonts w:hint="eastAsia"/>
          <w:noProof/>
          <w:sz w:val="28"/>
          <w:szCs w:val="28"/>
        </w:rPr>
        <mc:AlternateContent>
          <mc:Choice Requires="wps">
            <w:drawing>
              <wp:anchor distT="0" distB="0" distL="114300" distR="114300" simplePos="0" relativeHeight="251661312" behindDoc="0" locked="0" layoutInCell="1" allowOverlap="1" wp14:anchorId="57FBADAF" wp14:editId="6D42EF2F">
                <wp:simplePos x="0" y="0"/>
                <wp:positionH relativeFrom="column">
                  <wp:posOffset>1270</wp:posOffset>
                </wp:positionH>
                <wp:positionV relativeFrom="paragraph">
                  <wp:posOffset>31738</wp:posOffset>
                </wp:positionV>
                <wp:extent cx="561975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5619750" cy="0"/>
                        </a:xfrm>
                        <a:prstGeom prst="line">
                          <a:avLst/>
                        </a:prstGeom>
                        <a:ln w="1397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BAC78"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pt,2.5pt" to="44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" strokecolor="black [3213]" strokeweight="1.1pt"/>
            </w:pict>
          </mc:Fallback>
        </mc:AlternateContent>
      </w:r>
      <w:r w:rsidR="002B1C44">
        <w:rPr>
          <w:rFonts w:hint="eastAsia"/>
          <w:sz w:val="28"/>
          <w:szCs w:val="28"/>
        </w:rPr>
        <w:t xml:space="preserve">城西湖乡党委政府办公室    </w:t>
      </w:r>
      <w:r w:rsidR="00961285">
        <w:rPr>
          <w:sz w:val="28"/>
          <w:szCs w:val="28"/>
        </w:rPr>
        <w:t xml:space="preserve">  </w:t>
      </w:r>
      <w:r w:rsidR="005F42F0">
        <w:rPr>
          <w:rFonts w:hint="eastAsia"/>
          <w:sz w:val="28"/>
          <w:szCs w:val="28"/>
        </w:rPr>
        <w:t xml:space="preserve"> </w:t>
      </w:r>
      <w:r>
        <w:rPr>
          <w:sz w:val="28"/>
          <w:szCs w:val="28"/>
        </w:rPr>
        <w:t xml:space="preserve"> </w:t>
      </w:r>
      <w:r w:rsidR="005F42F0">
        <w:rPr>
          <w:rFonts w:hint="eastAsia"/>
          <w:sz w:val="28"/>
          <w:szCs w:val="28"/>
        </w:rPr>
        <w:t xml:space="preserve">  </w:t>
      </w:r>
      <w:r w:rsidR="00DF6771">
        <w:rPr>
          <w:sz w:val="28"/>
          <w:szCs w:val="28"/>
        </w:rPr>
        <w:t xml:space="preserve"> </w:t>
      </w:r>
      <w:r w:rsidR="005F42F0">
        <w:rPr>
          <w:rFonts w:hint="eastAsia"/>
          <w:sz w:val="28"/>
          <w:szCs w:val="28"/>
        </w:rPr>
        <w:t xml:space="preserve">     </w:t>
      </w:r>
      <w:r w:rsidR="002B1C44">
        <w:rPr>
          <w:rFonts w:hint="eastAsia"/>
          <w:sz w:val="28"/>
          <w:szCs w:val="28"/>
        </w:rPr>
        <w:t xml:space="preserve"> </w:t>
      </w:r>
      <w:r w:rsidR="002B1C44" w:rsidRPr="00D54E75">
        <w:rPr>
          <w:rFonts w:hint="eastAsia"/>
          <w:sz w:val="28"/>
          <w:szCs w:val="28"/>
        </w:rPr>
        <w:t xml:space="preserve"> </w:t>
      </w:r>
      <w:r w:rsidR="003F2E09">
        <w:rPr>
          <w:rFonts w:hint="eastAsia"/>
          <w:sz w:val="28"/>
          <w:szCs w:val="28"/>
        </w:rPr>
        <w:t>202</w:t>
      </w:r>
      <w:r w:rsidR="003F2E09">
        <w:rPr>
          <w:sz w:val="28"/>
          <w:szCs w:val="28"/>
        </w:rPr>
        <w:t>2</w:t>
      </w:r>
      <w:r w:rsidR="002B1C44">
        <w:rPr>
          <w:rFonts w:hint="eastAsia"/>
          <w:sz w:val="28"/>
          <w:szCs w:val="28"/>
        </w:rPr>
        <w:t>年</w:t>
      </w:r>
      <w:r w:rsidR="00683A9C">
        <w:rPr>
          <w:rFonts w:hint="eastAsia"/>
          <w:sz w:val="28"/>
          <w:szCs w:val="28"/>
        </w:rPr>
        <w:t>6</w:t>
      </w:r>
      <w:r w:rsidR="002B1C44">
        <w:rPr>
          <w:rFonts w:hint="eastAsia"/>
          <w:sz w:val="28"/>
          <w:szCs w:val="28"/>
        </w:rPr>
        <w:t>月</w:t>
      </w:r>
      <w:r w:rsidR="00683A9C">
        <w:rPr>
          <w:rFonts w:hint="eastAsia"/>
          <w:sz w:val="28"/>
          <w:szCs w:val="28"/>
        </w:rPr>
        <w:t>2</w:t>
      </w:r>
      <w:r w:rsidR="00683A9C">
        <w:rPr>
          <w:sz w:val="28"/>
          <w:szCs w:val="28"/>
        </w:rPr>
        <w:t>7</w:t>
      </w:r>
      <w:r w:rsidR="002B1C44">
        <w:rPr>
          <w:rFonts w:hint="eastAsia"/>
          <w:sz w:val="28"/>
          <w:szCs w:val="28"/>
        </w:rPr>
        <w:t>日印发</w:t>
      </w:r>
    </w:p>
    <w:sectPr w:rsidR="002B1C44" w:rsidRPr="002B1C44" w:rsidSect="0079791B">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1304" w:gutter="0"/>
      <w:pgNumType w:fmt="decimalFullWidt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003" w:rsidRDefault="00967003" w:rsidP="00F107C5">
      <w:pPr>
        <w:ind w:firstLine="640"/>
      </w:pPr>
      <w:r>
        <w:separator/>
      </w:r>
    </w:p>
  </w:endnote>
  <w:endnote w:type="continuationSeparator" w:id="0">
    <w:p w:rsidR="00967003" w:rsidRDefault="00967003" w:rsidP="00F107C5">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3D" w:rsidRPr="00011D67" w:rsidRDefault="008A427A" w:rsidP="0079791B">
    <w:pPr>
      <w:pStyle w:val="a7"/>
      <w:ind w:rightChars="100" w:right="320" w:firstLineChars="150" w:firstLine="270"/>
      <w:rPr>
        <w:rFonts w:ascii="Times New Roman" w:hAnsi="Times New Roman" w:cs="Times New Roman"/>
        <w:sz w:val="28"/>
        <w:szCs w:val="28"/>
      </w:rPr>
    </w:pPr>
    <w:sdt>
      <w:sdtPr>
        <w:id w:val="1153648769"/>
        <w:docPartObj>
          <w:docPartGallery w:val="Page Numbers (Bottom of Page)"/>
          <w:docPartUnique/>
        </w:docPartObj>
      </w:sdtPr>
      <w:sdtEndPr>
        <w:rPr>
          <w:rFonts w:ascii="Times New Roman" w:hAnsi="Times New Roman" w:cs="Times New Roman"/>
          <w:sz w:val="28"/>
          <w:szCs w:val="28"/>
        </w:rPr>
      </w:sdtEndPr>
      <w:sdtContent>
        <w:r w:rsidR="004F723D" w:rsidRPr="00011D67">
          <w:rPr>
            <w:rFonts w:ascii="Times New Roman" w:hAnsi="Times New Roman" w:cs="Times New Roman"/>
            <w:sz w:val="28"/>
            <w:szCs w:val="28"/>
          </w:rPr>
          <w:t>—</w:t>
        </w:r>
        <w:r w:rsidR="004F723D" w:rsidRPr="00011D67">
          <w:rPr>
            <w:rFonts w:ascii="Times New Roman" w:hAnsi="Times New Roman" w:cs="Times New Roman"/>
            <w:sz w:val="28"/>
            <w:szCs w:val="28"/>
          </w:rPr>
          <w:fldChar w:fldCharType="begin"/>
        </w:r>
        <w:r w:rsidR="004F723D" w:rsidRPr="00011D67">
          <w:rPr>
            <w:rFonts w:ascii="Times New Roman" w:hAnsi="Times New Roman" w:cs="Times New Roman"/>
            <w:sz w:val="28"/>
            <w:szCs w:val="28"/>
          </w:rPr>
          <w:instrText>PAGE   \* MERGEFORMAT</w:instrText>
        </w:r>
        <w:r w:rsidR="004F723D" w:rsidRPr="00011D67">
          <w:rPr>
            <w:rFonts w:ascii="Times New Roman" w:hAnsi="Times New Roman" w:cs="Times New Roman"/>
            <w:sz w:val="28"/>
            <w:szCs w:val="28"/>
          </w:rPr>
          <w:fldChar w:fldCharType="separate"/>
        </w:r>
        <w:r w:rsidRPr="008A427A">
          <w:rPr>
            <w:rFonts w:ascii="Times New Roman" w:hAnsi="Times New Roman" w:cs="Times New Roman" w:hint="eastAsia"/>
            <w:noProof/>
            <w:sz w:val="28"/>
            <w:szCs w:val="28"/>
            <w:lang w:val="zh-CN"/>
          </w:rPr>
          <w:t>１２</w:t>
        </w:r>
        <w:r w:rsidR="004F723D" w:rsidRPr="00011D67">
          <w:rPr>
            <w:rFonts w:ascii="Times New Roman" w:hAnsi="Times New Roman" w:cs="Times New Roman"/>
            <w:sz w:val="28"/>
            <w:szCs w:val="28"/>
          </w:rPr>
          <w:fldChar w:fldCharType="end"/>
        </w:r>
        <w:r w:rsidR="004F723D" w:rsidRPr="00011D67">
          <w:rPr>
            <w:rFonts w:ascii="Times New Roman" w:hAnsi="Times New Roman" w:cs="Times New Roman"/>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1B" w:rsidRPr="00011D67" w:rsidRDefault="008A427A" w:rsidP="0079791B">
    <w:pPr>
      <w:pStyle w:val="a7"/>
      <w:ind w:rightChars="100" w:right="320" w:firstLineChars="150" w:firstLine="270"/>
      <w:jc w:val="right"/>
      <w:rPr>
        <w:rFonts w:ascii="Times New Roman" w:hAnsi="Times New Roman" w:cs="Times New Roman"/>
        <w:sz w:val="28"/>
        <w:szCs w:val="28"/>
      </w:rPr>
    </w:pPr>
    <w:sdt>
      <w:sdtPr>
        <w:rPr>
          <w:rFonts w:ascii="Times New Roman" w:hAnsi="Times New Roman" w:cs="Times New Roman"/>
        </w:rPr>
        <w:id w:val="-360282203"/>
        <w:docPartObj>
          <w:docPartGallery w:val="Page Numbers (Bottom of Page)"/>
          <w:docPartUnique/>
        </w:docPartObj>
      </w:sdtPr>
      <w:sdtEndPr>
        <w:rPr>
          <w:sz w:val="28"/>
          <w:szCs w:val="28"/>
        </w:rPr>
      </w:sdtEndPr>
      <w:sdtContent>
        <w:r w:rsidR="0079791B" w:rsidRPr="00011D67">
          <w:rPr>
            <w:rFonts w:ascii="Times New Roman" w:hAnsi="Times New Roman" w:cs="Times New Roman"/>
            <w:sz w:val="28"/>
            <w:szCs w:val="28"/>
          </w:rPr>
          <w:t>—</w:t>
        </w:r>
        <w:r w:rsidR="0079791B" w:rsidRPr="00011D67">
          <w:rPr>
            <w:rFonts w:ascii="Times New Roman" w:hAnsi="Times New Roman" w:cs="Times New Roman"/>
            <w:sz w:val="28"/>
            <w:szCs w:val="28"/>
          </w:rPr>
          <w:fldChar w:fldCharType="begin"/>
        </w:r>
        <w:r w:rsidR="0079791B" w:rsidRPr="00011D67">
          <w:rPr>
            <w:rFonts w:ascii="Times New Roman" w:hAnsi="Times New Roman" w:cs="Times New Roman"/>
            <w:sz w:val="28"/>
            <w:szCs w:val="28"/>
          </w:rPr>
          <w:instrText>PAGE   \* MERGEFORMAT</w:instrText>
        </w:r>
        <w:r w:rsidR="0079791B" w:rsidRPr="00011D67">
          <w:rPr>
            <w:rFonts w:ascii="Times New Roman" w:hAnsi="Times New Roman" w:cs="Times New Roman"/>
            <w:sz w:val="28"/>
            <w:szCs w:val="28"/>
          </w:rPr>
          <w:fldChar w:fldCharType="separate"/>
        </w:r>
        <w:r w:rsidRPr="008A427A">
          <w:rPr>
            <w:rFonts w:ascii="Times New Roman" w:hAnsi="Times New Roman" w:cs="Times New Roman" w:hint="eastAsia"/>
            <w:noProof/>
            <w:sz w:val="28"/>
            <w:szCs w:val="28"/>
            <w:lang w:val="zh-CN"/>
          </w:rPr>
          <w:t>１</w:t>
        </w:r>
        <w:r w:rsidR="0079791B" w:rsidRPr="00011D67">
          <w:rPr>
            <w:rFonts w:ascii="Times New Roman" w:hAnsi="Times New Roman" w:cs="Times New Roman"/>
            <w:sz w:val="28"/>
            <w:szCs w:val="28"/>
          </w:rPr>
          <w:fldChar w:fldCharType="end"/>
        </w:r>
        <w:r w:rsidR="0079791B" w:rsidRPr="00011D67">
          <w:rPr>
            <w:rFonts w:ascii="Times New Roman" w:hAnsi="Times New Roman" w:cs="Times New Roman"/>
            <w:sz w:val="28"/>
            <w:szCs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1B" w:rsidRDefault="0079791B">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003" w:rsidRDefault="00967003" w:rsidP="00F107C5">
      <w:pPr>
        <w:ind w:firstLine="640"/>
      </w:pPr>
      <w:r>
        <w:separator/>
      </w:r>
    </w:p>
  </w:footnote>
  <w:footnote w:type="continuationSeparator" w:id="0">
    <w:p w:rsidR="00967003" w:rsidRDefault="00967003" w:rsidP="00F107C5">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1B" w:rsidRDefault="0079791B" w:rsidP="0079791B">
    <w:pPr>
      <w:pStyle w:val="a6"/>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1B" w:rsidRDefault="0079791B" w:rsidP="006428E9">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91B" w:rsidRDefault="0079791B">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B22159"/>
    <w:multiLevelType w:val="singleLevel"/>
    <w:tmpl w:val="8EB22159"/>
    <w:lvl w:ilvl="0">
      <w:start w:val="4"/>
      <w:numFmt w:val="chineseCounting"/>
      <w:suff w:val="nothing"/>
      <w:lvlText w:val="%1、"/>
      <w:lvlJc w:val="left"/>
      <w:rPr>
        <w:rFonts w:hint="eastAsia"/>
      </w:rPr>
    </w:lvl>
  </w:abstractNum>
  <w:abstractNum w:abstractNumId="1" w15:restartNumberingAfterBreak="0">
    <w:nsid w:val="9F739C08"/>
    <w:multiLevelType w:val="singleLevel"/>
    <w:tmpl w:val="9F739C08"/>
    <w:lvl w:ilvl="0">
      <w:start w:val="3"/>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mirrorMargins/>
  <w:bordersDoNotSurroundHeader/>
  <w:bordersDoNotSurroundFooter/>
  <w:attachedTemplate r:id="rId1"/>
  <w:defaultTabStop w:val="420"/>
  <w:evenAndOddHeaders/>
  <w:drawingGridHorizontalSpacing w:val="158"/>
  <w:drawingGridVerticalSpacing w:val="579"/>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58"/>
    <w:rsid w:val="00011D67"/>
    <w:rsid w:val="0001213A"/>
    <w:rsid w:val="000347AE"/>
    <w:rsid w:val="00086799"/>
    <w:rsid w:val="000A7FB5"/>
    <w:rsid w:val="000C11F6"/>
    <w:rsid w:val="000C20B6"/>
    <w:rsid w:val="000D63EC"/>
    <w:rsid w:val="000D7DD2"/>
    <w:rsid w:val="000E3F07"/>
    <w:rsid w:val="000E42F9"/>
    <w:rsid w:val="00101F7B"/>
    <w:rsid w:val="001025D0"/>
    <w:rsid w:val="001371D0"/>
    <w:rsid w:val="00141687"/>
    <w:rsid w:val="001E46C8"/>
    <w:rsid w:val="001F2B08"/>
    <w:rsid w:val="001F30B5"/>
    <w:rsid w:val="0020621A"/>
    <w:rsid w:val="002335FE"/>
    <w:rsid w:val="00243D49"/>
    <w:rsid w:val="002514C1"/>
    <w:rsid w:val="002548A8"/>
    <w:rsid w:val="0028715A"/>
    <w:rsid w:val="00293315"/>
    <w:rsid w:val="002A2864"/>
    <w:rsid w:val="002B08D9"/>
    <w:rsid w:val="002B1C44"/>
    <w:rsid w:val="002D46E0"/>
    <w:rsid w:val="00326000"/>
    <w:rsid w:val="00361D94"/>
    <w:rsid w:val="003735B0"/>
    <w:rsid w:val="00391026"/>
    <w:rsid w:val="00396D48"/>
    <w:rsid w:val="003B7B80"/>
    <w:rsid w:val="003D5BB8"/>
    <w:rsid w:val="003E386A"/>
    <w:rsid w:val="003F2E09"/>
    <w:rsid w:val="003F3A5D"/>
    <w:rsid w:val="003F3AD9"/>
    <w:rsid w:val="00441027"/>
    <w:rsid w:val="00454314"/>
    <w:rsid w:val="00456E85"/>
    <w:rsid w:val="0048581F"/>
    <w:rsid w:val="00495658"/>
    <w:rsid w:val="00497BAA"/>
    <w:rsid w:val="004C68D2"/>
    <w:rsid w:val="004E46B6"/>
    <w:rsid w:val="004F104C"/>
    <w:rsid w:val="004F23C1"/>
    <w:rsid w:val="004F723D"/>
    <w:rsid w:val="00526E6E"/>
    <w:rsid w:val="005516C0"/>
    <w:rsid w:val="00581B8D"/>
    <w:rsid w:val="0059741F"/>
    <w:rsid w:val="005A4D4A"/>
    <w:rsid w:val="005C46D6"/>
    <w:rsid w:val="005D0699"/>
    <w:rsid w:val="005F42F0"/>
    <w:rsid w:val="00610258"/>
    <w:rsid w:val="006156A0"/>
    <w:rsid w:val="00640160"/>
    <w:rsid w:val="006428E9"/>
    <w:rsid w:val="00651FD4"/>
    <w:rsid w:val="006521EF"/>
    <w:rsid w:val="00683A9C"/>
    <w:rsid w:val="00684FF3"/>
    <w:rsid w:val="006A10BB"/>
    <w:rsid w:val="006C2EAD"/>
    <w:rsid w:val="006E3A78"/>
    <w:rsid w:val="006F0B82"/>
    <w:rsid w:val="00711503"/>
    <w:rsid w:val="00733F2E"/>
    <w:rsid w:val="007614BA"/>
    <w:rsid w:val="00784221"/>
    <w:rsid w:val="007901B9"/>
    <w:rsid w:val="00791678"/>
    <w:rsid w:val="00793277"/>
    <w:rsid w:val="0079791B"/>
    <w:rsid w:val="007A607C"/>
    <w:rsid w:val="007A7196"/>
    <w:rsid w:val="007D2CDC"/>
    <w:rsid w:val="007D7D57"/>
    <w:rsid w:val="00801BA1"/>
    <w:rsid w:val="00805262"/>
    <w:rsid w:val="00805A6F"/>
    <w:rsid w:val="0081752F"/>
    <w:rsid w:val="00840707"/>
    <w:rsid w:val="00845E2E"/>
    <w:rsid w:val="00895339"/>
    <w:rsid w:val="008A427A"/>
    <w:rsid w:val="008A5968"/>
    <w:rsid w:val="008D30C4"/>
    <w:rsid w:val="008F3D94"/>
    <w:rsid w:val="008F7D73"/>
    <w:rsid w:val="009001EB"/>
    <w:rsid w:val="00906CF1"/>
    <w:rsid w:val="009376A5"/>
    <w:rsid w:val="00961285"/>
    <w:rsid w:val="00965E05"/>
    <w:rsid w:val="00967003"/>
    <w:rsid w:val="0098136D"/>
    <w:rsid w:val="00987A6A"/>
    <w:rsid w:val="009A40A8"/>
    <w:rsid w:val="009B0A19"/>
    <w:rsid w:val="009F04A4"/>
    <w:rsid w:val="00A157A2"/>
    <w:rsid w:val="00A378A6"/>
    <w:rsid w:val="00A5180D"/>
    <w:rsid w:val="00A54972"/>
    <w:rsid w:val="00A721DE"/>
    <w:rsid w:val="00A84F33"/>
    <w:rsid w:val="00A93524"/>
    <w:rsid w:val="00AA7DF6"/>
    <w:rsid w:val="00AB026C"/>
    <w:rsid w:val="00AD79E9"/>
    <w:rsid w:val="00AE6119"/>
    <w:rsid w:val="00B32CEA"/>
    <w:rsid w:val="00B35129"/>
    <w:rsid w:val="00B42BA5"/>
    <w:rsid w:val="00B513D2"/>
    <w:rsid w:val="00B56E59"/>
    <w:rsid w:val="00B62F7F"/>
    <w:rsid w:val="00B82530"/>
    <w:rsid w:val="00B9553B"/>
    <w:rsid w:val="00BC10B8"/>
    <w:rsid w:val="00BE0245"/>
    <w:rsid w:val="00BF1A84"/>
    <w:rsid w:val="00C06F00"/>
    <w:rsid w:val="00C219A5"/>
    <w:rsid w:val="00C32704"/>
    <w:rsid w:val="00C451B7"/>
    <w:rsid w:val="00C47E1E"/>
    <w:rsid w:val="00CA41AA"/>
    <w:rsid w:val="00CA4B7A"/>
    <w:rsid w:val="00CD3ED4"/>
    <w:rsid w:val="00CF7224"/>
    <w:rsid w:val="00D35405"/>
    <w:rsid w:val="00D54E75"/>
    <w:rsid w:val="00D569F6"/>
    <w:rsid w:val="00D603E3"/>
    <w:rsid w:val="00D65558"/>
    <w:rsid w:val="00D66A9F"/>
    <w:rsid w:val="00D77129"/>
    <w:rsid w:val="00D8148C"/>
    <w:rsid w:val="00D9480B"/>
    <w:rsid w:val="00DA1F16"/>
    <w:rsid w:val="00DB1DC5"/>
    <w:rsid w:val="00DE3C33"/>
    <w:rsid w:val="00DF6771"/>
    <w:rsid w:val="00DF6C58"/>
    <w:rsid w:val="00E0795B"/>
    <w:rsid w:val="00E154CD"/>
    <w:rsid w:val="00E25A85"/>
    <w:rsid w:val="00E31F13"/>
    <w:rsid w:val="00E32816"/>
    <w:rsid w:val="00E34FAA"/>
    <w:rsid w:val="00E86269"/>
    <w:rsid w:val="00EA0B9F"/>
    <w:rsid w:val="00EB142E"/>
    <w:rsid w:val="00ED1438"/>
    <w:rsid w:val="00ED4F72"/>
    <w:rsid w:val="00ED5A5D"/>
    <w:rsid w:val="00EF5DA7"/>
    <w:rsid w:val="00F04BEC"/>
    <w:rsid w:val="00F107C5"/>
    <w:rsid w:val="00F14311"/>
    <w:rsid w:val="00F2027E"/>
    <w:rsid w:val="00F51807"/>
    <w:rsid w:val="00F84D41"/>
    <w:rsid w:val="00FA6110"/>
    <w:rsid w:val="00FB19D3"/>
    <w:rsid w:val="00FD5494"/>
    <w:rsid w:val="00FD6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5EE583-9B72-439E-BFF7-4A433474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Theme="minorHAnsi" w:cs="仿宋_GB2312"/>
        <w:color w:val="000000"/>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E75"/>
    <w:pPr>
      <w:widowControl w:val="0"/>
      <w:ind w:firstLineChars="200" w:firstLine="200"/>
      <w:jc w:val="both"/>
    </w:pPr>
  </w:style>
  <w:style w:type="paragraph" w:styleId="1">
    <w:name w:val="heading 1"/>
    <w:basedOn w:val="a"/>
    <w:next w:val="a"/>
    <w:link w:val="1Char"/>
    <w:uiPriority w:val="9"/>
    <w:qFormat/>
    <w:rsid w:val="00733F2E"/>
    <w:pPr>
      <w:keepNext/>
      <w:keepLines/>
      <w:outlineLvl w:val="0"/>
    </w:pPr>
    <w:rPr>
      <w:rFonts w:eastAsia="黑体"/>
      <w:bCs/>
      <w:kern w:val="44"/>
      <w:szCs w:val="44"/>
    </w:rPr>
  </w:style>
  <w:style w:type="paragraph" w:styleId="2">
    <w:name w:val="heading 2"/>
    <w:basedOn w:val="a"/>
    <w:next w:val="a"/>
    <w:link w:val="2Char"/>
    <w:uiPriority w:val="9"/>
    <w:semiHidden/>
    <w:unhideWhenUsed/>
    <w:qFormat/>
    <w:rsid w:val="00733F2E"/>
    <w:pPr>
      <w:keepNext/>
      <w:keepLines/>
      <w:outlineLvl w:val="1"/>
    </w:pPr>
    <w:rPr>
      <w:rFonts w:asciiTheme="majorHAnsi" w:eastAsia="楷体_GB2312"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3F2E"/>
    <w:rPr>
      <w:rFonts w:eastAsia="黑体"/>
      <w:bCs/>
      <w:kern w:val="44"/>
      <w:szCs w:val="44"/>
    </w:rPr>
  </w:style>
  <w:style w:type="character" w:customStyle="1" w:styleId="2Char">
    <w:name w:val="标题 2 Char"/>
    <w:basedOn w:val="a0"/>
    <w:link w:val="2"/>
    <w:uiPriority w:val="9"/>
    <w:semiHidden/>
    <w:rsid w:val="00733F2E"/>
    <w:rPr>
      <w:rFonts w:asciiTheme="majorHAnsi" w:eastAsia="楷体_GB2312" w:hAnsiTheme="majorHAnsi" w:cstheme="majorBidi"/>
      <w:b/>
      <w:bCs/>
    </w:rPr>
  </w:style>
  <w:style w:type="paragraph" w:styleId="a3">
    <w:name w:val="Title"/>
    <w:basedOn w:val="a"/>
    <w:next w:val="a"/>
    <w:link w:val="Char"/>
    <w:uiPriority w:val="10"/>
    <w:qFormat/>
    <w:rsid w:val="00733F2E"/>
    <w:pPr>
      <w:spacing w:line="578" w:lineRule="exact"/>
      <w:ind w:firstLineChars="0" w:firstLine="0"/>
      <w:jc w:val="center"/>
    </w:pPr>
    <w:rPr>
      <w:rFonts w:asciiTheme="majorHAnsi" w:eastAsia="方正小标宋简体" w:hAnsiTheme="majorHAnsi" w:cstheme="majorBidi"/>
      <w:bCs/>
      <w:sz w:val="44"/>
    </w:rPr>
  </w:style>
  <w:style w:type="character" w:customStyle="1" w:styleId="Char">
    <w:name w:val="标题 Char"/>
    <w:basedOn w:val="a0"/>
    <w:link w:val="a3"/>
    <w:uiPriority w:val="10"/>
    <w:rsid w:val="00733F2E"/>
    <w:rPr>
      <w:rFonts w:asciiTheme="majorHAnsi" w:eastAsia="方正小标宋简体" w:hAnsiTheme="majorHAnsi" w:cstheme="majorBidi"/>
      <w:bCs/>
      <w:sz w:val="44"/>
    </w:rPr>
  </w:style>
  <w:style w:type="paragraph" w:customStyle="1" w:styleId="a4">
    <w:name w:val="西发号"/>
    <w:basedOn w:val="1"/>
    <w:rsid w:val="00C451B7"/>
    <w:pPr>
      <w:spacing w:before="4309" w:after="851"/>
      <w:ind w:firstLineChars="0" w:firstLine="0"/>
      <w:jc w:val="center"/>
      <w:outlineLvl w:val="9"/>
    </w:pPr>
    <w:rPr>
      <w:rFonts w:eastAsia="仿宋_GB2312"/>
    </w:rPr>
  </w:style>
  <w:style w:type="paragraph" w:customStyle="1" w:styleId="a5">
    <w:name w:val="西政号"/>
    <w:basedOn w:val="a4"/>
    <w:rsid w:val="00C451B7"/>
    <w:pPr>
      <w:spacing w:before="2608"/>
    </w:pPr>
  </w:style>
  <w:style w:type="paragraph" w:styleId="a6">
    <w:name w:val="header"/>
    <w:basedOn w:val="a"/>
    <w:link w:val="Char0"/>
    <w:uiPriority w:val="99"/>
    <w:unhideWhenUsed/>
    <w:rsid w:val="00F107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107C5"/>
    <w:rPr>
      <w:sz w:val="18"/>
      <w:szCs w:val="18"/>
    </w:rPr>
  </w:style>
  <w:style w:type="paragraph" w:styleId="a7">
    <w:name w:val="footer"/>
    <w:basedOn w:val="a"/>
    <w:link w:val="Char1"/>
    <w:uiPriority w:val="99"/>
    <w:unhideWhenUsed/>
    <w:rsid w:val="00F107C5"/>
    <w:pPr>
      <w:tabs>
        <w:tab w:val="center" w:pos="4153"/>
        <w:tab w:val="right" w:pos="8306"/>
      </w:tabs>
      <w:snapToGrid w:val="0"/>
      <w:jc w:val="left"/>
    </w:pPr>
    <w:rPr>
      <w:sz w:val="18"/>
      <w:szCs w:val="18"/>
    </w:rPr>
  </w:style>
  <w:style w:type="character" w:customStyle="1" w:styleId="Char1">
    <w:name w:val="页脚 Char"/>
    <w:basedOn w:val="a0"/>
    <w:link w:val="a7"/>
    <w:uiPriority w:val="99"/>
    <w:rsid w:val="00F107C5"/>
    <w:rPr>
      <w:sz w:val="18"/>
      <w:szCs w:val="18"/>
    </w:rPr>
  </w:style>
  <w:style w:type="paragraph" w:styleId="a8">
    <w:name w:val="Subtitle"/>
    <w:basedOn w:val="a"/>
    <w:next w:val="a"/>
    <w:link w:val="Char2"/>
    <w:autoRedefine/>
    <w:uiPriority w:val="11"/>
    <w:qFormat/>
    <w:rsid w:val="00733F2E"/>
    <w:pPr>
      <w:jc w:val="left"/>
      <w:outlineLvl w:val="2"/>
    </w:pPr>
    <w:rPr>
      <w:rFonts w:asciiTheme="majorHAnsi" w:hAnsiTheme="majorHAnsi" w:cstheme="majorBidi"/>
      <w:b/>
      <w:bCs/>
      <w:kern w:val="28"/>
    </w:rPr>
  </w:style>
  <w:style w:type="character" w:customStyle="1" w:styleId="Char2">
    <w:name w:val="副标题 Char"/>
    <w:basedOn w:val="a0"/>
    <w:link w:val="a8"/>
    <w:uiPriority w:val="11"/>
    <w:rsid w:val="00733F2E"/>
    <w:rPr>
      <w:rFonts w:asciiTheme="majorHAnsi" w:hAnsiTheme="majorHAnsi" w:cstheme="majorBidi"/>
      <w:b/>
      <w:bCs/>
      <w:kern w:val="28"/>
    </w:rPr>
  </w:style>
  <w:style w:type="paragraph" w:styleId="a9">
    <w:name w:val="Balloon Text"/>
    <w:basedOn w:val="a"/>
    <w:link w:val="Char3"/>
    <w:uiPriority w:val="99"/>
    <w:semiHidden/>
    <w:unhideWhenUsed/>
    <w:rsid w:val="003E386A"/>
    <w:rPr>
      <w:sz w:val="18"/>
      <w:szCs w:val="18"/>
    </w:rPr>
  </w:style>
  <w:style w:type="character" w:customStyle="1" w:styleId="Char3">
    <w:name w:val="批注框文本 Char"/>
    <w:basedOn w:val="a0"/>
    <w:link w:val="a9"/>
    <w:uiPriority w:val="99"/>
    <w:semiHidden/>
    <w:rsid w:val="003E386A"/>
    <w:rPr>
      <w:sz w:val="18"/>
      <w:szCs w:val="18"/>
    </w:rPr>
  </w:style>
  <w:style w:type="table" w:styleId="aa">
    <w:name w:val="Table Grid"/>
    <w:basedOn w:val="a1"/>
    <w:qFormat/>
    <w:rsid w:val="000C20B6"/>
    <w:pPr>
      <w:widowControl w:val="0"/>
      <w:jc w:val="both"/>
    </w:pPr>
    <w:rPr>
      <w:rFonts w:asciiTheme="minorHAnsi" w:eastAsiaTheme="minorEastAsia" w:cstheme="minorBid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5947">
      <w:bodyDiv w:val="1"/>
      <w:marLeft w:val="0"/>
      <w:marRight w:val="0"/>
      <w:marTop w:val="0"/>
      <w:marBottom w:val="0"/>
      <w:divBdr>
        <w:top w:val="none" w:sz="0" w:space="0" w:color="auto"/>
        <w:left w:val="none" w:sz="0" w:space="0" w:color="auto"/>
        <w:bottom w:val="none" w:sz="0" w:space="0" w:color="auto"/>
        <w:right w:val="none" w:sz="0" w:space="0" w:color="auto"/>
      </w:divBdr>
    </w:div>
    <w:div w:id="16800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5991;&#26723;\&#33258;&#23450;&#20041;%20Office%20&#27169;&#26495;\&#35199;&#25919;&#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C702-1ED6-4417-B05C-CB707DFB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西政文件</Template>
  <TotalTime>0</TotalTime>
  <Pages>12</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刘敬月</dc:creator>
  <cp:lastModifiedBy>Windows 用户</cp:lastModifiedBy>
  <cp:revision>2</cp:revision>
  <cp:lastPrinted>2021-02-19T01:58:00Z</cp:lastPrinted>
  <dcterms:created xsi:type="dcterms:W3CDTF">2022-10-10T07:38:00Z</dcterms:created>
  <dcterms:modified xsi:type="dcterms:W3CDTF">2022-10-10T07:38:00Z</dcterms:modified>
</cp:coreProperties>
</file>