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2022年全县“双招双引”工作要点</w:t>
      </w:r>
    </w:p>
    <w:p>
      <w:pPr>
        <w:adjustRightInd w:val="0"/>
        <w:snapToGrid w:val="0"/>
        <w:spacing w:line="560" w:lineRule="exact"/>
        <w:ind w:firstLine="640" w:firstLineChars="200"/>
        <w:rPr>
          <w:rFonts w:hint="eastAsia" w:ascii="仿宋" w:hAnsi="仿宋" w:eastAsia="仿宋" w:cs="宋体"/>
          <w:kern w:val="0"/>
          <w:sz w:val="32"/>
          <w:szCs w:val="32"/>
        </w:rPr>
      </w:pP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为深度融入长三角一体化发展和合肥都市圈，进一步用足用活用好皖北承接产业转移集聚区建设政策红利，聚焦富民强县、奋力跨越赶超，以高质量“双招双引”扩大有效投资、强化项目支撑、集聚发展动能，更好地发挥招商引资、招才引智对县域经济社会发展的促进作用，推进</w:t>
      </w:r>
      <w:r>
        <w:rPr>
          <w:rFonts w:ascii="仿宋" w:hAnsi="仿宋" w:eastAsia="仿宋" w:cs="Times New Roman"/>
          <w:kern w:val="0"/>
          <w:sz w:val="32"/>
          <w:szCs w:val="32"/>
        </w:rPr>
        <w:t>“</w:t>
      </w:r>
      <w:r>
        <w:rPr>
          <w:rFonts w:hint="eastAsia" w:ascii="仿宋" w:hAnsi="仿宋" w:eastAsia="仿宋" w:cs="宋体"/>
          <w:kern w:val="0"/>
          <w:sz w:val="32"/>
          <w:szCs w:val="32"/>
        </w:rPr>
        <w:t>双招双引</w:t>
      </w:r>
      <w:r>
        <w:rPr>
          <w:rFonts w:ascii="仿宋" w:hAnsi="仿宋" w:eastAsia="仿宋" w:cs="Times New Roman"/>
          <w:kern w:val="0"/>
          <w:sz w:val="32"/>
          <w:szCs w:val="32"/>
        </w:rPr>
        <w:t>”</w:t>
      </w:r>
      <w:r>
        <w:rPr>
          <w:rFonts w:hint="eastAsia" w:ascii="仿宋" w:hAnsi="仿宋" w:eastAsia="仿宋" w:cs="宋体"/>
          <w:kern w:val="0"/>
          <w:sz w:val="32"/>
          <w:szCs w:val="32"/>
        </w:rPr>
        <w:t xml:space="preserve">扩量提质增效。 </w:t>
      </w:r>
    </w:p>
    <w:p>
      <w:pPr>
        <w:adjustRightInd w:val="0"/>
        <w:snapToGrid w:val="0"/>
        <w:spacing w:line="560" w:lineRule="exact"/>
        <w:ind w:firstLine="640" w:firstLineChars="200"/>
        <w:rPr>
          <w:rFonts w:ascii="仿宋" w:hAnsi="仿宋" w:eastAsia="仿宋" w:cs="宋体"/>
          <w:kern w:val="0"/>
          <w:sz w:val="32"/>
          <w:szCs w:val="32"/>
          <w:u w:val="none"/>
        </w:rPr>
      </w:pPr>
      <w:r>
        <w:rPr>
          <w:rFonts w:hint="eastAsia" w:ascii="黑体" w:hAnsi="黑体" w:eastAsia="黑体" w:cs="宋体"/>
          <w:kern w:val="0"/>
          <w:sz w:val="32"/>
          <w:szCs w:val="32"/>
        </w:rPr>
        <w:t>一、</w:t>
      </w:r>
      <w:r>
        <w:rPr>
          <w:rFonts w:ascii="黑体" w:hAnsi="黑体" w:eastAsia="黑体" w:cs="宋体"/>
          <w:kern w:val="0"/>
          <w:sz w:val="32"/>
          <w:szCs w:val="32"/>
        </w:rPr>
        <w:t>顶格推进“双招双引”</w:t>
      </w:r>
      <w:r>
        <w:rPr>
          <w:rFonts w:hint="eastAsia" w:ascii="黑体" w:hAnsi="黑体" w:eastAsia="黑体" w:cs="宋体"/>
          <w:kern w:val="0"/>
          <w:sz w:val="32"/>
          <w:szCs w:val="32"/>
        </w:rPr>
        <w:t>。</w:t>
      </w:r>
      <w:r>
        <w:rPr>
          <w:rFonts w:hint="eastAsia" w:ascii="仿宋" w:hAnsi="仿宋" w:eastAsia="仿宋" w:cs="宋体"/>
          <w:kern w:val="0"/>
          <w:sz w:val="32"/>
          <w:szCs w:val="32"/>
        </w:rPr>
        <w:t>继续坚持</w:t>
      </w:r>
      <w:r>
        <w:rPr>
          <w:rFonts w:ascii="仿宋" w:hAnsi="仿宋" w:eastAsia="仿宋" w:cs="Times New Roman"/>
          <w:kern w:val="0"/>
          <w:sz w:val="32"/>
          <w:szCs w:val="32"/>
        </w:rPr>
        <w:t>“</w:t>
      </w:r>
      <w:r>
        <w:rPr>
          <w:rFonts w:hint="eastAsia" w:ascii="仿宋" w:hAnsi="仿宋" w:eastAsia="仿宋" w:cs="宋体"/>
          <w:kern w:val="0"/>
          <w:sz w:val="32"/>
          <w:szCs w:val="32"/>
        </w:rPr>
        <w:t>双招双引</w:t>
      </w:r>
      <w:r>
        <w:rPr>
          <w:rFonts w:ascii="仿宋" w:hAnsi="仿宋" w:eastAsia="仿宋" w:cs="Times New Roman"/>
          <w:kern w:val="0"/>
          <w:sz w:val="32"/>
          <w:szCs w:val="32"/>
        </w:rPr>
        <w:t>”</w:t>
      </w:r>
      <w:r>
        <w:rPr>
          <w:rFonts w:hint="eastAsia" w:ascii="仿宋" w:hAnsi="仿宋" w:eastAsia="仿宋" w:cs="宋体"/>
          <w:kern w:val="0"/>
          <w:sz w:val="32"/>
          <w:szCs w:val="32"/>
        </w:rPr>
        <w:t>主战略不动摇，</w:t>
      </w:r>
      <w:r>
        <w:rPr>
          <w:rFonts w:hint="eastAsia" w:ascii="仿宋" w:hAnsi="仿宋" w:eastAsia="仿宋" w:cs="仿宋_GB2312"/>
          <w:sz w:val="32"/>
          <w:szCs w:val="32"/>
        </w:rPr>
        <w:t>树牢</w:t>
      </w:r>
      <w:r>
        <w:rPr>
          <w:rFonts w:ascii="仿宋" w:hAnsi="仿宋" w:eastAsia="仿宋" w:cs="仿宋_GB2312"/>
          <w:sz w:val="32"/>
          <w:szCs w:val="32"/>
        </w:rPr>
        <w:t>“投资为纲</w:t>
      </w:r>
      <w:r>
        <w:rPr>
          <w:rFonts w:hint="eastAsia" w:ascii="仿宋" w:hAnsi="仿宋" w:eastAsia="仿宋" w:cs="仿宋_GB2312"/>
          <w:sz w:val="32"/>
          <w:szCs w:val="32"/>
        </w:rPr>
        <w:t>、项目为王，产业投资是纲中之纲、产业项目是王中之王</w:t>
      </w:r>
      <w:r>
        <w:rPr>
          <w:rFonts w:ascii="仿宋" w:hAnsi="仿宋" w:eastAsia="仿宋" w:cs="仿宋_GB2312"/>
          <w:sz w:val="32"/>
          <w:szCs w:val="32"/>
        </w:rPr>
        <w:t>”理念</w:t>
      </w:r>
      <w:r>
        <w:rPr>
          <w:rFonts w:hint="eastAsia" w:ascii="仿宋" w:hAnsi="仿宋" w:eastAsia="仿宋"/>
          <w:sz w:val="32"/>
          <w:szCs w:val="32"/>
        </w:rPr>
        <w:t>。全力开展好</w:t>
      </w:r>
      <w:r>
        <w:rPr>
          <w:rFonts w:ascii="仿宋" w:hAnsi="仿宋" w:eastAsia="仿宋"/>
          <w:sz w:val="32"/>
          <w:szCs w:val="32"/>
        </w:rPr>
        <w:t>“双招双引”“升温加压+升级加速”活动</w:t>
      </w:r>
      <w:r>
        <w:rPr>
          <w:rFonts w:hint="eastAsia" w:ascii="仿宋" w:hAnsi="仿宋" w:eastAsia="仿宋"/>
          <w:sz w:val="32"/>
          <w:szCs w:val="32"/>
        </w:rPr>
        <w:t>。</w:t>
      </w:r>
      <w:r>
        <w:rPr>
          <w:rFonts w:hint="eastAsia" w:ascii="仿宋" w:hAnsi="仿宋" w:eastAsia="仿宋" w:cs="宋体"/>
          <w:kern w:val="0"/>
          <w:sz w:val="32"/>
          <w:szCs w:val="32"/>
        </w:rPr>
        <w:t>切实加速产业链、创新链、资金链、人才链</w:t>
      </w:r>
      <w:r>
        <w:rPr>
          <w:rFonts w:ascii="仿宋" w:hAnsi="仿宋" w:eastAsia="仿宋" w:cs="Times New Roman"/>
          <w:kern w:val="0"/>
          <w:sz w:val="32"/>
          <w:szCs w:val="32"/>
        </w:rPr>
        <w:t>“</w:t>
      </w:r>
      <w:r>
        <w:rPr>
          <w:rFonts w:hint="eastAsia" w:ascii="仿宋" w:hAnsi="仿宋" w:eastAsia="仿宋" w:cs="宋体"/>
          <w:kern w:val="0"/>
          <w:sz w:val="32"/>
          <w:szCs w:val="32"/>
        </w:rPr>
        <w:t>四链合一</w:t>
      </w:r>
      <w:r>
        <w:rPr>
          <w:rFonts w:ascii="仿宋" w:hAnsi="仿宋" w:eastAsia="仿宋" w:cs="Times New Roman"/>
          <w:kern w:val="0"/>
          <w:sz w:val="32"/>
          <w:szCs w:val="32"/>
        </w:rPr>
        <w:t>”</w:t>
      </w:r>
      <w:r>
        <w:rPr>
          <w:rFonts w:hint="eastAsia" w:ascii="仿宋" w:hAnsi="仿宋" w:eastAsia="仿宋" w:cs="宋体"/>
          <w:kern w:val="0"/>
          <w:sz w:val="32"/>
          <w:szCs w:val="32"/>
        </w:rPr>
        <w:t>，多渠道汇聚</w:t>
      </w:r>
      <w:r>
        <w:rPr>
          <w:rFonts w:ascii="仿宋" w:hAnsi="仿宋" w:eastAsia="仿宋" w:cs="Times New Roman"/>
          <w:kern w:val="0"/>
          <w:sz w:val="32"/>
          <w:szCs w:val="32"/>
        </w:rPr>
        <w:t>“</w:t>
      </w:r>
      <w:r>
        <w:rPr>
          <w:rFonts w:hint="eastAsia" w:ascii="仿宋" w:hAnsi="仿宋" w:eastAsia="仿宋" w:cs="宋体"/>
          <w:kern w:val="0"/>
          <w:sz w:val="32"/>
          <w:szCs w:val="32"/>
        </w:rPr>
        <w:t>双招双引</w:t>
      </w:r>
      <w:r>
        <w:rPr>
          <w:rFonts w:ascii="仿宋" w:hAnsi="仿宋" w:eastAsia="仿宋" w:cs="Times New Roman"/>
          <w:kern w:val="0"/>
          <w:sz w:val="32"/>
          <w:szCs w:val="32"/>
        </w:rPr>
        <w:t>”</w:t>
      </w:r>
      <w:r>
        <w:rPr>
          <w:rFonts w:hint="eastAsia" w:ascii="仿宋" w:hAnsi="仿宋" w:eastAsia="仿宋" w:cs="宋体"/>
          <w:kern w:val="0"/>
          <w:sz w:val="32"/>
          <w:szCs w:val="32"/>
        </w:rPr>
        <w:t>新优势。</w:t>
      </w:r>
      <w:r>
        <w:rPr>
          <w:rFonts w:hint="eastAsia" w:ascii="仿宋" w:hAnsi="仿宋" w:eastAsia="仿宋"/>
          <w:kern w:val="0"/>
          <w:sz w:val="32"/>
          <w:szCs w:val="32"/>
        </w:rPr>
        <w:t>坚持招商工作项目化、招引项目清单化、项目清单具体化的“三化”机制，</w:t>
      </w:r>
      <w:r>
        <w:rPr>
          <w:rFonts w:hint="eastAsia" w:ascii="仿宋" w:hAnsi="仿宋" w:eastAsia="仿宋"/>
          <w:sz w:val="32"/>
          <w:szCs w:val="32"/>
          <w:lang w:val="zh-CN"/>
        </w:rPr>
        <w:t>紧盯沪苏浙、京津冀、珠三角、合肥都市圈等发达地区，</w:t>
      </w:r>
      <w:r>
        <w:rPr>
          <w:rFonts w:hint="eastAsia" w:ascii="仿宋" w:hAnsi="仿宋" w:eastAsia="仿宋"/>
          <w:kern w:val="0"/>
          <w:sz w:val="32"/>
          <w:szCs w:val="32"/>
        </w:rPr>
        <w:t>主攻</w:t>
      </w:r>
      <w:r>
        <w:rPr>
          <w:rFonts w:hint="eastAsia" w:ascii="仿宋" w:hAnsi="仿宋" w:eastAsia="仿宋"/>
          <w:sz w:val="32"/>
          <w:szCs w:val="32"/>
        </w:rPr>
        <w:t>铁基新材料</w:t>
      </w:r>
      <w:r>
        <w:rPr>
          <w:rFonts w:hint="eastAsia" w:ascii="仿宋" w:hAnsi="仿宋" w:eastAsia="仿宋"/>
          <w:sz w:val="32"/>
          <w:szCs w:val="32"/>
          <w:lang w:val="zh-CN"/>
        </w:rPr>
        <w:t>和农副产品精深加工、</w:t>
      </w:r>
      <w:r>
        <w:rPr>
          <w:rFonts w:hint="eastAsia" w:ascii="仿宋" w:hAnsi="仿宋" w:eastAsia="仿宋"/>
          <w:sz w:val="32"/>
          <w:szCs w:val="32"/>
          <w:lang w:eastAsia="zh-CN"/>
        </w:rPr>
        <w:t>设</w:t>
      </w:r>
      <w:r>
        <w:rPr>
          <w:rFonts w:hint="eastAsia" w:ascii="仿宋" w:hAnsi="仿宋" w:eastAsia="仿宋"/>
          <w:sz w:val="32"/>
          <w:szCs w:val="32"/>
        </w:rPr>
        <w:t>备制造</w:t>
      </w:r>
      <w:r>
        <w:rPr>
          <w:rFonts w:hint="eastAsia" w:ascii="仿宋" w:hAnsi="仿宋" w:eastAsia="仿宋"/>
          <w:kern w:val="0"/>
          <w:sz w:val="32"/>
          <w:szCs w:val="32"/>
        </w:rPr>
        <w:t>等产业项目招商，</w:t>
      </w:r>
      <w:r>
        <w:rPr>
          <w:rFonts w:hint="eastAsia" w:ascii="仿宋" w:hAnsi="仿宋" w:eastAsia="仿宋"/>
          <w:sz w:val="32"/>
          <w:szCs w:val="32"/>
          <w:lang w:val="zh-CN"/>
        </w:rPr>
        <w:t>全力引进一批主导产业链接、上下游关联企业。</w:t>
      </w:r>
      <w:r>
        <w:rPr>
          <w:rFonts w:hint="eastAsia" w:ascii="仿宋" w:hAnsi="仿宋" w:eastAsia="仿宋"/>
          <w:sz w:val="32"/>
          <w:szCs w:val="32"/>
        </w:rPr>
        <w:t>顶格倾听企业意见，顶格协调解决项目落地和企业发展中遇到的困难和问题，顶格推进重大项目引进和实施。</w:t>
      </w:r>
      <w:r>
        <w:rPr>
          <w:rFonts w:hint="eastAsia" w:ascii="仿宋" w:hAnsi="仿宋" w:eastAsia="仿宋" w:cs="宋体"/>
          <w:kern w:val="0"/>
          <w:sz w:val="32"/>
          <w:szCs w:val="32"/>
          <w:u w:val="none"/>
        </w:rPr>
        <w:t>乡镇、园区、县直单位</w:t>
      </w:r>
      <w:r>
        <w:rPr>
          <w:rFonts w:hint="eastAsia" w:ascii="仿宋" w:hAnsi="仿宋" w:eastAsia="仿宋" w:cs="仿宋_GB2312"/>
          <w:sz w:val="32"/>
          <w:szCs w:val="32"/>
          <w:u w:val="none"/>
        </w:rPr>
        <w:t>主要负责同志要</w:t>
      </w:r>
      <w:r>
        <w:rPr>
          <w:rFonts w:hint="eastAsia" w:ascii="仿宋" w:hAnsi="仿宋" w:eastAsia="仿宋"/>
          <w:sz w:val="32"/>
          <w:szCs w:val="32"/>
          <w:u w:val="none"/>
          <w:lang w:val="zh-CN"/>
        </w:rPr>
        <w:t>把三分之一的时间和精力用在</w:t>
      </w:r>
      <w:r>
        <w:rPr>
          <w:rFonts w:hint="eastAsia" w:ascii="仿宋" w:hAnsi="仿宋" w:eastAsia="仿宋"/>
          <w:sz w:val="32"/>
          <w:szCs w:val="32"/>
          <w:u w:val="none"/>
        </w:rPr>
        <w:t>项目招引、落地服务上</w:t>
      </w:r>
      <w:r>
        <w:rPr>
          <w:rFonts w:hint="eastAsia" w:ascii="仿宋" w:hAnsi="仿宋" w:eastAsia="仿宋"/>
          <w:b/>
          <w:bCs/>
          <w:sz w:val="32"/>
          <w:szCs w:val="32"/>
          <w:u w:val="none"/>
        </w:rPr>
        <w:t>，</w:t>
      </w:r>
      <w:r>
        <w:rPr>
          <w:rFonts w:hint="eastAsia" w:ascii="仿宋" w:hAnsi="仿宋" w:eastAsia="仿宋"/>
          <w:kern w:val="0"/>
          <w:sz w:val="32"/>
          <w:szCs w:val="32"/>
          <w:u w:val="none"/>
        </w:rPr>
        <w:t>把“双招双引”作为经济工作“第一战场”。</w:t>
      </w:r>
      <w:r>
        <w:rPr>
          <w:rFonts w:ascii="仿宋" w:hAnsi="仿宋" w:eastAsia="仿宋"/>
          <w:sz w:val="32"/>
          <w:szCs w:val="32"/>
          <w:u w:val="none"/>
        </w:rPr>
        <w:t>全年</w:t>
      </w:r>
      <w:r>
        <w:rPr>
          <w:rFonts w:hint="eastAsia" w:ascii="仿宋" w:hAnsi="仿宋" w:eastAsia="仿宋"/>
          <w:sz w:val="32"/>
          <w:szCs w:val="32"/>
          <w:u w:val="none"/>
        </w:rPr>
        <w:t>新引进</w:t>
      </w:r>
      <w:r>
        <w:rPr>
          <w:rFonts w:ascii="仿宋" w:hAnsi="仿宋" w:eastAsia="仿宋"/>
          <w:sz w:val="32"/>
          <w:szCs w:val="32"/>
          <w:u w:val="none"/>
        </w:rPr>
        <w:t>境内</w:t>
      </w:r>
      <w:r>
        <w:rPr>
          <w:rFonts w:hint="eastAsia" w:ascii="仿宋" w:hAnsi="仿宋" w:eastAsia="仿宋"/>
          <w:sz w:val="32"/>
          <w:szCs w:val="32"/>
          <w:u w:val="none"/>
        </w:rPr>
        <w:t>投资115亿元；新引进亿元以上项目52个（其中5亿元以上项目13个、10亿元以上项目4个）；新开工亿元项目47个，项目开工率90%以上；新引进境外资金7250万美元</w:t>
      </w:r>
      <w:r>
        <w:rPr>
          <w:rFonts w:hint="eastAsia" w:ascii="仿宋" w:hAnsi="仿宋" w:eastAsia="仿宋" w:cs="宋体"/>
          <w:kern w:val="0"/>
          <w:sz w:val="32"/>
          <w:szCs w:val="32"/>
          <w:u w:val="none"/>
        </w:rPr>
        <w:t>。</w:t>
      </w:r>
    </w:p>
    <w:p>
      <w:pPr>
        <w:adjustRightInd w:val="0"/>
        <w:snapToGrid w:val="0"/>
        <w:spacing w:line="560" w:lineRule="exact"/>
        <w:ind w:firstLine="640" w:firstLineChars="200"/>
        <w:rPr>
          <w:rFonts w:ascii="仿宋" w:hAnsi="仿宋" w:eastAsia="仿宋" w:cs="Times New Roman"/>
          <w:sz w:val="32"/>
          <w:szCs w:val="32"/>
          <w:u w:val="none"/>
        </w:rPr>
      </w:pPr>
      <w:r>
        <w:rPr>
          <w:rFonts w:hint="eastAsia" w:ascii="黑体" w:hAnsi="黑体" w:eastAsia="黑体" w:cs="宋体"/>
          <w:kern w:val="0"/>
          <w:sz w:val="32"/>
          <w:szCs w:val="32"/>
        </w:rPr>
        <w:t>二、强力开展产业招商。</w:t>
      </w:r>
      <w:r>
        <w:rPr>
          <w:rFonts w:ascii="仿宋" w:hAnsi="仿宋" w:eastAsia="仿宋" w:cs="仿宋_GB2312"/>
          <w:sz w:val="32"/>
          <w:szCs w:val="32"/>
        </w:rPr>
        <w:t>坚定不移推进产业兴县</w:t>
      </w:r>
      <w:r>
        <w:rPr>
          <w:rFonts w:hint="eastAsia" w:ascii="仿宋" w:hAnsi="仿宋" w:eastAsia="仿宋" w:cs="仿宋_GB2312"/>
          <w:sz w:val="32"/>
          <w:szCs w:val="32"/>
        </w:rPr>
        <w:t>，</w:t>
      </w:r>
      <w:r>
        <w:rPr>
          <w:rFonts w:hint="eastAsia" w:ascii="仿宋" w:hAnsi="仿宋" w:eastAsia="仿宋" w:cs="宋体"/>
          <w:kern w:val="0"/>
          <w:sz w:val="32"/>
          <w:szCs w:val="32"/>
        </w:rPr>
        <w:t>以培育规模化产业集群、构建全产业链为目标，着力谋划具有可行性的高质量产业招商项目，完善引资项目储备库，全力推进资源型开发和接链补环项目工作。依托钢铁首位产业，强力引</w:t>
      </w:r>
      <w:r>
        <w:rPr>
          <w:rFonts w:hint="eastAsia" w:ascii="仿宋" w:hAnsi="仿宋" w:eastAsia="仿宋"/>
          <w:sz w:val="32"/>
          <w:szCs w:val="32"/>
        </w:rPr>
        <w:t>进铁基新材料、机械设备制造、矿产资</w:t>
      </w:r>
      <w:r>
        <w:rPr>
          <w:rFonts w:hint="eastAsia" w:ascii="仿宋" w:hAnsi="仿宋" w:eastAsia="仿宋" w:cs="宋体"/>
          <w:kern w:val="0"/>
          <w:sz w:val="32"/>
          <w:szCs w:val="32"/>
        </w:rPr>
        <w:t>源延链加工等项目；立足农产品加工等主导产业，坚持全产业链招商，大力</w:t>
      </w:r>
      <w:r>
        <w:rPr>
          <w:rFonts w:ascii="仿宋" w:hAnsi="仿宋" w:eastAsia="仿宋"/>
          <w:sz w:val="32"/>
          <w:szCs w:val="32"/>
        </w:rPr>
        <w:t>招引</w:t>
      </w:r>
      <w:r>
        <w:rPr>
          <w:rFonts w:hint="eastAsia" w:ascii="仿宋" w:hAnsi="仿宋" w:eastAsia="仿宋"/>
          <w:sz w:val="32"/>
          <w:szCs w:val="32"/>
        </w:rPr>
        <w:t>绿色食品、特色农产品等</w:t>
      </w:r>
      <w:r>
        <w:rPr>
          <w:rFonts w:hint="eastAsia" w:ascii="仿宋" w:hAnsi="仿宋" w:eastAsia="仿宋" w:cs="宋体"/>
          <w:kern w:val="0"/>
          <w:sz w:val="32"/>
          <w:szCs w:val="32"/>
        </w:rPr>
        <w:t>精深加工项目，扩大龙翔美食王等产业化龙头企业示范引领效应；围绕生产生活性服务业专业化、高端化，致力引进电子信息、智能家电、高端装备制造等高新技术产业项目。霍邱经济开发区、合肥高新区霍邱现代产业园、长集现代农业产业园要立足产业链条培育需求，</w:t>
      </w:r>
      <w:r>
        <w:rPr>
          <w:rFonts w:ascii="仿宋" w:hAnsi="仿宋" w:eastAsia="仿宋"/>
          <w:sz w:val="32"/>
          <w:szCs w:val="32"/>
        </w:rPr>
        <w:t>梳理“头部企业”“链主企业”以及“专精特新”企业目标名录，编制《产业链招商图谱》，</w:t>
      </w:r>
      <w:r>
        <w:rPr>
          <w:rFonts w:hint="eastAsia" w:ascii="仿宋" w:hAnsi="仿宋" w:eastAsia="仿宋"/>
          <w:sz w:val="32"/>
          <w:szCs w:val="32"/>
        </w:rPr>
        <w:t>按图索骥，精准</w:t>
      </w:r>
      <w:r>
        <w:rPr>
          <w:rFonts w:hint="eastAsia" w:ascii="仿宋" w:hAnsi="仿宋" w:eastAsia="仿宋" w:cs="Times New Roman"/>
          <w:sz w:val="32"/>
          <w:szCs w:val="32"/>
        </w:rPr>
        <w:t>招商。</w:t>
      </w:r>
      <w:r>
        <w:rPr>
          <w:rFonts w:hint="eastAsia" w:ascii="仿宋" w:hAnsi="仿宋" w:eastAsia="仿宋"/>
          <w:sz w:val="32"/>
          <w:szCs w:val="32"/>
          <w:u w:val="none"/>
        </w:rPr>
        <w:t>安排县直经济主管部门产业招商工作专项经费，列入县级财政预算，</w:t>
      </w:r>
      <w:r>
        <w:rPr>
          <w:rFonts w:hint="eastAsia" w:ascii="仿宋" w:hAnsi="仿宋" w:eastAsia="仿宋" w:cs="Times New Roman"/>
          <w:sz w:val="32"/>
          <w:szCs w:val="32"/>
          <w:u w:val="none"/>
        </w:rPr>
        <w:t>发挥行业主管部门职能优势，开展产业项目招商。</w:t>
      </w:r>
    </w:p>
    <w:p>
      <w:pPr>
        <w:adjustRightInd w:val="0"/>
        <w:snapToGrid w:val="0"/>
        <w:spacing w:line="560" w:lineRule="exact"/>
        <w:ind w:firstLine="640" w:firstLineChars="200"/>
        <w:rPr>
          <w:rFonts w:ascii="仿宋" w:hAnsi="仿宋" w:eastAsia="仿宋"/>
          <w:sz w:val="32"/>
          <w:szCs w:val="32"/>
        </w:rPr>
      </w:pPr>
      <w:r>
        <w:rPr>
          <w:rFonts w:hint="eastAsia" w:ascii="黑体" w:hAnsi="黑体" w:eastAsia="黑体" w:cs="宋体"/>
          <w:kern w:val="0"/>
          <w:sz w:val="32"/>
          <w:szCs w:val="32"/>
        </w:rPr>
        <w:t>三、全面开展借智招商。</w:t>
      </w:r>
      <w:r>
        <w:rPr>
          <w:rFonts w:hint="eastAsia" w:ascii="仿宋" w:hAnsi="仿宋" w:eastAsia="仿宋" w:cs="宋体"/>
          <w:kern w:val="0"/>
          <w:sz w:val="32"/>
          <w:szCs w:val="32"/>
        </w:rPr>
        <w:t>加强与上级行业部门、专业机构、科研院校等协作对接，联动霍邱驻外经济促进会、商协会各业界精英及创业成功人士，</w:t>
      </w:r>
      <w:r>
        <w:rPr>
          <w:rFonts w:hint="eastAsia" w:ascii="仿宋" w:hAnsi="仿宋" w:eastAsia="仿宋" w:cs="宋体"/>
          <w:kern w:val="0"/>
          <w:sz w:val="32"/>
          <w:szCs w:val="32"/>
          <w:u w:val="none"/>
        </w:rPr>
        <w:t>全面摸排霍邱籍上市公司企业家、科技领军人物、专家学者、富贤乡贤等各方面人才资源，完善人才信息库。加强信息联络，选聘招</w:t>
      </w:r>
      <w:r>
        <w:rPr>
          <w:rFonts w:hint="eastAsia" w:ascii="仿宋" w:hAnsi="仿宋" w:eastAsia="仿宋" w:cs="宋体"/>
          <w:kern w:val="0"/>
          <w:sz w:val="32"/>
          <w:szCs w:val="32"/>
        </w:rPr>
        <w:t>商顾问，组织开展招商宣传推介、人才信息交流活动。精准跟进高端人才所关联的工程中心、技术中心和科研工作站等机构，充分挖掘人才背后蕴藏的信息资源和项目线索。强化</w:t>
      </w:r>
      <w:r>
        <w:rPr>
          <w:rFonts w:ascii="仿宋" w:hAnsi="仿宋" w:eastAsia="仿宋" w:cs="Times New Roman"/>
          <w:kern w:val="0"/>
          <w:sz w:val="32"/>
          <w:szCs w:val="32"/>
        </w:rPr>
        <w:t>“</w:t>
      </w:r>
      <w:r>
        <w:rPr>
          <w:rFonts w:hint="eastAsia" w:ascii="仿宋" w:hAnsi="仿宋" w:eastAsia="仿宋" w:cs="宋体"/>
          <w:kern w:val="0"/>
          <w:sz w:val="32"/>
          <w:szCs w:val="32"/>
        </w:rPr>
        <w:t>人才</w:t>
      </w:r>
      <w:r>
        <w:rPr>
          <w:rFonts w:ascii="仿宋" w:hAnsi="仿宋" w:eastAsia="仿宋" w:cs="Times New Roman"/>
          <w:kern w:val="0"/>
          <w:sz w:val="32"/>
          <w:szCs w:val="32"/>
        </w:rPr>
        <w:t>+</w:t>
      </w:r>
      <w:r>
        <w:rPr>
          <w:rFonts w:hint="eastAsia" w:ascii="仿宋" w:hAnsi="仿宋" w:eastAsia="仿宋" w:cs="宋体"/>
          <w:kern w:val="0"/>
          <w:sz w:val="32"/>
          <w:szCs w:val="32"/>
        </w:rPr>
        <w:t>技术</w:t>
      </w:r>
      <w:r>
        <w:rPr>
          <w:rFonts w:ascii="仿宋" w:hAnsi="仿宋" w:eastAsia="仿宋" w:cs="Times New Roman"/>
          <w:kern w:val="0"/>
          <w:sz w:val="32"/>
          <w:szCs w:val="32"/>
        </w:rPr>
        <w:t>+</w:t>
      </w:r>
      <w:r>
        <w:rPr>
          <w:rFonts w:hint="eastAsia" w:ascii="仿宋" w:hAnsi="仿宋" w:eastAsia="仿宋" w:cs="宋体"/>
          <w:kern w:val="0"/>
          <w:sz w:val="32"/>
          <w:szCs w:val="32"/>
        </w:rPr>
        <w:t>产业</w:t>
      </w:r>
      <w:r>
        <w:rPr>
          <w:rFonts w:ascii="仿宋" w:hAnsi="仿宋" w:eastAsia="仿宋" w:cs="Times New Roman"/>
          <w:kern w:val="0"/>
          <w:sz w:val="32"/>
          <w:szCs w:val="32"/>
        </w:rPr>
        <w:t>”</w:t>
      </w:r>
      <w:r>
        <w:rPr>
          <w:rFonts w:hint="eastAsia" w:ascii="仿宋" w:hAnsi="仿宋" w:eastAsia="仿宋" w:cs="宋体"/>
          <w:kern w:val="0"/>
          <w:sz w:val="32"/>
          <w:szCs w:val="32"/>
        </w:rPr>
        <w:t>融合招商，跟踪开展持续性深度对接，</w:t>
      </w:r>
      <w:r>
        <w:rPr>
          <w:rFonts w:ascii="仿宋" w:hAnsi="仿宋" w:eastAsia="仿宋"/>
          <w:sz w:val="32"/>
          <w:szCs w:val="32"/>
          <w:u w:val="none"/>
        </w:rPr>
        <w:t>推动“双招双引”从招项目、引资金，向招企业家、引人才团队</w:t>
      </w:r>
      <w:r>
        <w:rPr>
          <w:rFonts w:hint="eastAsia" w:ascii="仿宋" w:hAnsi="仿宋" w:eastAsia="仿宋"/>
          <w:sz w:val="32"/>
          <w:szCs w:val="32"/>
          <w:u w:val="none"/>
        </w:rPr>
        <w:t>、解决企业用工等</w:t>
      </w:r>
      <w:r>
        <w:rPr>
          <w:rFonts w:ascii="仿宋" w:hAnsi="仿宋" w:eastAsia="仿宋"/>
          <w:sz w:val="32"/>
          <w:szCs w:val="32"/>
          <w:u w:val="none"/>
        </w:rPr>
        <w:t>延伸</w:t>
      </w:r>
      <w:r>
        <w:rPr>
          <w:rFonts w:hint="eastAsia" w:ascii="仿宋" w:hAnsi="仿宋" w:eastAsia="仿宋"/>
          <w:sz w:val="32"/>
          <w:szCs w:val="32"/>
          <w:u w:val="none"/>
        </w:rPr>
        <w:t>；</w:t>
      </w:r>
      <w:r>
        <w:rPr>
          <w:rFonts w:ascii="仿宋" w:hAnsi="仿宋" w:eastAsia="仿宋"/>
          <w:sz w:val="32"/>
          <w:szCs w:val="32"/>
        </w:rPr>
        <w:t>将重点引资企业负责人和高管</w:t>
      </w:r>
      <w:r>
        <w:rPr>
          <w:rFonts w:hint="eastAsia" w:ascii="仿宋" w:hAnsi="仿宋" w:eastAsia="仿宋"/>
          <w:sz w:val="32"/>
          <w:szCs w:val="32"/>
        </w:rPr>
        <w:t>上报</w:t>
      </w:r>
      <w:r>
        <w:rPr>
          <w:rFonts w:ascii="仿宋" w:hAnsi="仿宋" w:eastAsia="仿宋"/>
          <w:sz w:val="32"/>
          <w:szCs w:val="32"/>
        </w:rPr>
        <w:t>纳入</w:t>
      </w:r>
      <w:r>
        <w:rPr>
          <w:rFonts w:hint="eastAsia" w:ascii="仿宋" w:hAnsi="仿宋" w:eastAsia="仿宋"/>
          <w:sz w:val="32"/>
          <w:szCs w:val="32"/>
        </w:rPr>
        <w:t>市级</w:t>
      </w:r>
      <w:r>
        <w:rPr>
          <w:rFonts w:ascii="仿宋" w:hAnsi="仿宋" w:eastAsia="仿宋"/>
          <w:sz w:val="32"/>
          <w:szCs w:val="32"/>
        </w:rPr>
        <w:t>“皋城优才卡”服务范围。</w:t>
      </w:r>
      <w:r>
        <w:rPr>
          <w:rFonts w:hint="eastAsia" w:ascii="仿宋" w:hAnsi="仿宋" w:eastAsia="仿宋" w:cs="宋体"/>
          <w:kern w:val="0"/>
          <w:sz w:val="32"/>
          <w:szCs w:val="32"/>
        </w:rPr>
        <w:t>对参与、引进亿元以上投资战略性新兴产业项目的国家级人才库科技人员，以及链主企业</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头部企业投资项目负责人，</w:t>
      </w:r>
      <w:r>
        <w:rPr>
          <w:rFonts w:ascii="仿宋" w:hAnsi="仿宋" w:eastAsia="仿宋"/>
          <w:sz w:val="32"/>
          <w:szCs w:val="32"/>
        </w:rPr>
        <w:t>简化“人才新政15条”政策兑现程序和方式，畅通兑现渠道</w:t>
      </w:r>
      <w:r>
        <w:rPr>
          <w:rFonts w:hint="eastAsia" w:ascii="仿宋" w:hAnsi="仿宋" w:eastAsia="仿宋"/>
          <w:sz w:val="32"/>
          <w:szCs w:val="32"/>
        </w:rPr>
        <w:t>。</w:t>
      </w:r>
      <w:r>
        <w:rPr>
          <w:rFonts w:ascii="仿宋" w:hAnsi="仿宋" w:eastAsia="仿宋"/>
          <w:sz w:val="32"/>
          <w:szCs w:val="32"/>
        </w:rPr>
        <w:t>加大对返乡创新创业人才</w:t>
      </w:r>
      <w:r>
        <w:rPr>
          <w:rFonts w:hint="eastAsia" w:ascii="仿宋" w:hAnsi="仿宋" w:eastAsia="仿宋"/>
          <w:sz w:val="32"/>
          <w:szCs w:val="32"/>
          <w:lang w:eastAsia="zh-CN"/>
        </w:rPr>
        <w:t>引进</w:t>
      </w:r>
      <w:r>
        <w:rPr>
          <w:rFonts w:ascii="仿宋" w:hAnsi="仿宋" w:eastAsia="仿宋"/>
          <w:sz w:val="32"/>
          <w:szCs w:val="32"/>
        </w:rPr>
        <w:t>的支持力度。</w:t>
      </w:r>
    </w:p>
    <w:p>
      <w:pPr>
        <w:adjustRightInd w:val="0"/>
        <w:snapToGrid w:val="0"/>
        <w:spacing w:line="560" w:lineRule="exact"/>
        <w:ind w:firstLine="640" w:firstLineChars="200"/>
        <w:rPr>
          <w:rFonts w:ascii="仿宋" w:hAnsi="仿宋" w:eastAsia="仿宋"/>
          <w:sz w:val="32"/>
          <w:szCs w:val="32"/>
        </w:rPr>
      </w:pPr>
      <w:r>
        <w:rPr>
          <w:rFonts w:hint="eastAsia" w:ascii="黑体" w:hAnsi="黑体" w:eastAsia="黑体" w:cs="宋体"/>
          <w:kern w:val="0"/>
          <w:sz w:val="32"/>
          <w:szCs w:val="32"/>
        </w:rPr>
        <w:t>四、推动区域合作互动。</w:t>
      </w:r>
      <w:r>
        <w:rPr>
          <w:rFonts w:hint="eastAsia" w:ascii="仿宋" w:hAnsi="仿宋" w:eastAsia="仿宋" w:cs="宋体"/>
          <w:kern w:val="0"/>
          <w:sz w:val="32"/>
          <w:szCs w:val="32"/>
        </w:rPr>
        <w:t>立足长三角一体化、合肥都市圈发展战略，继续坚持领导带头招商，县四个班子负责人每季度开展一次外出专题招商活动，乡镇、县直单位每季度有针对性外出</w:t>
      </w:r>
      <w:r>
        <w:rPr>
          <w:rFonts w:hint="eastAsia" w:ascii="仿宋" w:hAnsi="仿宋" w:eastAsia="仿宋" w:cs="宋体"/>
          <w:kern w:val="0"/>
          <w:sz w:val="32"/>
          <w:szCs w:val="32"/>
          <w:u w:val="none"/>
        </w:rPr>
        <w:t>开展产业招商不少于</w:t>
      </w:r>
      <w:r>
        <w:rPr>
          <w:rFonts w:ascii="仿宋" w:hAnsi="仿宋" w:eastAsia="仿宋" w:cs="Times New Roman"/>
          <w:kern w:val="0"/>
          <w:sz w:val="32"/>
          <w:szCs w:val="32"/>
          <w:u w:val="none"/>
        </w:rPr>
        <w:t>1</w:t>
      </w:r>
      <w:r>
        <w:rPr>
          <w:rFonts w:hint="eastAsia" w:ascii="仿宋" w:hAnsi="仿宋" w:eastAsia="仿宋" w:cs="宋体"/>
          <w:kern w:val="0"/>
          <w:sz w:val="32"/>
          <w:szCs w:val="32"/>
          <w:u w:val="none"/>
        </w:rPr>
        <w:t>次。</w:t>
      </w:r>
      <w:r>
        <w:rPr>
          <w:rFonts w:hint="eastAsia" w:ascii="仿宋" w:hAnsi="仿宋" w:eastAsia="仿宋"/>
          <w:sz w:val="32"/>
          <w:szCs w:val="32"/>
          <w:u w:val="none"/>
        </w:rPr>
        <w:t>霍邱</w:t>
      </w:r>
      <w:r>
        <w:rPr>
          <w:rFonts w:hint="eastAsia" w:ascii="仿宋" w:hAnsi="仿宋" w:eastAsia="仿宋" w:cs="宋体"/>
          <w:kern w:val="0"/>
          <w:sz w:val="32"/>
          <w:szCs w:val="32"/>
          <w:u w:val="none"/>
        </w:rPr>
        <w:t>经济开发区强化东向合作意识，与沪苏浙地区确立结对园区</w:t>
      </w:r>
      <w:r>
        <w:rPr>
          <w:rFonts w:ascii="仿宋" w:hAnsi="仿宋" w:eastAsia="仿宋" w:cs="Times New Roman"/>
          <w:kern w:val="0"/>
          <w:sz w:val="32"/>
          <w:szCs w:val="32"/>
          <w:u w:val="none"/>
        </w:rPr>
        <w:t>1</w:t>
      </w:r>
      <w:r>
        <w:rPr>
          <w:rFonts w:hint="eastAsia" w:ascii="仿宋" w:hAnsi="仿宋" w:eastAsia="仿宋" w:cs="宋体"/>
          <w:kern w:val="0"/>
          <w:sz w:val="32"/>
          <w:szCs w:val="32"/>
          <w:u w:val="none"/>
        </w:rPr>
        <w:t>个以上</w:t>
      </w:r>
      <w:r>
        <w:rPr>
          <w:rFonts w:hint="eastAsia" w:ascii="仿宋" w:hAnsi="仿宋" w:eastAsia="仿宋"/>
          <w:sz w:val="32"/>
          <w:szCs w:val="32"/>
          <w:u w:val="none"/>
        </w:rPr>
        <w:t>。</w:t>
      </w:r>
      <w:r>
        <w:rPr>
          <w:rFonts w:hint="eastAsia" w:ascii="仿宋" w:hAnsi="仿宋" w:eastAsia="仿宋" w:cs="宋体"/>
          <w:kern w:val="0"/>
          <w:sz w:val="32"/>
          <w:szCs w:val="32"/>
        </w:rPr>
        <w:t>合肥高新区霍邱现代产业园</w:t>
      </w:r>
      <w:r>
        <w:rPr>
          <w:rFonts w:hint="eastAsia" w:ascii="仿宋" w:hAnsi="仿宋" w:eastAsia="仿宋"/>
          <w:sz w:val="32"/>
          <w:szCs w:val="32"/>
          <w:lang w:val="zh-CN"/>
        </w:rPr>
        <w:t>继续深化拓展与合肥高新区产业链接合作，</w:t>
      </w:r>
      <w:r>
        <w:rPr>
          <w:rFonts w:hint="eastAsia" w:ascii="仿宋" w:hAnsi="仿宋" w:eastAsia="仿宋" w:cs="宋体"/>
          <w:kern w:val="0"/>
          <w:sz w:val="32"/>
          <w:szCs w:val="32"/>
        </w:rPr>
        <w:t>每月赴</w:t>
      </w:r>
      <w:r>
        <w:rPr>
          <w:rFonts w:hint="eastAsia" w:ascii="仿宋" w:hAnsi="仿宋" w:eastAsia="仿宋"/>
          <w:sz w:val="32"/>
          <w:szCs w:val="32"/>
        </w:rPr>
        <w:t>合肥市开展结对园区专题对接1次以</w:t>
      </w:r>
      <w:r>
        <w:rPr>
          <w:rFonts w:hint="eastAsia" w:ascii="仿宋" w:hAnsi="仿宋" w:eastAsia="仿宋" w:cs="宋体"/>
          <w:kern w:val="0"/>
          <w:sz w:val="32"/>
          <w:szCs w:val="32"/>
        </w:rPr>
        <w:t>上，</w:t>
      </w:r>
      <w:r>
        <w:rPr>
          <w:rFonts w:hint="eastAsia" w:ascii="仿宋" w:hAnsi="仿宋" w:eastAsia="仿宋"/>
          <w:sz w:val="32"/>
          <w:szCs w:val="32"/>
          <w:u w:val="none"/>
        </w:rPr>
        <w:t>2022年度引进</w:t>
      </w:r>
      <w:r>
        <w:rPr>
          <w:rFonts w:hint="eastAsia" w:ascii="仿宋" w:hAnsi="仿宋" w:eastAsia="仿宋"/>
          <w:sz w:val="32"/>
          <w:szCs w:val="32"/>
          <w:u w:val="none"/>
          <w:lang w:val="zh-CN"/>
        </w:rPr>
        <w:t>合肥高新区合作招商固投亿元项目</w:t>
      </w:r>
      <w:r>
        <w:rPr>
          <w:rFonts w:hint="eastAsia" w:ascii="仿宋" w:hAnsi="仿宋" w:eastAsia="仿宋"/>
          <w:sz w:val="32"/>
          <w:szCs w:val="32"/>
          <w:u w:val="none"/>
        </w:rPr>
        <w:t>5个以上。</w:t>
      </w:r>
      <w:r>
        <w:rPr>
          <w:rFonts w:hint="eastAsia" w:ascii="仿宋" w:hAnsi="仿宋" w:eastAsia="仿宋" w:cs="宋体"/>
          <w:kern w:val="0"/>
          <w:sz w:val="32"/>
          <w:szCs w:val="32"/>
          <w:u w:val="none"/>
        </w:rPr>
        <w:t>长集现代农业产业园继续推进与上海市青浦区的友好合作，扩大园</w:t>
      </w:r>
      <w:r>
        <w:rPr>
          <w:rFonts w:hint="eastAsia" w:ascii="仿宋" w:hAnsi="仿宋" w:eastAsia="仿宋" w:cs="宋体"/>
          <w:kern w:val="0"/>
          <w:sz w:val="32"/>
          <w:szCs w:val="32"/>
        </w:rPr>
        <w:t>区、产业、企业等多维度对接，做好</w:t>
      </w:r>
      <w:r>
        <w:rPr>
          <w:rFonts w:ascii="仿宋" w:hAnsi="仿宋" w:eastAsia="仿宋" w:cs="Times New Roman"/>
          <w:kern w:val="0"/>
          <w:sz w:val="32"/>
          <w:szCs w:val="32"/>
        </w:rPr>
        <w:t>“</w:t>
      </w:r>
      <w:r>
        <w:rPr>
          <w:rFonts w:hint="eastAsia" w:ascii="仿宋" w:hAnsi="仿宋" w:eastAsia="仿宋" w:cs="宋体"/>
          <w:kern w:val="0"/>
          <w:sz w:val="32"/>
          <w:szCs w:val="32"/>
        </w:rPr>
        <w:t>农字号</w:t>
      </w:r>
      <w:r>
        <w:rPr>
          <w:rFonts w:ascii="仿宋" w:hAnsi="仿宋" w:eastAsia="仿宋" w:cs="Times New Roman"/>
          <w:kern w:val="0"/>
          <w:sz w:val="32"/>
          <w:szCs w:val="32"/>
        </w:rPr>
        <w:t>”</w:t>
      </w:r>
      <w:r>
        <w:rPr>
          <w:rFonts w:hint="eastAsia" w:ascii="仿宋" w:hAnsi="仿宋" w:eastAsia="仿宋" w:cs="宋体"/>
          <w:kern w:val="0"/>
          <w:sz w:val="32"/>
          <w:szCs w:val="32"/>
        </w:rPr>
        <w:t>产业承接工作。</w:t>
      </w:r>
      <w:r>
        <w:rPr>
          <w:rFonts w:ascii="仿宋" w:hAnsi="仿宋" w:eastAsia="仿宋"/>
          <w:sz w:val="32"/>
          <w:szCs w:val="32"/>
        </w:rPr>
        <w:t>常态化开展业务知识和招商技能培训，定期组织招商人员到发达地区实践学习</w:t>
      </w:r>
      <w:r>
        <w:rPr>
          <w:rFonts w:hint="eastAsia" w:ascii="仿宋" w:hAnsi="仿宋" w:eastAsia="仿宋"/>
          <w:sz w:val="32"/>
          <w:szCs w:val="32"/>
        </w:rPr>
        <w:t>，每年不少于3次。强化</w:t>
      </w:r>
      <w:r>
        <w:rPr>
          <w:rFonts w:hint="eastAsia" w:ascii="仿宋" w:hAnsi="仿宋" w:eastAsia="仿宋"/>
          <w:sz w:val="32"/>
          <w:szCs w:val="32"/>
          <w:lang w:val="zh-CN"/>
        </w:rPr>
        <w:t>驻外招商工作，充分发挥驻外招商</w:t>
      </w:r>
      <w:r>
        <w:rPr>
          <w:rFonts w:hint="eastAsia" w:ascii="仿宋" w:hAnsi="仿宋" w:eastAsia="仿宋"/>
          <w:sz w:val="32"/>
          <w:szCs w:val="32"/>
        </w:rPr>
        <w:t>联络处的桥梁作用，积极推进县域优势产业资源与长三角、珠三角、京津冀及合肥都市圈的有效链接，做好产业转移及配套项目承接</w:t>
      </w:r>
      <w:r>
        <w:rPr>
          <w:rFonts w:hint="eastAsia" w:ascii="仿宋" w:hAnsi="仿宋" w:eastAsia="仿宋"/>
          <w:sz w:val="32"/>
          <w:szCs w:val="32"/>
          <w:lang w:eastAsia="zh-CN"/>
        </w:rPr>
        <w:t>落地建设服务</w:t>
      </w:r>
      <w:r>
        <w:rPr>
          <w:rFonts w:hint="eastAsia" w:ascii="仿宋" w:hAnsi="仿宋" w:eastAsia="仿宋"/>
          <w:sz w:val="32"/>
          <w:szCs w:val="32"/>
        </w:rPr>
        <w:t>工作。</w:t>
      </w:r>
    </w:p>
    <w:p>
      <w:pPr>
        <w:adjustRightInd w:val="0"/>
        <w:snapToGrid w:val="0"/>
        <w:spacing w:line="560" w:lineRule="exact"/>
        <w:ind w:firstLine="640" w:firstLineChars="200"/>
        <w:rPr>
          <w:rFonts w:hint="eastAsia" w:ascii="仿宋" w:hAnsi="仿宋" w:eastAsia="仿宋" w:cs="宋体"/>
          <w:kern w:val="0"/>
          <w:sz w:val="32"/>
          <w:szCs w:val="32"/>
          <w:u w:val="none"/>
        </w:rPr>
      </w:pPr>
      <w:r>
        <w:rPr>
          <w:rFonts w:hint="eastAsia" w:ascii="黑体" w:hAnsi="黑体" w:eastAsia="黑体" w:cs="宋体"/>
          <w:kern w:val="0"/>
          <w:sz w:val="32"/>
          <w:szCs w:val="32"/>
        </w:rPr>
        <w:t>五、积极推进资本招商。</w:t>
      </w:r>
      <w:r>
        <w:rPr>
          <w:rFonts w:hint="eastAsia" w:ascii="仿宋" w:hAnsi="仿宋" w:eastAsia="仿宋" w:cs="仿宋_GB2312"/>
          <w:sz w:val="32"/>
          <w:szCs w:val="32"/>
        </w:rPr>
        <w:t>围绕科技含量高、产业成长性强、带动效应大的工业项目，</w:t>
      </w:r>
      <w:r>
        <w:rPr>
          <w:rFonts w:ascii="仿宋" w:hAnsi="仿宋" w:eastAsia="仿宋" w:cs="仿宋_GB2312"/>
          <w:kern w:val="0"/>
          <w:sz w:val="32"/>
          <w:szCs w:val="32"/>
        </w:rPr>
        <w:t>县属国有投资公司</w:t>
      </w:r>
      <w:r>
        <w:rPr>
          <w:rFonts w:hint="eastAsia" w:ascii="仿宋" w:hAnsi="仿宋" w:eastAsia="仿宋" w:cs="仿宋_GB2312"/>
          <w:kern w:val="0"/>
          <w:sz w:val="32"/>
          <w:szCs w:val="32"/>
        </w:rPr>
        <w:t>要提升资本招商市场化、专业化水平，通过</w:t>
      </w:r>
      <w:r>
        <w:rPr>
          <w:rFonts w:ascii="仿宋" w:hAnsi="仿宋" w:eastAsia="仿宋" w:cs="Times New Roman"/>
          <w:kern w:val="0"/>
          <w:sz w:val="32"/>
          <w:szCs w:val="32"/>
        </w:rPr>
        <w:t>“</w:t>
      </w:r>
      <w:r>
        <w:rPr>
          <w:rFonts w:hint="eastAsia" w:ascii="仿宋" w:hAnsi="仿宋" w:eastAsia="仿宋" w:cs="仿宋_GB2312"/>
          <w:kern w:val="0"/>
          <w:sz w:val="32"/>
          <w:szCs w:val="32"/>
        </w:rPr>
        <w:t>募、投、管、退</w:t>
      </w:r>
      <w:r>
        <w:rPr>
          <w:rFonts w:ascii="仿宋" w:hAnsi="仿宋" w:eastAsia="仿宋" w:cs="仿宋_GB2312"/>
          <w:kern w:val="0"/>
          <w:sz w:val="32"/>
          <w:szCs w:val="32"/>
        </w:rPr>
        <w:t>”</w:t>
      </w:r>
      <w:r>
        <w:rPr>
          <w:rFonts w:hint="eastAsia" w:ascii="仿宋" w:hAnsi="仿宋" w:eastAsia="仿宋" w:cs="仿宋_GB2312"/>
          <w:kern w:val="0"/>
          <w:sz w:val="32"/>
          <w:szCs w:val="32"/>
        </w:rPr>
        <w:t>方式，着力引进社会资本和专业投资管理机构，积极争取与国家、省市级投资基金合作，通过合作、跟投等方式，充分发挥产投基金的“杠杆撬动”作用，促进龙头型、科创型项目落户县内。</w:t>
      </w:r>
      <w:r>
        <w:rPr>
          <w:rFonts w:hint="eastAsia" w:ascii="仿宋" w:hAnsi="仿宋" w:eastAsia="仿宋"/>
          <w:sz w:val="32"/>
          <w:szCs w:val="32"/>
        </w:rPr>
        <w:t>加强与市级</w:t>
      </w:r>
      <w:r>
        <w:rPr>
          <w:rFonts w:hint="eastAsia" w:ascii="仿宋" w:hAnsi="仿宋" w:eastAsia="仿宋"/>
          <w:sz w:val="32"/>
          <w:szCs w:val="32"/>
          <w:lang w:eastAsia="zh-CN"/>
        </w:rPr>
        <w:t>及相关</w:t>
      </w:r>
      <w:r>
        <w:rPr>
          <w:rFonts w:hint="eastAsia" w:ascii="仿宋" w:hAnsi="仿宋" w:eastAsia="仿宋"/>
          <w:sz w:val="32"/>
          <w:szCs w:val="32"/>
        </w:rPr>
        <w:t>产业基金</w:t>
      </w:r>
      <w:r>
        <w:rPr>
          <w:rFonts w:hint="eastAsia" w:ascii="仿宋" w:hAnsi="仿宋" w:eastAsia="仿宋"/>
          <w:sz w:val="32"/>
          <w:szCs w:val="32"/>
          <w:lang w:eastAsia="zh-CN"/>
        </w:rPr>
        <w:t>合作，</w:t>
      </w:r>
      <w:r>
        <w:rPr>
          <w:rFonts w:hint="eastAsia" w:ascii="仿宋" w:hAnsi="仿宋" w:eastAsia="仿宋"/>
          <w:sz w:val="32"/>
          <w:szCs w:val="32"/>
        </w:rPr>
        <w:t>共同设立</w:t>
      </w:r>
      <w:r>
        <w:rPr>
          <w:rFonts w:hint="eastAsia" w:ascii="仿宋" w:hAnsi="仿宋" w:eastAsia="仿宋"/>
          <w:sz w:val="32"/>
          <w:szCs w:val="32"/>
          <w:lang w:eastAsia="zh-CN"/>
        </w:rPr>
        <w:t>适合我县产业发展需求的项目</w:t>
      </w:r>
      <w:r>
        <w:rPr>
          <w:rFonts w:hint="eastAsia" w:ascii="仿宋" w:hAnsi="仿宋" w:eastAsia="仿宋"/>
          <w:sz w:val="32"/>
          <w:szCs w:val="32"/>
        </w:rPr>
        <w:t>引导基金</w:t>
      </w:r>
      <w:r>
        <w:rPr>
          <w:rFonts w:hint="eastAsia" w:ascii="仿宋" w:hAnsi="仿宋" w:eastAsia="仿宋"/>
          <w:sz w:val="32"/>
          <w:szCs w:val="32"/>
          <w:lang w:eastAsia="zh-CN"/>
        </w:rPr>
        <w:t>，</w:t>
      </w:r>
      <w:r>
        <w:rPr>
          <w:rFonts w:hint="eastAsia" w:ascii="仿宋" w:hAnsi="仿宋" w:eastAsia="仿宋" w:cs="宋体"/>
          <w:kern w:val="0"/>
          <w:sz w:val="32"/>
          <w:szCs w:val="32"/>
          <w:u w:val="none"/>
        </w:rPr>
        <w:t>2022年</w:t>
      </w:r>
      <w:r>
        <w:rPr>
          <w:rFonts w:hint="eastAsia" w:ascii="仿宋" w:hAnsi="仿宋" w:eastAsia="仿宋"/>
          <w:sz w:val="32"/>
          <w:szCs w:val="32"/>
          <w:u w:val="none"/>
        </w:rPr>
        <w:t>县级产业投资基金规模不低于5亿元</w:t>
      </w:r>
      <w:r>
        <w:rPr>
          <w:rFonts w:hint="eastAsia" w:ascii="仿宋" w:hAnsi="仿宋" w:eastAsia="仿宋"/>
          <w:sz w:val="32"/>
          <w:szCs w:val="32"/>
          <w:u w:val="none"/>
          <w:lang w:eastAsia="zh-CN"/>
        </w:rPr>
        <w:t>。要宣传</w:t>
      </w:r>
      <w:r>
        <w:rPr>
          <w:rFonts w:hint="eastAsia" w:ascii="仿宋" w:hAnsi="仿宋" w:eastAsia="仿宋" w:cs="宋体"/>
          <w:kern w:val="0"/>
          <w:sz w:val="32"/>
          <w:szCs w:val="32"/>
          <w:u w:val="none"/>
        </w:rPr>
        <w:t>引导金融机构同步或提前介入招商洽谈工作</w:t>
      </w:r>
      <w:r>
        <w:rPr>
          <w:rFonts w:hint="eastAsia" w:ascii="仿宋" w:hAnsi="仿宋" w:eastAsia="仿宋" w:cs="宋体"/>
          <w:kern w:val="0"/>
          <w:sz w:val="32"/>
          <w:szCs w:val="32"/>
          <w:u w:val="none"/>
          <w:lang w:eastAsia="zh-CN"/>
        </w:rPr>
        <w:t>，促进投资机构在我县开展资本招商</w:t>
      </w:r>
      <w:r>
        <w:rPr>
          <w:rFonts w:hint="eastAsia" w:ascii="仿宋" w:hAnsi="仿宋" w:eastAsia="仿宋" w:cs="宋体"/>
          <w:kern w:val="0"/>
          <w:sz w:val="32"/>
          <w:szCs w:val="32"/>
          <w:u w:val="none"/>
        </w:rPr>
        <w:t>。县属国有投资公司</w:t>
      </w:r>
      <w:r>
        <w:rPr>
          <w:rFonts w:hint="eastAsia" w:ascii="仿宋" w:hAnsi="仿宋" w:eastAsia="仿宋" w:cs="宋体"/>
          <w:kern w:val="0"/>
          <w:sz w:val="32"/>
          <w:szCs w:val="32"/>
          <w:u w:val="none"/>
          <w:lang w:eastAsia="zh-CN"/>
        </w:rPr>
        <w:t>要运用市场逻辑和规范机制，强化</w:t>
      </w:r>
      <w:r>
        <w:rPr>
          <w:rFonts w:hint="eastAsia" w:ascii="仿宋" w:hAnsi="仿宋" w:eastAsia="仿宋" w:cs="宋体"/>
          <w:kern w:val="0"/>
          <w:sz w:val="32"/>
          <w:szCs w:val="32"/>
          <w:u w:val="none"/>
        </w:rPr>
        <w:t>对发展前景好、科技成长性高等类型加工制造业</w:t>
      </w:r>
      <w:r>
        <w:rPr>
          <w:rFonts w:hint="eastAsia" w:ascii="仿宋" w:hAnsi="仿宋" w:eastAsia="仿宋" w:cs="宋体"/>
          <w:kern w:val="0"/>
          <w:sz w:val="32"/>
          <w:szCs w:val="32"/>
          <w:u w:val="none"/>
          <w:lang w:eastAsia="zh-CN"/>
        </w:rPr>
        <w:t>招商</w:t>
      </w:r>
      <w:r>
        <w:rPr>
          <w:rFonts w:hint="eastAsia" w:ascii="仿宋" w:hAnsi="仿宋" w:eastAsia="仿宋" w:cs="宋体"/>
          <w:kern w:val="0"/>
          <w:sz w:val="32"/>
          <w:szCs w:val="32"/>
          <w:u w:val="none"/>
        </w:rPr>
        <w:t>项目</w:t>
      </w:r>
      <w:r>
        <w:rPr>
          <w:rFonts w:hint="eastAsia" w:ascii="仿宋" w:hAnsi="仿宋" w:eastAsia="仿宋" w:cs="宋体"/>
          <w:kern w:val="0"/>
          <w:sz w:val="32"/>
          <w:szCs w:val="32"/>
          <w:u w:val="none"/>
          <w:lang w:eastAsia="zh-CN"/>
        </w:rPr>
        <w:t>进行投资融资合作</w:t>
      </w:r>
      <w:r>
        <w:rPr>
          <w:rFonts w:hint="eastAsia" w:ascii="仿宋" w:hAnsi="仿宋" w:eastAsia="仿宋" w:cs="宋体"/>
          <w:kern w:val="0"/>
          <w:sz w:val="32"/>
          <w:szCs w:val="32"/>
          <w:u w:val="none"/>
        </w:rPr>
        <w:t>，</w:t>
      </w:r>
      <w:r>
        <w:rPr>
          <w:rFonts w:hint="eastAsia" w:ascii="仿宋" w:hAnsi="仿宋" w:eastAsia="仿宋" w:cs="宋体"/>
          <w:kern w:val="0"/>
          <w:sz w:val="32"/>
          <w:szCs w:val="32"/>
          <w:u w:val="none"/>
          <w:lang w:eastAsia="zh-CN"/>
        </w:rPr>
        <w:t>可以采取</w:t>
      </w:r>
      <w:r>
        <w:rPr>
          <w:rFonts w:hint="eastAsia" w:ascii="仿宋" w:hAnsi="仿宋" w:eastAsia="仿宋" w:cs="宋体"/>
          <w:kern w:val="0"/>
          <w:sz w:val="32"/>
          <w:szCs w:val="32"/>
          <w:u w:val="none"/>
        </w:rPr>
        <w:t>产业投资基金</w:t>
      </w:r>
      <w:r>
        <w:rPr>
          <w:rFonts w:hint="eastAsia" w:ascii="仿宋" w:hAnsi="仿宋" w:eastAsia="仿宋" w:cs="宋体"/>
          <w:kern w:val="0"/>
          <w:sz w:val="32"/>
          <w:szCs w:val="32"/>
          <w:u w:val="none"/>
          <w:lang w:eastAsia="zh-CN"/>
        </w:rPr>
        <w:t>、</w:t>
      </w:r>
      <w:r>
        <w:rPr>
          <w:rFonts w:hint="eastAsia" w:ascii="仿宋" w:hAnsi="仿宋" w:eastAsia="仿宋" w:cs="宋体"/>
          <w:kern w:val="0"/>
          <w:sz w:val="32"/>
          <w:szCs w:val="32"/>
          <w:u w:val="none"/>
        </w:rPr>
        <w:t>土地作价入股、债转股、跟进投资等</w:t>
      </w:r>
      <w:r>
        <w:rPr>
          <w:rFonts w:hint="eastAsia" w:ascii="仿宋" w:hAnsi="仿宋" w:eastAsia="仿宋" w:cs="宋体"/>
          <w:kern w:val="0"/>
          <w:sz w:val="32"/>
          <w:szCs w:val="32"/>
          <w:u w:val="none"/>
          <w:lang w:eastAsia="zh-CN"/>
        </w:rPr>
        <w:t>不同</w:t>
      </w:r>
      <w:r>
        <w:rPr>
          <w:rFonts w:hint="eastAsia" w:ascii="仿宋" w:hAnsi="仿宋" w:eastAsia="仿宋" w:cs="宋体"/>
          <w:kern w:val="0"/>
          <w:sz w:val="32"/>
          <w:szCs w:val="32"/>
          <w:u w:val="none"/>
        </w:rPr>
        <w:t>方式进行合作实施</w:t>
      </w:r>
      <w:r>
        <w:rPr>
          <w:rFonts w:hint="eastAsia" w:ascii="仿宋" w:hAnsi="仿宋" w:eastAsia="仿宋" w:cs="宋体"/>
          <w:kern w:val="0"/>
          <w:sz w:val="32"/>
          <w:szCs w:val="32"/>
          <w:u w:val="none"/>
          <w:lang w:eastAsia="zh-CN"/>
        </w:rPr>
        <w:t>，</w:t>
      </w:r>
      <w:r>
        <w:rPr>
          <w:rFonts w:hint="eastAsia" w:ascii="仿宋" w:hAnsi="仿宋" w:eastAsia="仿宋" w:cs="宋体"/>
          <w:kern w:val="0"/>
          <w:sz w:val="32"/>
          <w:szCs w:val="32"/>
          <w:u w:val="none"/>
        </w:rPr>
        <w:t>参股不超</w:t>
      </w:r>
      <w:r>
        <w:rPr>
          <w:rFonts w:hint="eastAsia" w:ascii="仿宋" w:hAnsi="仿宋" w:eastAsia="仿宋" w:cs="宋体"/>
          <w:kern w:val="0"/>
          <w:sz w:val="32"/>
          <w:szCs w:val="32"/>
          <w:u w:val="none"/>
          <w:lang w:eastAsia="zh-CN"/>
        </w:rPr>
        <w:t>项目固投总额</w:t>
      </w:r>
      <w:r>
        <w:rPr>
          <w:rFonts w:hint="eastAsia" w:ascii="仿宋" w:hAnsi="仿宋" w:eastAsia="仿宋" w:cs="宋体"/>
          <w:kern w:val="0"/>
          <w:sz w:val="32"/>
          <w:szCs w:val="32"/>
          <w:u w:val="none"/>
        </w:rPr>
        <w:t>20</w:t>
      </w:r>
      <w:r>
        <w:rPr>
          <w:rFonts w:hint="eastAsia" w:ascii="仿宋" w:hAnsi="仿宋" w:eastAsia="仿宋" w:cstheme="minorEastAsia"/>
          <w:kern w:val="0"/>
          <w:sz w:val="32"/>
          <w:szCs w:val="32"/>
          <w:u w:val="none"/>
        </w:rPr>
        <w:t>%</w:t>
      </w:r>
      <w:r>
        <w:rPr>
          <w:rFonts w:hint="eastAsia" w:ascii="仿宋" w:hAnsi="仿宋" w:eastAsia="仿宋" w:cs="宋体"/>
          <w:kern w:val="0"/>
          <w:sz w:val="32"/>
          <w:szCs w:val="32"/>
          <w:u w:val="none"/>
        </w:rPr>
        <w:t>。</w:t>
      </w:r>
    </w:p>
    <w:p>
      <w:pPr>
        <w:adjustRightInd w:val="0"/>
        <w:snapToGrid w:val="0"/>
        <w:spacing w:line="560" w:lineRule="exact"/>
        <w:ind w:firstLine="640" w:firstLineChars="200"/>
        <w:rPr>
          <w:rFonts w:ascii="仿宋" w:hAnsi="仿宋" w:eastAsia="仿宋"/>
          <w:sz w:val="32"/>
          <w:szCs w:val="32"/>
        </w:rPr>
      </w:pPr>
      <w:r>
        <w:rPr>
          <w:rFonts w:hint="eastAsia" w:ascii="黑体" w:hAnsi="黑体" w:eastAsia="黑体" w:cs="宋体"/>
          <w:kern w:val="0"/>
          <w:sz w:val="32"/>
          <w:szCs w:val="32"/>
        </w:rPr>
        <w:t>六、加快要素制约破解。</w:t>
      </w:r>
      <w:r>
        <w:rPr>
          <w:rFonts w:hint="eastAsia" w:ascii="仿宋" w:hAnsi="仿宋" w:eastAsia="仿宋"/>
          <w:sz w:val="32"/>
          <w:szCs w:val="32"/>
        </w:rPr>
        <w:t>加大对项目在用地、能耗、产能等受限指标上的破解力度。</w:t>
      </w:r>
      <w:r>
        <w:rPr>
          <w:rFonts w:ascii="仿宋" w:hAnsi="仿宋" w:eastAsia="仿宋"/>
          <w:sz w:val="32"/>
          <w:szCs w:val="32"/>
          <w:u w:val="none"/>
        </w:rPr>
        <w:t>通过“增减挂”、工业用地长期租赁、先租后让、租让结合等供地模式，确保快速供地，采取分步供给、容缺审批等方式，推进项目分期分步建设，提速项目</w:t>
      </w:r>
      <w:r>
        <w:rPr>
          <w:rFonts w:hint="eastAsia" w:ascii="仿宋" w:hAnsi="仿宋" w:eastAsia="仿宋"/>
          <w:sz w:val="32"/>
          <w:szCs w:val="32"/>
          <w:u w:val="none"/>
          <w:lang w:eastAsia="zh-CN"/>
        </w:rPr>
        <w:t>进度</w:t>
      </w:r>
      <w:r>
        <w:rPr>
          <w:rFonts w:ascii="仿宋" w:hAnsi="仿宋" w:eastAsia="仿宋"/>
          <w:sz w:val="32"/>
          <w:szCs w:val="32"/>
          <w:u w:val="none"/>
        </w:rPr>
        <w:t>。强化集约化要素利用，推进被动依靠“增量指标”向主动挖掘“存量指标”转变，深化“亩均论英雄”改革，推行“用地清单制”，探索集中供地、产权分割方式，促进重点产业链上下游企业以投资联合体形式落户，提升土地利用效益与效率。推进</w:t>
      </w:r>
      <w:r>
        <w:rPr>
          <w:rFonts w:hint="eastAsia" w:ascii="仿宋" w:hAnsi="仿宋" w:eastAsia="仿宋"/>
          <w:sz w:val="32"/>
          <w:szCs w:val="32"/>
          <w:u w:val="none"/>
        </w:rPr>
        <w:t>园区</w:t>
      </w:r>
      <w:r>
        <w:rPr>
          <w:rFonts w:ascii="仿宋" w:hAnsi="仿宋" w:eastAsia="仿宋"/>
          <w:sz w:val="32"/>
          <w:szCs w:val="32"/>
          <w:u w:val="none"/>
        </w:rPr>
        <w:t>主导、社会参与等方式，改造、新建小微企业园，鼓励</w:t>
      </w:r>
      <w:r>
        <w:rPr>
          <w:rFonts w:hint="eastAsia" w:ascii="仿宋" w:hAnsi="仿宋" w:eastAsia="仿宋"/>
          <w:sz w:val="32"/>
          <w:szCs w:val="32"/>
          <w:u w:val="none"/>
        </w:rPr>
        <w:t>支持招引</w:t>
      </w:r>
      <w:r>
        <w:rPr>
          <w:rFonts w:ascii="仿宋" w:hAnsi="仿宋" w:eastAsia="仿宋"/>
          <w:sz w:val="32"/>
          <w:szCs w:val="32"/>
          <w:u w:val="none"/>
        </w:rPr>
        <w:t>企业</w:t>
      </w:r>
      <w:r>
        <w:rPr>
          <w:rFonts w:hint="eastAsia" w:ascii="仿宋" w:hAnsi="仿宋" w:eastAsia="仿宋"/>
          <w:sz w:val="32"/>
          <w:szCs w:val="32"/>
          <w:u w:val="none"/>
        </w:rPr>
        <w:t>投资</w:t>
      </w:r>
      <w:r>
        <w:rPr>
          <w:rFonts w:ascii="仿宋" w:hAnsi="仿宋" w:eastAsia="仿宋"/>
          <w:sz w:val="32"/>
          <w:szCs w:val="32"/>
          <w:u w:val="none"/>
        </w:rPr>
        <w:t>新建</w:t>
      </w:r>
      <w:r>
        <w:rPr>
          <w:rFonts w:hint="eastAsia" w:ascii="仿宋" w:hAnsi="仿宋" w:eastAsia="仿宋"/>
          <w:sz w:val="32"/>
          <w:szCs w:val="32"/>
          <w:u w:val="none"/>
        </w:rPr>
        <w:t>多层标准化</w:t>
      </w:r>
      <w:r>
        <w:rPr>
          <w:rFonts w:ascii="仿宋" w:hAnsi="仿宋" w:eastAsia="仿宋"/>
          <w:sz w:val="32"/>
          <w:szCs w:val="32"/>
          <w:u w:val="none"/>
        </w:rPr>
        <w:t>厂房</w:t>
      </w:r>
      <w:r>
        <w:rPr>
          <w:rFonts w:hint="eastAsia" w:ascii="仿宋" w:hAnsi="仿宋" w:eastAsia="仿宋"/>
          <w:sz w:val="32"/>
          <w:szCs w:val="32"/>
          <w:u w:val="none"/>
        </w:rPr>
        <w:t>。制定</w:t>
      </w:r>
      <w:r>
        <w:rPr>
          <w:rFonts w:ascii="仿宋" w:hAnsi="仿宋" w:eastAsia="仿宋"/>
          <w:sz w:val="32"/>
          <w:szCs w:val="32"/>
          <w:u w:val="none"/>
        </w:rPr>
        <w:t>激励政策</w:t>
      </w:r>
      <w:r>
        <w:rPr>
          <w:rFonts w:hint="eastAsia" w:ascii="仿宋" w:hAnsi="仿宋" w:eastAsia="仿宋"/>
          <w:sz w:val="32"/>
          <w:szCs w:val="32"/>
          <w:u w:val="none"/>
        </w:rPr>
        <w:t>，</w:t>
      </w:r>
      <w:r>
        <w:rPr>
          <w:rFonts w:ascii="仿宋" w:hAnsi="仿宋" w:eastAsia="仿宋"/>
          <w:sz w:val="32"/>
          <w:szCs w:val="32"/>
          <w:u w:val="none"/>
        </w:rPr>
        <w:t>推进市场化要素流动，统筹</w:t>
      </w:r>
      <w:r>
        <w:rPr>
          <w:rFonts w:hint="eastAsia" w:ascii="仿宋" w:hAnsi="仿宋" w:eastAsia="仿宋"/>
          <w:sz w:val="32"/>
          <w:szCs w:val="32"/>
          <w:u w:val="none"/>
        </w:rPr>
        <w:t>县</w:t>
      </w:r>
      <w:r>
        <w:rPr>
          <w:rFonts w:ascii="仿宋" w:hAnsi="仿宋" w:eastAsia="仿宋"/>
          <w:sz w:val="32"/>
          <w:szCs w:val="32"/>
          <w:u w:val="none"/>
        </w:rPr>
        <w:t>域内闲置能耗、产能（铸造）等指标资源，通过“先借后还”或市场化购买</w:t>
      </w:r>
      <w:r>
        <w:rPr>
          <w:rFonts w:hint="eastAsia" w:ascii="仿宋" w:hAnsi="仿宋" w:eastAsia="仿宋"/>
          <w:sz w:val="32"/>
          <w:szCs w:val="32"/>
          <w:u w:val="none"/>
        </w:rPr>
        <w:t>等</w:t>
      </w:r>
      <w:r>
        <w:rPr>
          <w:rFonts w:ascii="仿宋" w:hAnsi="仿宋" w:eastAsia="仿宋"/>
          <w:sz w:val="32"/>
          <w:szCs w:val="32"/>
          <w:u w:val="none"/>
        </w:rPr>
        <w:t>方式，统筹配比相</w:t>
      </w:r>
      <w:r>
        <w:rPr>
          <w:rFonts w:ascii="仿宋" w:hAnsi="仿宋" w:eastAsia="仿宋"/>
          <w:sz w:val="32"/>
          <w:szCs w:val="32"/>
        </w:rPr>
        <w:t>关指标，对重点招商项目优先保障</w:t>
      </w:r>
      <w:r>
        <w:rPr>
          <w:rFonts w:hint="eastAsia" w:ascii="仿宋" w:hAnsi="仿宋" w:eastAsia="仿宋"/>
          <w:sz w:val="32"/>
          <w:szCs w:val="32"/>
        </w:rPr>
        <w:t xml:space="preserve">。    </w:t>
      </w:r>
    </w:p>
    <w:p>
      <w:pPr>
        <w:adjustRightInd w:val="0"/>
        <w:snapToGrid w:val="0"/>
        <w:spacing w:line="560" w:lineRule="exact"/>
        <w:ind w:firstLine="640" w:firstLineChars="200"/>
        <w:rPr>
          <w:rFonts w:ascii="仿宋" w:hAnsi="仿宋" w:eastAsia="仿宋" w:cs="宋体"/>
          <w:kern w:val="0"/>
          <w:sz w:val="32"/>
          <w:szCs w:val="32"/>
          <w:u w:val="none"/>
        </w:rPr>
      </w:pPr>
      <w:r>
        <w:rPr>
          <w:rFonts w:hint="eastAsia" w:ascii="黑体" w:hAnsi="黑体" w:eastAsia="黑体" w:cs="宋体"/>
          <w:kern w:val="0"/>
          <w:sz w:val="32"/>
          <w:szCs w:val="32"/>
        </w:rPr>
        <w:t>七、</w:t>
      </w:r>
      <w:r>
        <w:rPr>
          <w:rFonts w:hint="eastAsia" w:ascii="黑体" w:hAnsi="黑体" w:eastAsia="黑体" w:cs="宋体"/>
          <w:kern w:val="0"/>
          <w:sz w:val="32"/>
          <w:szCs w:val="32"/>
          <w:lang w:val="zh-CN"/>
        </w:rPr>
        <w:t>提升园区发展能级</w:t>
      </w:r>
      <w:r>
        <w:rPr>
          <w:rFonts w:hint="eastAsia" w:ascii="黑体" w:hAnsi="黑体" w:eastAsia="黑体" w:cs="宋体"/>
          <w:kern w:val="0"/>
          <w:sz w:val="32"/>
          <w:szCs w:val="32"/>
        </w:rPr>
        <w:t>。</w:t>
      </w:r>
      <w:r>
        <w:rPr>
          <w:rFonts w:hint="eastAsia" w:ascii="仿宋" w:hAnsi="仿宋" w:eastAsia="仿宋" w:cs="宋体"/>
          <w:kern w:val="0"/>
          <w:sz w:val="32"/>
          <w:szCs w:val="32"/>
        </w:rPr>
        <w:t>加强招商项目载体建设。</w:t>
      </w:r>
      <w:r>
        <w:rPr>
          <w:rFonts w:hint="eastAsia" w:ascii="仿宋" w:hAnsi="仿宋" w:eastAsia="仿宋"/>
          <w:sz w:val="32"/>
          <w:szCs w:val="32"/>
          <w:lang w:val="zh-CN"/>
        </w:rPr>
        <w:t>利用皖北承接产业转移集聚区建设和合作共建园区政策，加快</w:t>
      </w:r>
      <w:r>
        <w:rPr>
          <w:rFonts w:hint="eastAsia" w:ascii="仿宋" w:hAnsi="仿宋" w:eastAsia="仿宋"/>
          <w:sz w:val="32"/>
          <w:szCs w:val="32"/>
        </w:rPr>
        <w:t>推进产业集聚，尽快</w:t>
      </w:r>
      <w:r>
        <w:rPr>
          <w:rFonts w:hint="eastAsia" w:ascii="仿宋" w:hAnsi="仿宋" w:eastAsia="仿宋"/>
          <w:sz w:val="32"/>
          <w:szCs w:val="32"/>
          <w:lang w:val="zh-CN"/>
        </w:rPr>
        <w:t>完善</w:t>
      </w:r>
      <w:r>
        <w:rPr>
          <w:rFonts w:hint="eastAsia" w:ascii="仿宋" w:hAnsi="仿宋" w:eastAsia="仿宋" w:cs="宋体"/>
          <w:kern w:val="0"/>
          <w:sz w:val="32"/>
          <w:szCs w:val="32"/>
        </w:rPr>
        <w:t>霍邱经济开发区、合肥高新区霍邱现代产业园、长集现代农业产业园</w:t>
      </w:r>
      <w:r>
        <w:rPr>
          <w:rFonts w:hint="eastAsia" w:ascii="仿宋" w:hAnsi="仿宋" w:eastAsia="仿宋"/>
          <w:sz w:val="32"/>
          <w:szCs w:val="32"/>
          <w:u w:val="none"/>
          <w:lang w:val="zh-CN"/>
        </w:rPr>
        <w:t>总规控规修编</w:t>
      </w:r>
      <w:r>
        <w:rPr>
          <w:rFonts w:hint="eastAsia" w:eastAsia="仿宋_GB2312"/>
          <w:color w:val="auto"/>
          <w:sz w:val="32"/>
          <w:szCs w:val="32"/>
          <w:u w:val="none"/>
          <w:lang w:val="zh-CN"/>
        </w:rPr>
        <w:t>，</w:t>
      </w:r>
      <w:r>
        <w:rPr>
          <w:rFonts w:hint="eastAsia" w:eastAsia="仿宋_GB2312"/>
          <w:color w:val="auto"/>
          <w:sz w:val="32"/>
          <w:szCs w:val="32"/>
          <w:u w:val="none"/>
          <w:lang w:val="en-US" w:eastAsia="zh-CN"/>
        </w:rPr>
        <w:t>立足</w:t>
      </w:r>
      <w:r>
        <w:rPr>
          <w:rFonts w:hint="eastAsia" w:ascii="仿宋_GB2312" w:hAnsi="宋体" w:eastAsia="仿宋_GB2312" w:cs="宋体"/>
          <w:color w:val="auto"/>
          <w:kern w:val="0"/>
          <w:sz w:val="32"/>
          <w:szCs w:val="32"/>
          <w:lang w:val="en-US" w:eastAsia="zh-CN"/>
        </w:rPr>
        <w:t>功能定位抓招商</w:t>
      </w:r>
      <w:r>
        <w:rPr>
          <w:rFonts w:hint="eastAsia" w:eastAsia="仿宋_GB2312"/>
          <w:color w:val="auto"/>
          <w:sz w:val="32"/>
          <w:szCs w:val="32"/>
          <w:u w:val="none"/>
          <w:lang w:val="zh-CN"/>
        </w:rPr>
        <w:t>；</w:t>
      </w:r>
      <w:r>
        <w:rPr>
          <w:rFonts w:hint="eastAsia" w:ascii="仿宋" w:hAnsi="仿宋" w:eastAsia="仿宋"/>
          <w:sz w:val="32"/>
          <w:szCs w:val="32"/>
          <w:u w:val="none"/>
          <w:lang w:val="zh-CN"/>
        </w:rPr>
        <w:t>着力破解园区发展难题，</w:t>
      </w:r>
      <w:r>
        <w:rPr>
          <w:rFonts w:hint="eastAsia" w:ascii="仿宋" w:hAnsi="仿宋" w:eastAsia="仿宋"/>
          <w:sz w:val="32"/>
          <w:szCs w:val="32"/>
          <w:u w:val="none"/>
        </w:rPr>
        <w:t>做好土地收储，完善配套设施，启动2022年度20万平方米标准化厂房建设，</w:t>
      </w:r>
      <w:r>
        <w:rPr>
          <w:rFonts w:hint="eastAsia" w:ascii="仿宋" w:hAnsi="仿宋" w:eastAsia="仿宋"/>
          <w:sz w:val="32"/>
          <w:szCs w:val="32"/>
          <w:u w:val="none"/>
          <w:lang w:val="zh-CN"/>
        </w:rPr>
        <w:t>不断提升园区招商平台的竞争力。</w:t>
      </w:r>
      <w:r>
        <w:rPr>
          <w:rFonts w:hint="eastAsia" w:ascii="仿宋" w:hAnsi="仿宋" w:eastAsia="仿宋" w:cs="宋体"/>
          <w:kern w:val="0"/>
          <w:sz w:val="32"/>
          <w:szCs w:val="32"/>
          <w:u w:val="none"/>
        </w:rPr>
        <w:t>霍邱经济开发区</w:t>
      </w:r>
      <w:r>
        <w:rPr>
          <w:rFonts w:hint="eastAsia" w:ascii="仿宋" w:hAnsi="仿宋" w:eastAsia="仿宋"/>
          <w:sz w:val="32"/>
          <w:szCs w:val="32"/>
          <w:u w:val="none"/>
          <w:lang w:val="zh-CN"/>
        </w:rPr>
        <w:t>要聚焦皖西钢城建设目标，快速推动铁基新材料产业园等重点项目建设，大力招引钢铁产业加工等铁基新材料产业链项目，加快培育千亿钢铁产业基地。合肥高新区霍邱现代产业园加快起步区建设进度，启动高新创业园二期、大学生返乡创业园等项目建设，加速产城融合步伐，全力</w:t>
      </w:r>
      <w:r>
        <w:rPr>
          <w:rFonts w:hint="eastAsia" w:ascii="仿宋" w:hAnsi="仿宋" w:eastAsia="仿宋" w:cs="宋体"/>
          <w:kern w:val="0"/>
          <w:sz w:val="32"/>
          <w:szCs w:val="32"/>
          <w:u w:val="none"/>
        </w:rPr>
        <w:t>打造面向合肥都市圈的产业</w:t>
      </w:r>
      <w:r>
        <w:rPr>
          <w:rFonts w:ascii="仿宋" w:hAnsi="仿宋" w:eastAsia="仿宋" w:cs="Times New Roman"/>
          <w:kern w:val="0"/>
          <w:sz w:val="32"/>
          <w:szCs w:val="32"/>
          <w:u w:val="none"/>
        </w:rPr>
        <w:t>“</w:t>
      </w:r>
      <w:r>
        <w:rPr>
          <w:rFonts w:hint="eastAsia" w:ascii="仿宋" w:hAnsi="仿宋" w:eastAsia="仿宋" w:cs="宋体"/>
          <w:kern w:val="0"/>
          <w:sz w:val="32"/>
          <w:szCs w:val="32"/>
          <w:u w:val="none"/>
        </w:rPr>
        <w:t>承接园</w:t>
      </w:r>
      <w:r>
        <w:rPr>
          <w:rFonts w:ascii="仿宋" w:hAnsi="仿宋" w:eastAsia="仿宋" w:cs="Times New Roman"/>
          <w:kern w:val="0"/>
          <w:sz w:val="32"/>
          <w:szCs w:val="32"/>
          <w:u w:val="none"/>
        </w:rPr>
        <w:t>”</w:t>
      </w:r>
      <w:r>
        <w:rPr>
          <w:rFonts w:hint="eastAsia" w:ascii="仿宋" w:hAnsi="仿宋" w:eastAsia="仿宋" w:cs="宋体"/>
          <w:kern w:val="0"/>
          <w:sz w:val="32"/>
          <w:szCs w:val="32"/>
          <w:u w:val="none"/>
        </w:rPr>
        <w:t>。</w:t>
      </w:r>
      <w:r>
        <w:rPr>
          <w:rFonts w:hint="eastAsia" w:ascii="仿宋" w:hAnsi="仿宋" w:eastAsia="仿宋"/>
          <w:sz w:val="32"/>
          <w:szCs w:val="32"/>
          <w:u w:val="none"/>
          <w:lang w:val="zh-CN"/>
        </w:rPr>
        <w:t>长集现代农业产业园要继续坚持龙头带动、品牌提升、产业集聚，加大农产品加工转化力度，着力引进培育龙头企业和链主企业，推进农业产业“接二连三”，形成全产业链效应。要</w:t>
      </w:r>
      <w:r>
        <w:rPr>
          <w:rFonts w:hint="eastAsia" w:ascii="仿宋" w:hAnsi="仿宋" w:eastAsia="仿宋" w:cs="宋体"/>
          <w:kern w:val="0"/>
          <w:sz w:val="32"/>
          <w:szCs w:val="32"/>
          <w:u w:val="none"/>
        </w:rPr>
        <w:t>强化对招商引资工作的统筹指导和示范引领，继续执行县领导、乡镇和县直单位主要负责人向</w:t>
      </w:r>
      <w:r>
        <w:rPr>
          <w:rFonts w:hint="eastAsia" w:ascii="仿宋" w:hAnsi="仿宋" w:eastAsia="仿宋" w:cs="宋体"/>
          <w:kern w:val="0"/>
          <w:sz w:val="32"/>
          <w:szCs w:val="32"/>
          <w:u w:val="none"/>
          <w:lang w:eastAsia="zh-CN"/>
        </w:rPr>
        <w:t>霍邱</w:t>
      </w:r>
      <w:r>
        <w:rPr>
          <w:rFonts w:hint="eastAsia" w:ascii="仿宋" w:hAnsi="仿宋" w:eastAsia="仿宋" w:cs="宋体"/>
          <w:kern w:val="0"/>
          <w:sz w:val="32"/>
          <w:szCs w:val="32"/>
          <w:u w:val="none"/>
        </w:rPr>
        <w:t>经济开发区、合肥高新区霍邱现代产业园、长集现代农业产业园引荐工业项目有效线索的奖励。</w:t>
      </w:r>
    </w:p>
    <w:p>
      <w:pPr>
        <w:adjustRightInd w:val="0"/>
        <w:snapToGrid w:val="0"/>
        <w:spacing w:line="560" w:lineRule="exact"/>
        <w:ind w:firstLine="640" w:firstLineChars="200"/>
        <w:rPr>
          <w:rFonts w:ascii="仿宋" w:hAnsi="仿宋" w:eastAsia="仿宋" w:cs="宋体"/>
          <w:kern w:val="0"/>
          <w:sz w:val="32"/>
          <w:szCs w:val="32"/>
          <w:u w:val="none"/>
        </w:rPr>
      </w:pPr>
      <w:r>
        <w:rPr>
          <w:rFonts w:hint="eastAsia" w:ascii="黑体" w:hAnsi="黑体" w:eastAsia="黑体" w:cs="宋体"/>
          <w:kern w:val="0"/>
          <w:sz w:val="32"/>
          <w:szCs w:val="32"/>
          <w:u w:val="none"/>
        </w:rPr>
        <w:t>八、完善工作联动机制。</w:t>
      </w:r>
      <w:r>
        <w:rPr>
          <w:rFonts w:hint="eastAsia" w:ascii="仿宋" w:hAnsi="仿宋" w:eastAsia="仿宋" w:cs="仿宋_GB2312"/>
          <w:kern w:val="0"/>
          <w:sz w:val="32"/>
          <w:szCs w:val="32"/>
          <w:u w:val="none"/>
        </w:rPr>
        <w:t>优化项目管控流程，进一步</w:t>
      </w:r>
      <w:r>
        <w:rPr>
          <w:rFonts w:ascii="仿宋" w:hAnsi="仿宋" w:eastAsia="仿宋"/>
          <w:sz w:val="32"/>
          <w:szCs w:val="32"/>
          <w:u w:val="none"/>
        </w:rPr>
        <w:t>落实省《“双招双引”风险防范指引》要求，加强项目研判、签约、履约、处置全流程管控。强化项目</w:t>
      </w:r>
      <w:r>
        <w:rPr>
          <w:rFonts w:hint="eastAsia" w:ascii="仿宋" w:hAnsi="仿宋" w:eastAsia="仿宋"/>
          <w:sz w:val="32"/>
          <w:szCs w:val="32"/>
          <w:u w:val="none"/>
        </w:rPr>
        <w:t>可行性论证</w:t>
      </w:r>
      <w:r>
        <w:rPr>
          <w:rFonts w:ascii="仿宋" w:hAnsi="仿宋" w:eastAsia="仿宋"/>
          <w:sz w:val="32"/>
          <w:szCs w:val="32"/>
          <w:u w:val="none"/>
        </w:rPr>
        <w:t>，建立</w:t>
      </w:r>
      <w:r>
        <w:rPr>
          <w:rFonts w:hint="eastAsia" w:ascii="仿宋" w:hAnsi="仿宋" w:eastAsia="仿宋"/>
          <w:sz w:val="32"/>
          <w:szCs w:val="32"/>
          <w:u w:val="none"/>
        </w:rPr>
        <w:t>可研</w:t>
      </w:r>
      <w:r>
        <w:rPr>
          <w:rFonts w:ascii="仿宋" w:hAnsi="仿宋" w:eastAsia="仿宋"/>
          <w:sz w:val="32"/>
          <w:szCs w:val="32"/>
          <w:u w:val="none"/>
        </w:rPr>
        <w:t>分析、行业评估、尽职调查、集体决策的项目研判</w:t>
      </w:r>
      <w:r>
        <w:rPr>
          <w:rFonts w:hint="eastAsia" w:ascii="仿宋" w:hAnsi="仿宋" w:eastAsia="仿宋"/>
          <w:sz w:val="32"/>
          <w:szCs w:val="32"/>
          <w:u w:val="none"/>
        </w:rPr>
        <w:t>预审</w:t>
      </w:r>
      <w:r>
        <w:rPr>
          <w:rFonts w:ascii="仿宋" w:hAnsi="仿宋" w:eastAsia="仿宋"/>
          <w:sz w:val="32"/>
          <w:szCs w:val="32"/>
          <w:u w:val="none"/>
        </w:rPr>
        <w:t>机制，严格把控项目能评、环评、安评。规范项目协议，明细项目投资内容、进度、质量、目标及双方权责义务、争议解决等条款，严守政策底线红线，推动项目进度与政策兑现、要素供给挂钩，确保政策兑现有依据、项目推进有抓手。严格项目履约，</w:t>
      </w:r>
      <w:r>
        <w:rPr>
          <w:rFonts w:hint="eastAsia" w:ascii="仿宋" w:hAnsi="仿宋" w:eastAsia="仿宋"/>
          <w:sz w:val="32"/>
          <w:szCs w:val="32"/>
          <w:u w:val="none"/>
        </w:rPr>
        <w:t>各项目落地单位</w:t>
      </w:r>
      <w:r>
        <w:rPr>
          <w:rFonts w:ascii="仿宋" w:hAnsi="仿宋" w:eastAsia="仿宋"/>
          <w:sz w:val="32"/>
          <w:szCs w:val="32"/>
          <w:u w:val="none"/>
        </w:rPr>
        <w:t>在依法依规履行协议约定的同时，及时掌握并督导项目方履行建设进度、预期效益、经营管理等协议条款。加快项目处置，对未按协议约定实施或未完成约定指标的项目，要及时督促项目方依法履约，并按比例核减或不予兑现相关支持政策；对因项目方原因连续未达标或无法履约的项目，要提升处置效率，依法追偿并及时收回要素资源，为新项目落地释放更多要素空间。</w:t>
      </w:r>
      <w:r>
        <w:rPr>
          <w:rFonts w:hint="eastAsia" w:ascii="仿宋" w:hAnsi="仿宋" w:eastAsia="仿宋"/>
          <w:sz w:val="32"/>
          <w:szCs w:val="32"/>
          <w:u w:val="none"/>
        </w:rPr>
        <w:t>加强项目督查推进，健全完善招商项目</w:t>
      </w:r>
      <w:r>
        <w:rPr>
          <w:rFonts w:ascii="仿宋" w:hAnsi="仿宋" w:eastAsia="仿宋"/>
          <w:sz w:val="32"/>
          <w:szCs w:val="32"/>
          <w:u w:val="none"/>
        </w:rPr>
        <w:t>“三库联动”提级调度机制，</w:t>
      </w:r>
      <w:r>
        <w:rPr>
          <w:rFonts w:hint="eastAsia" w:ascii="仿宋" w:hAnsi="仿宋" w:eastAsia="仿宋" w:cs="仿宋_GB2312"/>
          <w:sz w:val="32"/>
          <w:szCs w:val="32"/>
          <w:u w:val="none"/>
        </w:rPr>
        <w:t>对线索项目筛选转化、签约项目落地开工、落地项目建成投产等过程，实行一周一会商、一月一调度、一季度一观摩，全力做好</w:t>
      </w:r>
      <w:r>
        <w:rPr>
          <w:rFonts w:ascii="仿宋" w:hAnsi="仿宋" w:eastAsia="仿宋"/>
          <w:sz w:val="32"/>
          <w:szCs w:val="32"/>
          <w:u w:val="none"/>
        </w:rPr>
        <w:t>项目跟踪、问题反馈、</w:t>
      </w:r>
      <w:r>
        <w:rPr>
          <w:rFonts w:hint="eastAsia" w:ascii="仿宋" w:hAnsi="仿宋" w:eastAsia="仿宋"/>
          <w:sz w:val="32"/>
          <w:szCs w:val="32"/>
          <w:u w:val="none"/>
        </w:rPr>
        <w:t>专项</w:t>
      </w:r>
      <w:r>
        <w:rPr>
          <w:rFonts w:ascii="仿宋" w:hAnsi="仿宋" w:eastAsia="仿宋"/>
          <w:sz w:val="32"/>
          <w:szCs w:val="32"/>
          <w:u w:val="none"/>
        </w:rPr>
        <w:t>督办</w:t>
      </w:r>
      <w:r>
        <w:rPr>
          <w:rFonts w:hint="eastAsia" w:ascii="仿宋" w:hAnsi="仿宋" w:eastAsia="仿宋"/>
          <w:sz w:val="32"/>
          <w:szCs w:val="32"/>
          <w:u w:val="none"/>
        </w:rPr>
        <w:t>等工作</w:t>
      </w:r>
      <w:r>
        <w:rPr>
          <w:rFonts w:ascii="仿宋" w:hAnsi="仿宋" w:eastAsia="仿宋"/>
          <w:sz w:val="32"/>
          <w:szCs w:val="32"/>
          <w:u w:val="none"/>
        </w:rPr>
        <w:t>，实现招商项目清单化、闭环式管理。抓实重点招商项目落地服务保障工作机制，</w:t>
      </w:r>
      <w:r>
        <w:rPr>
          <w:rFonts w:hint="eastAsia" w:ascii="仿宋" w:hAnsi="仿宋" w:eastAsia="仿宋"/>
          <w:sz w:val="32"/>
          <w:szCs w:val="32"/>
          <w:u w:val="none"/>
        </w:rPr>
        <w:t>压实落地单位、引资单位招商主体责任</w:t>
      </w:r>
      <w:r>
        <w:rPr>
          <w:rFonts w:hint="eastAsia" w:ascii="仿宋" w:hAnsi="仿宋" w:eastAsia="仿宋" w:cs="宋体"/>
          <w:kern w:val="0"/>
          <w:sz w:val="32"/>
          <w:szCs w:val="32"/>
          <w:u w:val="none"/>
        </w:rPr>
        <w:t>，</w:t>
      </w:r>
      <w:r>
        <w:rPr>
          <w:rFonts w:ascii="仿宋" w:hAnsi="仿宋" w:eastAsia="仿宋"/>
          <w:sz w:val="32"/>
          <w:szCs w:val="32"/>
          <w:u w:val="none"/>
        </w:rPr>
        <w:t>常态化、现场化开展“抓统促”调度会，提升</w:t>
      </w:r>
      <w:r>
        <w:rPr>
          <w:rFonts w:hint="eastAsia" w:ascii="仿宋" w:hAnsi="仿宋" w:eastAsia="仿宋"/>
          <w:sz w:val="32"/>
          <w:szCs w:val="32"/>
          <w:u w:val="none"/>
        </w:rPr>
        <w:t>项目</w:t>
      </w:r>
      <w:r>
        <w:rPr>
          <w:rFonts w:ascii="仿宋" w:hAnsi="仿宋" w:eastAsia="仿宋"/>
          <w:sz w:val="32"/>
          <w:szCs w:val="32"/>
          <w:u w:val="none"/>
        </w:rPr>
        <w:t>要素保障水平和供给效率</w:t>
      </w:r>
      <w:r>
        <w:rPr>
          <w:rFonts w:hint="eastAsia" w:ascii="仿宋" w:hAnsi="仿宋" w:eastAsia="仿宋"/>
          <w:sz w:val="32"/>
          <w:szCs w:val="32"/>
          <w:u w:val="none"/>
        </w:rPr>
        <w:t>；</w:t>
      </w:r>
      <w:r>
        <w:rPr>
          <w:rFonts w:ascii="仿宋" w:hAnsi="仿宋" w:eastAsia="仿宋"/>
          <w:sz w:val="32"/>
          <w:szCs w:val="32"/>
          <w:u w:val="none"/>
        </w:rPr>
        <w:t>对未如期开工项目进行现场督查，推动项目尽快形成实物工作量。严格落实“扩投资增动能赶超发展”激励机制，</w:t>
      </w:r>
      <w:r>
        <w:rPr>
          <w:rFonts w:hint="eastAsia" w:ascii="仿宋" w:hAnsi="仿宋" w:eastAsia="仿宋"/>
          <w:sz w:val="32"/>
          <w:szCs w:val="32"/>
          <w:u w:val="none"/>
        </w:rPr>
        <w:t>园区、乡镇要加快</w:t>
      </w:r>
      <w:r>
        <w:rPr>
          <w:rFonts w:ascii="仿宋" w:hAnsi="仿宋" w:eastAsia="仿宋"/>
          <w:sz w:val="32"/>
          <w:szCs w:val="32"/>
          <w:u w:val="none"/>
        </w:rPr>
        <w:t>推动招商项目及时纳统，切实将引资成效转化为经济发展</w:t>
      </w:r>
      <w:r>
        <w:rPr>
          <w:rFonts w:hint="eastAsia" w:ascii="仿宋" w:hAnsi="仿宋" w:eastAsia="仿宋"/>
          <w:sz w:val="32"/>
          <w:szCs w:val="32"/>
          <w:u w:val="none"/>
        </w:rPr>
        <w:t>实际</w:t>
      </w:r>
      <w:r>
        <w:rPr>
          <w:rFonts w:ascii="仿宋" w:hAnsi="仿宋" w:eastAsia="仿宋"/>
          <w:sz w:val="32"/>
          <w:szCs w:val="32"/>
          <w:u w:val="none"/>
        </w:rPr>
        <w:t>增量。建立信息共享机制，定期通报各</w:t>
      </w:r>
      <w:r>
        <w:rPr>
          <w:rFonts w:hint="eastAsia" w:ascii="仿宋" w:hAnsi="仿宋" w:eastAsia="仿宋"/>
          <w:sz w:val="32"/>
          <w:szCs w:val="32"/>
          <w:u w:val="none"/>
        </w:rPr>
        <w:t>单位引进项目线索、</w:t>
      </w:r>
      <w:r>
        <w:rPr>
          <w:rFonts w:ascii="仿宋" w:hAnsi="仿宋" w:eastAsia="仿宋"/>
          <w:sz w:val="32"/>
          <w:szCs w:val="32"/>
          <w:u w:val="none"/>
        </w:rPr>
        <w:t>外出招商情况</w:t>
      </w:r>
      <w:r>
        <w:rPr>
          <w:rFonts w:hint="eastAsia" w:ascii="仿宋" w:hAnsi="仿宋" w:eastAsia="仿宋"/>
          <w:sz w:val="32"/>
          <w:szCs w:val="32"/>
          <w:u w:val="none"/>
        </w:rPr>
        <w:t>；</w:t>
      </w:r>
      <w:r>
        <w:rPr>
          <w:rFonts w:ascii="仿宋" w:hAnsi="仿宋" w:eastAsia="仿宋"/>
          <w:sz w:val="32"/>
          <w:szCs w:val="32"/>
          <w:u w:val="none"/>
        </w:rPr>
        <w:t>鼓励</w:t>
      </w:r>
      <w:r>
        <w:rPr>
          <w:rFonts w:hint="eastAsia" w:ascii="仿宋" w:hAnsi="仿宋" w:eastAsia="仿宋"/>
          <w:sz w:val="32"/>
          <w:szCs w:val="32"/>
          <w:u w:val="none"/>
        </w:rPr>
        <w:t>乡镇、园区继续开展好“飞地招商”，</w:t>
      </w:r>
      <w:r>
        <w:rPr>
          <w:rFonts w:ascii="仿宋" w:hAnsi="仿宋" w:eastAsia="仿宋"/>
          <w:sz w:val="32"/>
          <w:szCs w:val="32"/>
          <w:u w:val="none"/>
        </w:rPr>
        <w:t>统筹推荐具备</w:t>
      </w:r>
      <w:r>
        <w:rPr>
          <w:rFonts w:hint="eastAsia" w:ascii="仿宋" w:hAnsi="仿宋" w:eastAsia="仿宋"/>
          <w:sz w:val="32"/>
          <w:szCs w:val="32"/>
          <w:u w:val="none"/>
        </w:rPr>
        <w:t>园区</w:t>
      </w:r>
      <w:r>
        <w:rPr>
          <w:rFonts w:ascii="仿宋" w:hAnsi="仿宋" w:eastAsia="仿宋"/>
          <w:sz w:val="32"/>
          <w:szCs w:val="32"/>
          <w:u w:val="none"/>
        </w:rPr>
        <w:t>落户条件的有价值</w:t>
      </w:r>
      <w:r>
        <w:rPr>
          <w:rFonts w:hint="eastAsia" w:ascii="仿宋" w:hAnsi="仿宋" w:eastAsia="仿宋"/>
          <w:sz w:val="32"/>
          <w:szCs w:val="32"/>
          <w:u w:val="none"/>
        </w:rPr>
        <w:t>项目</w:t>
      </w:r>
      <w:r>
        <w:rPr>
          <w:rFonts w:ascii="仿宋" w:hAnsi="仿宋" w:eastAsia="仿宋"/>
          <w:sz w:val="32"/>
          <w:szCs w:val="32"/>
          <w:u w:val="none"/>
        </w:rPr>
        <w:t>线索</w:t>
      </w:r>
      <w:r>
        <w:rPr>
          <w:rFonts w:hint="eastAsia" w:ascii="仿宋" w:hAnsi="仿宋" w:eastAsia="仿宋"/>
          <w:sz w:val="32"/>
          <w:szCs w:val="32"/>
          <w:u w:val="none"/>
        </w:rPr>
        <w:t>；</w:t>
      </w:r>
      <w:r>
        <w:rPr>
          <w:rFonts w:ascii="仿宋" w:hAnsi="仿宋" w:eastAsia="仿宋"/>
          <w:sz w:val="32"/>
          <w:szCs w:val="32"/>
          <w:u w:val="none"/>
        </w:rPr>
        <w:t>加强与省</w:t>
      </w:r>
      <w:r>
        <w:rPr>
          <w:rFonts w:hint="eastAsia" w:ascii="仿宋" w:hAnsi="仿宋" w:eastAsia="仿宋"/>
          <w:sz w:val="32"/>
          <w:szCs w:val="32"/>
          <w:u w:val="none"/>
        </w:rPr>
        <w:t>市“</w:t>
      </w:r>
      <w:r>
        <w:rPr>
          <w:rFonts w:ascii="仿宋" w:hAnsi="仿宋" w:eastAsia="仿宋"/>
          <w:sz w:val="32"/>
          <w:szCs w:val="32"/>
          <w:u w:val="none"/>
        </w:rPr>
        <w:t>产业</w:t>
      </w:r>
      <w:r>
        <w:rPr>
          <w:rFonts w:hint="eastAsia" w:ascii="仿宋" w:hAnsi="仿宋" w:eastAsia="仿宋"/>
          <w:sz w:val="32"/>
          <w:szCs w:val="32"/>
          <w:u w:val="none"/>
        </w:rPr>
        <w:t>招商</w:t>
      </w:r>
      <w:r>
        <w:rPr>
          <w:rFonts w:ascii="仿宋" w:hAnsi="仿宋" w:eastAsia="仿宋"/>
          <w:sz w:val="32"/>
          <w:szCs w:val="32"/>
          <w:u w:val="none"/>
        </w:rPr>
        <w:t>推进组</w:t>
      </w:r>
      <w:r>
        <w:rPr>
          <w:rFonts w:hint="eastAsia" w:ascii="仿宋" w:hAnsi="仿宋" w:eastAsia="仿宋"/>
          <w:sz w:val="32"/>
          <w:szCs w:val="32"/>
          <w:u w:val="none"/>
        </w:rPr>
        <w:t>”</w:t>
      </w:r>
      <w:r>
        <w:rPr>
          <w:rFonts w:ascii="仿宋" w:hAnsi="仿宋" w:eastAsia="仿宋"/>
          <w:sz w:val="32"/>
          <w:szCs w:val="32"/>
          <w:u w:val="none"/>
        </w:rPr>
        <w:t>衔接联动互动，强化</w:t>
      </w:r>
      <w:r>
        <w:rPr>
          <w:rFonts w:hint="eastAsia" w:ascii="仿宋" w:hAnsi="仿宋" w:eastAsia="仿宋"/>
          <w:sz w:val="32"/>
          <w:szCs w:val="32"/>
          <w:u w:val="none"/>
        </w:rPr>
        <w:t>行业主管部门</w:t>
      </w:r>
      <w:r>
        <w:rPr>
          <w:rFonts w:ascii="仿宋" w:hAnsi="仿宋" w:eastAsia="仿宋"/>
          <w:sz w:val="32"/>
          <w:szCs w:val="32"/>
          <w:u w:val="none"/>
        </w:rPr>
        <w:t>对</w:t>
      </w:r>
      <w:r>
        <w:rPr>
          <w:rFonts w:hint="eastAsia" w:ascii="仿宋" w:hAnsi="仿宋" w:eastAsia="仿宋"/>
          <w:sz w:val="32"/>
          <w:szCs w:val="32"/>
          <w:u w:val="none"/>
        </w:rPr>
        <w:t>产业招商</w:t>
      </w:r>
      <w:r>
        <w:rPr>
          <w:rFonts w:ascii="仿宋" w:hAnsi="仿宋" w:eastAsia="仿宋"/>
          <w:sz w:val="32"/>
          <w:szCs w:val="32"/>
          <w:u w:val="none"/>
        </w:rPr>
        <w:t>的统筹指导、协调服务</w:t>
      </w:r>
      <w:r>
        <w:rPr>
          <w:rFonts w:hint="eastAsia" w:ascii="仿宋" w:hAnsi="仿宋" w:eastAsia="仿宋" w:cs="宋体"/>
          <w:kern w:val="0"/>
          <w:sz w:val="32"/>
          <w:szCs w:val="32"/>
          <w:u w:val="none"/>
        </w:rPr>
        <w:t>。</w:t>
      </w:r>
    </w:p>
    <w:p>
      <w:pPr>
        <w:adjustRightInd w:val="0"/>
        <w:snapToGrid w:val="0"/>
        <w:spacing w:line="560" w:lineRule="exact"/>
        <w:ind w:firstLine="640" w:firstLineChars="200"/>
        <w:rPr>
          <w:rFonts w:ascii="仿宋" w:hAnsi="仿宋" w:eastAsia="仿宋" w:cs="宋体"/>
          <w:kern w:val="0"/>
          <w:sz w:val="32"/>
          <w:szCs w:val="32"/>
          <w:u w:val="none"/>
        </w:rPr>
      </w:pPr>
      <w:r>
        <w:rPr>
          <w:rFonts w:hint="eastAsia" w:ascii="黑体" w:hAnsi="黑体" w:eastAsia="黑体" w:cs="宋体"/>
          <w:kern w:val="0"/>
          <w:sz w:val="32"/>
          <w:szCs w:val="32"/>
          <w:u w:val="none"/>
        </w:rPr>
        <w:t>九、</w:t>
      </w:r>
      <w:r>
        <w:rPr>
          <w:rFonts w:hint="eastAsia" w:ascii="黑体" w:hAnsi="黑体" w:eastAsia="黑体" w:cs="黑体"/>
          <w:sz w:val="32"/>
          <w:szCs w:val="32"/>
          <w:u w:val="none"/>
        </w:rPr>
        <w:t>持续优化营商环境</w:t>
      </w:r>
      <w:r>
        <w:rPr>
          <w:rFonts w:hint="eastAsia" w:ascii="黑体" w:hAnsi="黑体" w:eastAsia="黑体"/>
          <w:sz w:val="32"/>
          <w:szCs w:val="32"/>
          <w:u w:val="none"/>
        </w:rPr>
        <w:t>。</w:t>
      </w:r>
      <w:r>
        <w:rPr>
          <w:rFonts w:hint="eastAsia" w:ascii="仿宋" w:hAnsi="仿宋" w:eastAsia="仿宋"/>
          <w:sz w:val="32"/>
          <w:szCs w:val="32"/>
          <w:u w:val="none"/>
          <w:lang w:val="zh-CN"/>
        </w:rPr>
        <w:t>牢固树立“金牌店小二”服务意识，</w:t>
      </w:r>
      <w:r>
        <w:rPr>
          <w:rFonts w:ascii="仿宋" w:hAnsi="仿宋" w:eastAsia="仿宋"/>
          <w:sz w:val="32"/>
          <w:szCs w:val="32"/>
          <w:u w:val="none"/>
        </w:rPr>
        <w:t>持续营造敢于同企业家交往、善于为</w:t>
      </w:r>
      <w:r>
        <w:rPr>
          <w:rFonts w:hint="eastAsia" w:ascii="仿宋" w:hAnsi="仿宋" w:eastAsia="仿宋"/>
          <w:sz w:val="32"/>
          <w:szCs w:val="32"/>
          <w:u w:val="none"/>
        </w:rPr>
        <w:t>招商</w:t>
      </w:r>
      <w:r>
        <w:rPr>
          <w:rFonts w:ascii="仿宋" w:hAnsi="仿宋" w:eastAsia="仿宋"/>
          <w:sz w:val="32"/>
          <w:szCs w:val="32"/>
          <w:u w:val="none"/>
        </w:rPr>
        <w:t>企业服务的“亲”“清”政商关系</w:t>
      </w:r>
      <w:r>
        <w:rPr>
          <w:rFonts w:hint="eastAsia" w:ascii="仿宋" w:hAnsi="仿宋" w:eastAsia="仿宋"/>
          <w:sz w:val="32"/>
          <w:szCs w:val="32"/>
          <w:u w:val="none"/>
        </w:rPr>
        <w:t>，</w:t>
      </w:r>
      <w:r>
        <w:rPr>
          <w:rFonts w:hint="eastAsia" w:ascii="仿宋" w:hAnsi="仿宋" w:eastAsia="仿宋"/>
          <w:sz w:val="32"/>
          <w:szCs w:val="32"/>
          <w:u w:val="none"/>
          <w:lang w:val="zh-CN"/>
        </w:rPr>
        <w:t>坚持“亲”而有度、“清”而有为，对引资企业多支持、少干预，</w:t>
      </w:r>
      <w:r>
        <w:rPr>
          <w:rFonts w:hint="eastAsia" w:ascii="仿宋" w:hAnsi="仿宋" w:eastAsia="仿宋" w:cs="宋体"/>
          <w:kern w:val="0"/>
          <w:sz w:val="32"/>
          <w:szCs w:val="32"/>
          <w:u w:val="none"/>
        </w:rPr>
        <w:t>做到有诉必办、无事不扰；切实履行依法完善程序后作出的政策承诺和签订的招商项目投资合同（协议），强化对企业诚信经营的激励约束。加强帮办服务力量，切实提高服务效率，</w:t>
      </w:r>
      <w:r>
        <w:rPr>
          <w:rFonts w:hint="eastAsia" w:ascii="仿宋" w:hAnsi="仿宋" w:eastAsia="仿宋"/>
          <w:spacing w:val="-6"/>
          <w:sz w:val="32"/>
          <w:szCs w:val="32"/>
          <w:u w:val="none"/>
        </w:rPr>
        <w:t>在政务服务大厅设立</w:t>
      </w:r>
      <w:r>
        <w:rPr>
          <w:rFonts w:ascii="仿宋" w:hAnsi="仿宋" w:eastAsia="仿宋"/>
          <w:sz w:val="32"/>
          <w:szCs w:val="32"/>
          <w:u w:val="none"/>
        </w:rPr>
        <w:t>“双招双引”</w:t>
      </w:r>
      <w:r>
        <w:rPr>
          <w:rFonts w:hint="eastAsia" w:ascii="仿宋" w:hAnsi="仿宋" w:eastAsia="仿宋"/>
          <w:spacing w:val="-6"/>
          <w:sz w:val="32"/>
          <w:szCs w:val="32"/>
          <w:u w:val="none"/>
        </w:rPr>
        <w:t>项目帮办服务窗口，增加县投创中心人员编制，为</w:t>
      </w:r>
      <w:r>
        <w:rPr>
          <w:rFonts w:ascii="仿宋" w:hAnsi="仿宋" w:eastAsia="仿宋"/>
          <w:sz w:val="32"/>
          <w:szCs w:val="32"/>
          <w:u w:val="none"/>
        </w:rPr>
        <w:t>“双招双引”</w:t>
      </w:r>
      <w:r>
        <w:rPr>
          <w:rFonts w:hint="eastAsia" w:ascii="仿宋" w:hAnsi="仿宋" w:eastAsia="仿宋" w:cs="宋体"/>
          <w:kern w:val="0"/>
          <w:sz w:val="32"/>
          <w:szCs w:val="32"/>
          <w:u w:val="none"/>
        </w:rPr>
        <w:t>项目审批、要素保障提供全程帮办代办服务；在涉企服务上，推行企业开办“一屏通办”“限时办结”服务；进一步</w:t>
      </w:r>
      <w:r>
        <w:rPr>
          <w:rFonts w:ascii="仿宋" w:hAnsi="仿宋" w:eastAsia="仿宋"/>
          <w:sz w:val="32"/>
          <w:szCs w:val="32"/>
          <w:u w:val="none"/>
        </w:rPr>
        <w:t>优化</w:t>
      </w:r>
      <w:r>
        <w:rPr>
          <w:rFonts w:hint="eastAsia" w:ascii="仿宋" w:hAnsi="仿宋" w:eastAsia="仿宋"/>
          <w:sz w:val="32"/>
          <w:szCs w:val="32"/>
          <w:u w:val="none"/>
        </w:rPr>
        <w:t>招商引资</w:t>
      </w:r>
      <w:r>
        <w:rPr>
          <w:rFonts w:ascii="仿宋" w:hAnsi="仿宋" w:eastAsia="仿宋"/>
          <w:sz w:val="32"/>
          <w:szCs w:val="32"/>
          <w:u w:val="none"/>
        </w:rPr>
        <w:t>一体化云平台功能，全面提升“双招双引”数据化、信息化水平。</w:t>
      </w:r>
      <w:r>
        <w:rPr>
          <w:rFonts w:hint="eastAsia" w:ascii="仿宋" w:hAnsi="仿宋" w:eastAsia="仿宋"/>
          <w:sz w:val="32"/>
          <w:szCs w:val="32"/>
          <w:u w:val="none"/>
        </w:rPr>
        <w:t>加大惩处破坏营商环境的不良行为。</w:t>
      </w:r>
      <w:r>
        <w:rPr>
          <w:rFonts w:hint="eastAsia" w:ascii="仿宋" w:hAnsi="仿宋" w:eastAsia="仿宋" w:cs="宋体"/>
          <w:kern w:val="0"/>
          <w:sz w:val="32"/>
          <w:szCs w:val="32"/>
          <w:u w:val="none"/>
        </w:rPr>
        <w:t>严禁以检查为名干扰企业正常生产经营，依法依规惩处对投资者故意刁难、拖而不办、吃拿卡要等违规行为，开展</w:t>
      </w:r>
      <w:r>
        <w:rPr>
          <w:rFonts w:ascii="仿宋" w:hAnsi="仿宋" w:eastAsia="仿宋"/>
          <w:sz w:val="32"/>
          <w:szCs w:val="32"/>
          <w:u w:val="none"/>
        </w:rPr>
        <w:t>“双招双引”</w:t>
      </w:r>
      <w:r>
        <w:rPr>
          <w:rFonts w:hint="eastAsia" w:ascii="仿宋" w:hAnsi="仿宋" w:eastAsia="仿宋" w:cs="宋体"/>
          <w:kern w:val="0"/>
          <w:sz w:val="32"/>
          <w:szCs w:val="32"/>
          <w:u w:val="none"/>
        </w:rPr>
        <w:t xml:space="preserve">政务服务满意度调查，对工作落实中政策执行不力、政务服务不到位、承诺不兑现等问题，进行通报、督办；对不作为、乱作为、慢作为的单位主要负责人及业务主办人进行督查、问责；对满意度较差的单位予以通报，并实行年度综合考评扣分。 </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黑体"/>
          <w:sz w:val="32"/>
          <w:szCs w:val="32"/>
        </w:rPr>
        <w:t>十、</w:t>
      </w:r>
      <w:r>
        <w:rPr>
          <w:rFonts w:hint="eastAsia" w:ascii="Times New Roman" w:hAnsi="Times New Roman" w:eastAsia="黑体"/>
          <w:sz w:val="32"/>
          <w:szCs w:val="32"/>
        </w:rPr>
        <w:t>健全</w:t>
      </w:r>
      <w:r>
        <w:rPr>
          <w:rFonts w:ascii="Times New Roman" w:hAnsi="Times New Roman" w:eastAsia="黑体"/>
          <w:sz w:val="32"/>
          <w:szCs w:val="32"/>
        </w:rPr>
        <w:t>考评激励</w:t>
      </w:r>
      <w:r>
        <w:rPr>
          <w:rFonts w:hint="eastAsia" w:ascii="Times New Roman" w:hAnsi="Times New Roman" w:eastAsia="黑体"/>
          <w:sz w:val="32"/>
          <w:szCs w:val="32"/>
        </w:rPr>
        <w:t>机制</w:t>
      </w:r>
      <w:r>
        <w:rPr>
          <w:rFonts w:ascii="Times New Roman" w:hAnsi="Times New Roman" w:eastAsia="黑体"/>
          <w:sz w:val="32"/>
          <w:szCs w:val="32"/>
        </w:rPr>
        <w:t>。</w:t>
      </w:r>
      <w:r>
        <w:rPr>
          <w:rFonts w:hint="eastAsia" w:ascii="仿宋" w:hAnsi="仿宋" w:eastAsia="仿宋" w:cs="仿宋_GB2312"/>
          <w:kern w:val="0"/>
          <w:sz w:val="32"/>
          <w:szCs w:val="32"/>
        </w:rPr>
        <w:t>树立抓好</w:t>
      </w:r>
      <w:r>
        <w:rPr>
          <w:rFonts w:ascii="仿宋" w:hAnsi="仿宋" w:eastAsia="仿宋"/>
          <w:sz w:val="32"/>
          <w:szCs w:val="32"/>
        </w:rPr>
        <w:t>“双招双引”</w:t>
      </w:r>
      <w:r>
        <w:rPr>
          <w:rFonts w:hint="eastAsia" w:ascii="仿宋" w:hAnsi="仿宋" w:eastAsia="仿宋" w:cs="仿宋_GB2312"/>
          <w:kern w:val="0"/>
          <w:sz w:val="32"/>
          <w:szCs w:val="32"/>
        </w:rPr>
        <w:t>“有功必赏、有绩必奖”的鲜明导向，进一步完善</w:t>
      </w:r>
      <w:r>
        <w:rPr>
          <w:rFonts w:ascii="仿宋" w:hAnsi="仿宋" w:eastAsia="仿宋"/>
          <w:sz w:val="32"/>
          <w:szCs w:val="32"/>
        </w:rPr>
        <w:t>“双招双引”</w:t>
      </w:r>
      <w:r>
        <w:rPr>
          <w:rFonts w:hint="eastAsia" w:ascii="仿宋" w:hAnsi="仿宋" w:eastAsia="仿宋" w:cs="仿宋_GB2312"/>
          <w:kern w:val="0"/>
          <w:sz w:val="32"/>
          <w:szCs w:val="32"/>
        </w:rPr>
        <w:t>目标责任制，继续将</w:t>
      </w:r>
      <w:r>
        <w:rPr>
          <w:rFonts w:ascii="仿宋" w:hAnsi="仿宋" w:eastAsia="仿宋"/>
          <w:sz w:val="32"/>
          <w:szCs w:val="32"/>
        </w:rPr>
        <w:t>“双招双引”</w:t>
      </w:r>
      <w:r>
        <w:rPr>
          <w:rFonts w:hint="eastAsia" w:ascii="仿宋" w:hAnsi="仿宋" w:eastAsia="仿宋" w:cs="仿宋_GB2312"/>
          <w:kern w:val="0"/>
          <w:sz w:val="32"/>
          <w:szCs w:val="32"/>
        </w:rPr>
        <w:t>纳入乡镇、园区、县直单位年度目标责任考核体系，县委县政府对招商引资先进集体和个人进行表彰奖励，对招商引资工作表现优秀的干部加大培养使用力度；对</w:t>
      </w:r>
      <w:r>
        <w:rPr>
          <w:rFonts w:hint="eastAsia" w:ascii="仿宋" w:hAnsi="仿宋" w:eastAsia="仿宋" w:cs="宋体"/>
          <w:kern w:val="0"/>
          <w:sz w:val="32"/>
          <w:szCs w:val="32"/>
        </w:rPr>
        <w:t>综合考评后进单位通报批评</w:t>
      </w:r>
      <w:r>
        <w:rPr>
          <w:rFonts w:hint="eastAsia" w:ascii="仿宋" w:hAnsi="仿宋" w:eastAsia="仿宋" w:cs="仿宋_GB2312"/>
          <w:kern w:val="0"/>
          <w:sz w:val="32"/>
          <w:szCs w:val="32"/>
        </w:rPr>
        <w:t>。</w:t>
      </w:r>
      <w:r>
        <w:rPr>
          <w:rFonts w:ascii="仿宋" w:hAnsi="仿宋" w:eastAsia="仿宋"/>
          <w:sz w:val="32"/>
          <w:szCs w:val="32"/>
        </w:rPr>
        <w:t>优化</w:t>
      </w:r>
      <w:r>
        <w:rPr>
          <w:rFonts w:hint="eastAsia" w:ascii="仿宋" w:hAnsi="仿宋" w:eastAsia="仿宋"/>
          <w:sz w:val="32"/>
          <w:szCs w:val="32"/>
        </w:rPr>
        <w:t>县</w:t>
      </w:r>
      <w:r>
        <w:rPr>
          <w:rFonts w:ascii="仿宋" w:hAnsi="仿宋" w:eastAsia="仿宋"/>
          <w:sz w:val="32"/>
          <w:szCs w:val="32"/>
        </w:rPr>
        <w:t>“双招双引”指导性任务考评细则，</w:t>
      </w:r>
      <w:r>
        <w:rPr>
          <w:rFonts w:hint="eastAsia" w:ascii="仿宋" w:hAnsi="仿宋" w:eastAsia="仿宋"/>
          <w:sz w:val="32"/>
          <w:szCs w:val="32"/>
          <w:u w:val="none"/>
        </w:rPr>
        <w:t>重点考核</w:t>
      </w:r>
      <w:r>
        <w:rPr>
          <w:rFonts w:ascii="仿宋" w:hAnsi="仿宋" w:eastAsia="仿宋"/>
          <w:sz w:val="32"/>
          <w:szCs w:val="32"/>
          <w:u w:val="none"/>
        </w:rPr>
        <w:t>首位产业</w:t>
      </w:r>
      <w:r>
        <w:rPr>
          <w:rFonts w:hint="eastAsia" w:ascii="仿宋" w:hAnsi="仿宋" w:eastAsia="仿宋"/>
          <w:sz w:val="32"/>
          <w:szCs w:val="32"/>
          <w:u w:val="none"/>
        </w:rPr>
        <w:t>、主导产业延链补链强链</w:t>
      </w:r>
      <w:r>
        <w:rPr>
          <w:rFonts w:ascii="仿宋" w:hAnsi="仿宋" w:eastAsia="仿宋"/>
          <w:sz w:val="32"/>
          <w:szCs w:val="32"/>
          <w:u w:val="none"/>
        </w:rPr>
        <w:t>项目</w:t>
      </w:r>
      <w:r>
        <w:rPr>
          <w:rFonts w:hint="eastAsia" w:ascii="仿宋" w:hAnsi="仿宋" w:eastAsia="仿宋"/>
          <w:sz w:val="32"/>
          <w:szCs w:val="32"/>
          <w:u w:val="none"/>
        </w:rPr>
        <w:t>引进</w:t>
      </w:r>
      <w:r>
        <w:rPr>
          <w:rFonts w:ascii="仿宋" w:hAnsi="仿宋" w:eastAsia="仿宋"/>
          <w:sz w:val="32"/>
          <w:szCs w:val="32"/>
          <w:u w:val="none"/>
        </w:rPr>
        <w:t>数</w:t>
      </w:r>
      <w:r>
        <w:rPr>
          <w:rFonts w:hint="eastAsia" w:ascii="仿宋" w:hAnsi="仿宋" w:eastAsia="仿宋"/>
          <w:sz w:val="32"/>
          <w:szCs w:val="32"/>
          <w:u w:val="none"/>
        </w:rPr>
        <w:t>量</w:t>
      </w:r>
      <w:r>
        <w:rPr>
          <w:rFonts w:ascii="仿宋" w:hAnsi="仿宋" w:eastAsia="仿宋"/>
          <w:sz w:val="32"/>
          <w:szCs w:val="32"/>
          <w:u w:val="none"/>
        </w:rPr>
        <w:t>，注重</w:t>
      </w:r>
      <w:r>
        <w:rPr>
          <w:rFonts w:hint="eastAsia" w:ascii="仿宋" w:hAnsi="仿宋" w:eastAsia="仿宋"/>
          <w:sz w:val="32"/>
          <w:szCs w:val="32"/>
          <w:u w:val="none"/>
        </w:rPr>
        <w:t>工业</w:t>
      </w:r>
      <w:r>
        <w:rPr>
          <w:rFonts w:ascii="仿宋" w:hAnsi="仿宋" w:eastAsia="仿宋"/>
          <w:sz w:val="32"/>
          <w:szCs w:val="32"/>
          <w:u w:val="none"/>
        </w:rPr>
        <w:t>项目固定资产投资、</w:t>
      </w:r>
      <w:r>
        <w:rPr>
          <w:rFonts w:hint="eastAsia" w:ascii="仿宋" w:hAnsi="仿宋" w:eastAsia="仿宋"/>
          <w:sz w:val="32"/>
          <w:szCs w:val="32"/>
          <w:u w:val="none"/>
        </w:rPr>
        <w:t>纳统项目</w:t>
      </w:r>
      <w:r>
        <w:rPr>
          <w:rFonts w:ascii="仿宋" w:hAnsi="仿宋" w:eastAsia="仿宋"/>
          <w:sz w:val="32"/>
          <w:szCs w:val="32"/>
          <w:u w:val="none"/>
        </w:rPr>
        <w:t>到位</w:t>
      </w:r>
      <w:r>
        <w:rPr>
          <w:rFonts w:hint="eastAsia" w:ascii="仿宋" w:hAnsi="仿宋" w:eastAsia="仿宋"/>
          <w:sz w:val="32"/>
          <w:szCs w:val="32"/>
          <w:u w:val="none"/>
        </w:rPr>
        <w:t>固投总量</w:t>
      </w:r>
      <w:r>
        <w:rPr>
          <w:rFonts w:ascii="仿宋" w:hAnsi="仿宋" w:eastAsia="仿宋"/>
          <w:sz w:val="32"/>
          <w:szCs w:val="32"/>
          <w:u w:val="none"/>
        </w:rPr>
        <w:t>、</w:t>
      </w:r>
      <w:r>
        <w:rPr>
          <w:rFonts w:hint="eastAsia" w:ascii="仿宋" w:hAnsi="仿宋" w:eastAsia="仿宋"/>
          <w:sz w:val="32"/>
          <w:szCs w:val="32"/>
          <w:u w:val="none"/>
        </w:rPr>
        <w:t>固投5</w:t>
      </w:r>
      <w:r>
        <w:rPr>
          <w:rFonts w:ascii="仿宋" w:hAnsi="仿宋" w:eastAsia="仿宋"/>
          <w:sz w:val="32"/>
          <w:szCs w:val="32"/>
          <w:u w:val="none"/>
        </w:rPr>
        <w:t>亿元以上重大项目数、利用省外资金新</w:t>
      </w:r>
      <w:r>
        <w:rPr>
          <w:rFonts w:hint="eastAsia" w:ascii="仿宋" w:hAnsi="仿宋" w:eastAsia="仿宋"/>
          <w:sz w:val="32"/>
          <w:szCs w:val="32"/>
          <w:u w:val="none"/>
        </w:rPr>
        <w:t>开工</w:t>
      </w:r>
      <w:r>
        <w:rPr>
          <w:rFonts w:ascii="仿宋" w:hAnsi="仿宋" w:eastAsia="仿宋"/>
          <w:sz w:val="32"/>
          <w:szCs w:val="32"/>
          <w:u w:val="none"/>
        </w:rPr>
        <w:t>项目数等指标的考评权重</w:t>
      </w:r>
      <w:r>
        <w:rPr>
          <w:rFonts w:hint="eastAsia" w:ascii="仿宋" w:hAnsi="仿宋" w:eastAsia="仿宋"/>
          <w:b w:val="0"/>
          <w:bCs w:val="0"/>
          <w:sz w:val="32"/>
          <w:szCs w:val="32"/>
          <w:u w:val="none"/>
        </w:rPr>
        <w:t>，</w:t>
      </w:r>
      <w:r>
        <w:rPr>
          <w:rFonts w:ascii="仿宋" w:hAnsi="仿宋" w:eastAsia="仿宋"/>
          <w:sz w:val="32"/>
          <w:szCs w:val="32"/>
        </w:rPr>
        <w:t>以</w:t>
      </w:r>
      <w:r>
        <w:rPr>
          <w:rFonts w:hint="eastAsia" w:ascii="仿宋" w:hAnsi="仿宋" w:eastAsia="仿宋"/>
          <w:sz w:val="32"/>
          <w:szCs w:val="32"/>
        </w:rPr>
        <w:t>入统</w:t>
      </w:r>
      <w:r>
        <w:rPr>
          <w:rFonts w:ascii="仿宋" w:hAnsi="仿宋" w:eastAsia="仿宋"/>
          <w:sz w:val="32"/>
          <w:szCs w:val="32"/>
        </w:rPr>
        <w:t>实绩排位次、定奖项。</w:t>
      </w:r>
      <w:r>
        <w:rPr>
          <w:rFonts w:hint="eastAsia" w:ascii="仿宋" w:hAnsi="仿宋" w:eastAsia="仿宋"/>
          <w:sz w:val="32"/>
          <w:szCs w:val="32"/>
        </w:rPr>
        <w:t>继续实行正向激励机制，对</w:t>
      </w:r>
      <w:r>
        <w:rPr>
          <w:rFonts w:ascii="仿宋" w:hAnsi="仿宋" w:eastAsia="仿宋"/>
          <w:sz w:val="32"/>
          <w:szCs w:val="32"/>
        </w:rPr>
        <w:t>有关</w:t>
      </w:r>
      <w:r>
        <w:rPr>
          <w:rFonts w:hint="eastAsia" w:ascii="仿宋" w:hAnsi="仿宋" w:eastAsia="仿宋"/>
          <w:sz w:val="32"/>
          <w:szCs w:val="32"/>
        </w:rPr>
        <w:t>政策资金、</w:t>
      </w:r>
      <w:r>
        <w:rPr>
          <w:rFonts w:ascii="仿宋" w:hAnsi="仿宋" w:eastAsia="仿宋"/>
          <w:sz w:val="32"/>
          <w:szCs w:val="32"/>
        </w:rPr>
        <w:t>容错纠错等按照《关于进一步推进“双招双引”提质增效的若干措施》（</w:t>
      </w:r>
      <w:r>
        <w:rPr>
          <w:rFonts w:hint="eastAsia" w:ascii="仿宋" w:hAnsi="仿宋" w:eastAsia="仿宋"/>
          <w:sz w:val="32"/>
          <w:szCs w:val="32"/>
        </w:rPr>
        <w:t>邱</w:t>
      </w:r>
      <w:r>
        <w:rPr>
          <w:rFonts w:ascii="仿宋" w:hAnsi="仿宋" w:eastAsia="仿宋"/>
          <w:sz w:val="32"/>
          <w:szCs w:val="32"/>
        </w:rPr>
        <w:t>发〔2021〕</w:t>
      </w:r>
      <w:r>
        <w:rPr>
          <w:rFonts w:hint="eastAsia" w:ascii="仿宋" w:hAnsi="仿宋" w:eastAsia="仿宋"/>
          <w:sz w:val="32"/>
          <w:szCs w:val="32"/>
        </w:rPr>
        <w:t>4</w:t>
      </w:r>
      <w:r>
        <w:rPr>
          <w:rFonts w:ascii="仿宋" w:hAnsi="仿宋" w:eastAsia="仿宋"/>
          <w:sz w:val="32"/>
          <w:szCs w:val="32"/>
        </w:rPr>
        <w:t>号）文件继续执行。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sz w:val="32"/>
          <w:szCs w:val="32"/>
        </w:rPr>
      </w:pPr>
      <w:r>
        <w:rPr>
          <w:rFonts w:ascii="仿宋" w:hAnsi="仿宋" w:eastAsia="仿宋"/>
          <w:sz w:val="32"/>
          <w:szCs w:val="32"/>
        </w:rPr>
        <w:t>附件：2022年全</w:t>
      </w:r>
      <w:r>
        <w:rPr>
          <w:rFonts w:hint="eastAsia" w:ascii="仿宋" w:hAnsi="仿宋" w:eastAsia="仿宋"/>
          <w:sz w:val="32"/>
          <w:szCs w:val="32"/>
        </w:rPr>
        <w:t>县</w:t>
      </w:r>
      <w:r>
        <w:rPr>
          <w:rFonts w:ascii="仿宋" w:hAnsi="仿宋" w:eastAsia="仿宋"/>
          <w:sz w:val="32"/>
          <w:szCs w:val="32"/>
        </w:rPr>
        <w:t>“双招双引”重点任务和责任清单</w:t>
      </w:r>
    </w:p>
    <w:p>
      <w:pPr>
        <w:pStyle w:val="2"/>
        <w:pageBreakBefore w:val="0"/>
        <w:widowControl w:val="0"/>
        <w:kinsoku/>
        <w:wordWrap/>
        <w:overflowPunct/>
        <w:topLinePunct w:val="0"/>
        <w:autoSpaceDE/>
        <w:autoSpaceDN/>
        <w:bidi w:val="0"/>
        <w:ind w:firstLine="640" w:firstLineChars="200"/>
        <w:textAlignment w:val="auto"/>
        <w:rPr>
          <w:rFonts w:hint="eastAsia" w:ascii="仿宋" w:hAnsi="仿宋" w:eastAsia="仿宋"/>
          <w:lang w:val="en-US" w:eastAsia="zh-CN"/>
        </w:rPr>
        <w:sectPr>
          <w:footerReference r:id="rId3" w:type="default"/>
          <w:pgSz w:w="11906" w:h="16838"/>
          <w:pgMar w:top="2098" w:right="1588" w:bottom="1814" w:left="1588" w:header="851" w:footer="992" w:gutter="0"/>
          <w:cols w:space="720" w:num="1"/>
          <w:docGrid w:type="linesAndChars" w:linePitch="312" w:charSpace="0"/>
        </w:sectPr>
      </w:pPr>
      <w:r>
        <w:rPr>
          <w:rFonts w:hint="eastAsia" w:ascii="仿宋" w:hAnsi="仿宋" w:eastAsia="仿宋"/>
          <w:lang w:val="en-US" w:eastAsia="zh-CN"/>
        </w:rPr>
        <w:t xml:space="preserve"> </w:t>
      </w:r>
    </w:p>
    <w:tbl>
      <w:tblPr>
        <w:tblStyle w:val="12"/>
        <w:tblpPr w:leftFromText="180" w:rightFromText="180" w:vertAnchor="text" w:horzAnchor="page" w:tblpX="1536" w:tblpY="7"/>
        <w:tblOverlap w:val="never"/>
        <w:tblW w:w="4924" w:type="pct"/>
        <w:tblInd w:w="0" w:type="dxa"/>
        <w:tblLayout w:type="fixed"/>
        <w:tblCellMar>
          <w:top w:w="0" w:type="dxa"/>
          <w:left w:w="108" w:type="dxa"/>
          <w:bottom w:w="0" w:type="dxa"/>
          <w:right w:w="108" w:type="dxa"/>
        </w:tblCellMar>
      </w:tblPr>
      <w:tblGrid>
        <w:gridCol w:w="542"/>
        <w:gridCol w:w="946"/>
        <w:gridCol w:w="519"/>
        <w:gridCol w:w="7242"/>
        <w:gridCol w:w="2278"/>
        <w:gridCol w:w="2432"/>
      </w:tblGrid>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2022年全县“双招双引”重点任务和责任清单</w:t>
            </w:r>
          </w:p>
        </w:tc>
      </w:tr>
      <w:tr>
        <w:tblPrEx>
          <w:tblCellMar>
            <w:top w:w="0" w:type="dxa"/>
            <w:left w:w="108" w:type="dxa"/>
            <w:bottom w:w="0" w:type="dxa"/>
            <w:right w:w="108" w:type="dxa"/>
          </w:tblCellMar>
        </w:tblPrEx>
        <w:trPr>
          <w:trHeight w:val="950" w:hRule="atLeast"/>
        </w:trPr>
        <w:tc>
          <w:tcPr>
            <w:tcW w:w="194"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序号</w:t>
            </w:r>
          </w:p>
        </w:tc>
        <w:tc>
          <w:tcPr>
            <w:tcW w:w="339" w:type="pct"/>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kern w:val="0"/>
                <w:sz w:val="24"/>
                <w:szCs w:val="24"/>
              </w:rPr>
            </w:pPr>
            <w:r>
              <w:rPr>
                <w:rFonts w:hint="eastAsia" w:ascii="黑体" w:hAnsi="宋体" w:eastAsia="黑体" w:cs="黑体"/>
                <w:color w:val="000000"/>
                <w:kern w:val="0"/>
                <w:sz w:val="24"/>
                <w:szCs w:val="24"/>
              </w:rPr>
              <w:t>重点</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任务</w:t>
            </w:r>
          </w:p>
        </w:tc>
        <w:tc>
          <w:tcPr>
            <w:tcW w:w="2780" w:type="pct"/>
            <w:gridSpan w:val="2"/>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内容和要求</w:t>
            </w:r>
          </w:p>
        </w:tc>
        <w:tc>
          <w:tcPr>
            <w:tcW w:w="816" w:type="pct"/>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牵头责任单位</w:t>
            </w:r>
          </w:p>
        </w:tc>
        <w:tc>
          <w:tcPr>
            <w:tcW w:w="868" w:type="pct"/>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协同责任单位</w:t>
            </w:r>
          </w:p>
        </w:tc>
      </w:tr>
      <w:tr>
        <w:tblPrEx>
          <w:tblCellMar>
            <w:top w:w="0" w:type="dxa"/>
            <w:left w:w="108" w:type="dxa"/>
            <w:bottom w:w="0" w:type="dxa"/>
            <w:right w:w="108" w:type="dxa"/>
          </w:tblCellMar>
        </w:tblPrEx>
        <w:trPr>
          <w:trHeight w:val="312"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一</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顶格推进</w:t>
            </w:r>
            <w:r>
              <w:rPr>
                <w:rFonts w:hint="eastAsia" w:ascii="宋体" w:hAnsi="宋体" w:eastAsia="宋体" w:cs="宋体"/>
                <w:color w:val="000000"/>
                <w:w w:val="90"/>
                <w:kern w:val="0"/>
                <w:sz w:val="22"/>
              </w:rPr>
              <w:t>“双招双引”</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顶格推进“双招双引”“升温加压+升级加速”活动，主攻铁基新材料和农副产品精深加工、高端装备制造等产业项目招商。全年新引进境内投资115亿元；新引进投资亿元以上项目52个（其中5亿元以上项目13个、10亿元以上项目4个）；新开工亿元项目47个，项目开工率90%以上；新引进境外资金7250万美元。</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各乡镇、园区、县直单位，驻外招商联络处</w:t>
            </w: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87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380"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二</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强力开展产业招商</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Theme="majorEastAsia" w:hAnsiTheme="majorEastAsia" w:eastAsiaTheme="majorEastAsia" w:cstheme="majorEastAsia"/>
                <w:sz w:val="22"/>
              </w:rPr>
              <w:t>安排县直经济主管部门产业招商工作专项经费，列入县级财政预算，发挥行业主管部门职能优势，开展产业项目招商。</w:t>
            </w:r>
            <w:r>
              <w:rPr>
                <w:rFonts w:hint="eastAsia" w:ascii="宋体" w:hAnsi="宋体" w:eastAsia="宋体" w:cs="宋体"/>
                <w:color w:val="000000"/>
                <w:kern w:val="0"/>
                <w:sz w:val="22"/>
              </w:rPr>
              <w:t>强力引进铁基新材料、机械设备制造、矿产资源延链加工等项目。坚持全产业链招商，大力招引绿色食品、特色农产品等精深加工项目。围绕生产生活性服务业专业化、高端化，致力引进电子信息、智能家电、高端装备制造等高新技术产业项目。</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县八大产业招商组</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县发改委、县经信局、县农业农村局、县财政局、各乡镇、县直单位、驻外招商联络处</w:t>
            </w: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各园区要立足产业链条培育需求，梳理“头部企业”“链主企业”以及“专精特新”企业目标名录，编制《产业链招商图谱》，按图索骥，精准招商。</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霍邱经济</w:t>
            </w:r>
            <w:r>
              <w:rPr>
                <w:rFonts w:hint="eastAsia" w:ascii="宋体" w:hAnsi="宋体" w:eastAsia="宋体" w:cs="宋体"/>
                <w:color w:val="000000"/>
                <w:kern w:val="0"/>
                <w:sz w:val="22"/>
              </w:rPr>
              <w:t>开发区</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合肥高新区霍邱</w:t>
            </w:r>
            <w:r>
              <w:rPr>
                <w:rFonts w:hint="eastAsia" w:ascii="宋体" w:hAnsi="宋体" w:eastAsia="宋体" w:cs="宋体"/>
                <w:color w:val="000000"/>
                <w:kern w:val="0"/>
                <w:sz w:val="22"/>
              </w:rPr>
              <w:t>现代产业园</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长集现代农业产业园</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各乡镇、县直单位</w:t>
            </w:r>
          </w:p>
        </w:tc>
      </w:tr>
      <w:tr>
        <w:tblPrEx>
          <w:tblCellMar>
            <w:top w:w="0" w:type="dxa"/>
            <w:left w:w="108" w:type="dxa"/>
            <w:bottom w:w="0" w:type="dxa"/>
            <w:right w:w="108" w:type="dxa"/>
          </w:tblCellMar>
        </w:tblPrEx>
        <w:trPr>
          <w:trHeight w:val="511"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375"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三</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全面开展借智招商</w:t>
            </w:r>
          </w:p>
          <w:p>
            <w:pPr>
              <w:pStyle w:val="2"/>
              <w:rPr>
                <w:rFonts w:ascii="宋体" w:hAnsi="宋体" w:eastAsia="宋体" w:cs="宋体"/>
                <w:color w:val="000000"/>
                <w:kern w:val="0"/>
                <w:sz w:val="22"/>
                <w:szCs w:val="22"/>
              </w:rPr>
            </w:pPr>
          </w:p>
          <w:p>
            <w:pPr>
              <w:pStyle w:val="2"/>
              <w:adjustRightInd w:val="0"/>
              <w:snapToGrid w:val="0"/>
              <w:spacing w:before="0" w:after="0" w:line="320" w:lineRule="exact"/>
              <w:rPr>
                <w:rFonts w:ascii="宋体" w:hAnsi="宋体" w:eastAsia="宋体" w:cs="宋体"/>
                <w:b w:val="0"/>
                <w:bCs w:val="0"/>
                <w:color w:val="000000"/>
                <w:kern w:val="0"/>
                <w:sz w:val="22"/>
                <w:szCs w:val="22"/>
              </w:rPr>
            </w:pPr>
          </w:p>
          <w:p>
            <w:pPr>
              <w:pStyle w:val="2"/>
              <w:adjustRightInd w:val="0"/>
              <w:snapToGrid w:val="0"/>
              <w:spacing w:before="0" w:after="0" w:line="320" w:lineRule="exact"/>
              <w:rPr>
                <w:rFonts w:ascii="宋体" w:hAnsi="宋体" w:eastAsia="宋体" w:cs="宋体"/>
                <w:b w:val="0"/>
                <w:bCs w:val="0"/>
                <w:color w:val="000000"/>
                <w:kern w:val="0"/>
                <w:sz w:val="22"/>
                <w:szCs w:val="22"/>
              </w:rPr>
            </w:pPr>
          </w:p>
          <w:p>
            <w:pPr>
              <w:pStyle w:val="2"/>
              <w:adjustRightInd w:val="0"/>
              <w:snapToGrid w:val="0"/>
              <w:spacing w:before="0" w:after="0" w:line="320" w:lineRule="exact"/>
              <w:rPr>
                <w:rFonts w:ascii="宋体" w:hAnsi="宋体" w:eastAsia="宋体" w:cs="宋体"/>
                <w:b w:val="0"/>
                <w:bCs w:val="0"/>
                <w:color w:val="000000"/>
                <w:kern w:val="0"/>
                <w:sz w:val="22"/>
                <w:szCs w:val="22"/>
              </w:rPr>
            </w:pPr>
          </w:p>
          <w:p>
            <w:pPr>
              <w:pStyle w:val="2"/>
              <w:adjustRightInd w:val="0"/>
              <w:snapToGrid w:val="0"/>
              <w:spacing w:before="0" w:after="0" w:line="320" w:lineRule="exact"/>
            </w:pPr>
            <w:r>
              <w:rPr>
                <w:rFonts w:hint="eastAsia" w:ascii="宋体" w:hAnsi="宋体" w:eastAsia="宋体" w:cs="宋体"/>
                <w:b w:val="0"/>
                <w:bCs w:val="0"/>
                <w:color w:val="000000"/>
                <w:kern w:val="0"/>
                <w:sz w:val="22"/>
                <w:szCs w:val="22"/>
              </w:rPr>
              <w:t>全面开展借智招商</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加强与上级行业部门、专业机构、科研院校等协作对接，联动霍邱驻外经济促进会、商协会的各业界精英及创业成功人士，全面摸排霍邱籍上市公司企业家、科技领军人物、专家学者、富贤乡贤等各方面人才资源，完善人才信息库。</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县委组织部</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县人社局</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县工商联</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各乡镇、园区、县直单位</w:t>
            </w:r>
          </w:p>
        </w:tc>
      </w:tr>
      <w:tr>
        <w:tblPrEx>
          <w:tblCellMar>
            <w:top w:w="0" w:type="dxa"/>
            <w:left w:w="108" w:type="dxa"/>
            <w:bottom w:w="0" w:type="dxa"/>
            <w:right w:w="108" w:type="dxa"/>
          </w:tblCellMar>
        </w:tblPrEx>
        <w:trPr>
          <w:trHeight w:val="827"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加强信息联络，选聘招商顾问，组织开展招商宣传推介、人才信息交流活动。</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2548"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精准跟进高端人才所关联的工程中心、技术中心和科研工作站等机构，充分挖掘人才背后蕴藏的信息资源和项目线索。强化“人才+技术+产业”融合招商，跟踪开展持续性深度对接；将重点引资企业负责人和高管上报纳入市级“皋城优才卡”服务范围。对参与、引进亿元以上投资战略性新兴产业项目的国家级人才库科技人员，以及“链主企业”或“头部企业”投资项目负责人，简化“人才新政15条”政策兑现程序和方式，畅通兑现渠道。加大对返乡创新创业人才的支持力度。</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县委组织部</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县人社局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县投创中心、各乡镇、园区、县直单位</w:t>
            </w:r>
          </w:p>
        </w:tc>
      </w:tr>
      <w:tr>
        <w:tblPrEx>
          <w:tblCellMar>
            <w:top w:w="0" w:type="dxa"/>
            <w:left w:w="108" w:type="dxa"/>
            <w:bottom w:w="0" w:type="dxa"/>
            <w:right w:w="108" w:type="dxa"/>
          </w:tblCellMar>
        </w:tblPrEx>
        <w:trPr>
          <w:trHeight w:val="312"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四</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推动区域合作互动</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立足长三角一体化、合肥都市圈发展战略，继续坚持领导带头招商，县四个班子负责人每季度开展一次外出专题招商活动，乡镇、县直招商小组每季度有针对性外出开展产业招商不少于1次。</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县四个班子负责人</w:t>
            </w:r>
          </w:p>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县直各单位</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驻外招商联络处</w:t>
            </w:r>
          </w:p>
        </w:tc>
      </w:tr>
      <w:tr>
        <w:tblPrEx>
          <w:tblCellMar>
            <w:top w:w="0" w:type="dxa"/>
            <w:left w:w="108" w:type="dxa"/>
            <w:bottom w:w="0" w:type="dxa"/>
            <w:right w:w="108" w:type="dxa"/>
          </w:tblCellMar>
        </w:tblPrEx>
        <w:trPr>
          <w:trHeight w:val="312" w:hRule="atLeast"/>
        </w:trPr>
        <w:tc>
          <w:tcPr>
            <w:tcW w:w="194"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339"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2"/>
              </w:rPr>
            </w:pPr>
          </w:p>
        </w:tc>
        <w:tc>
          <w:tcPr>
            <w:tcW w:w="186"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2593" w:type="pct"/>
            <w:vMerge w:val="continue"/>
            <w:tcBorders>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rPr>
            </w:pPr>
          </w:p>
        </w:tc>
        <w:tc>
          <w:tcPr>
            <w:tcW w:w="816"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86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w:t>
            </w: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强化东向合作意识，与沪苏浙地区确立结对园区1个以上。合肥高新区霍邱现代产业园加强与合肥市招商合作对接，每月赴合肥市开展结对园区专题对接1次以上，年度落地亿元以上工业项目20个以上，打造面向合肥都市圈的产业“承接园”。长集现代农业产业园继续推进与上海市青浦区的友好合作，扩大园区、产业、企业等多维度对接，做好“农字号”产业承接工作。</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霍邱经济</w:t>
            </w:r>
            <w:r>
              <w:rPr>
                <w:rFonts w:hint="eastAsia" w:ascii="宋体" w:hAnsi="宋体" w:eastAsia="宋体" w:cs="宋体"/>
                <w:color w:val="000000"/>
                <w:kern w:val="0"/>
                <w:sz w:val="22"/>
              </w:rPr>
              <w:t>开发区</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合肥高新区霍邱</w:t>
            </w:r>
            <w:r>
              <w:rPr>
                <w:rFonts w:hint="eastAsia" w:ascii="宋体" w:hAnsi="宋体" w:eastAsia="宋体" w:cs="宋体"/>
                <w:color w:val="000000"/>
                <w:kern w:val="0"/>
                <w:sz w:val="22"/>
              </w:rPr>
              <w:t>现代产业园</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长集现代农业产业园</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县直相关部门</w:t>
            </w:r>
          </w:p>
        </w:tc>
      </w:tr>
      <w:tr>
        <w:tblPrEx>
          <w:tblCellMar>
            <w:top w:w="0" w:type="dxa"/>
            <w:left w:w="108" w:type="dxa"/>
            <w:bottom w:w="0" w:type="dxa"/>
            <w:right w:w="108" w:type="dxa"/>
          </w:tblCellMar>
        </w:tblPrEx>
        <w:trPr>
          <w:trHeight w:val="1841"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常态化开展业务知识和招商技能培训，定期组织招商人员到发达地区实践学习，每年不少于3次。强化驻外招商工作，充分发挥驻外招商联络处的桥梁作用，积极推进县域优势产业资源与长三角、珠三角、京津冀及合肥都市圈的有效链接，做好产业转移及配套项目承接工作。</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县委组织部</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县人社局</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47"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56"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五</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积极推进资本招商</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2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围绕科技含量高、产业成长性强、带动效应大的工业项目，着力引进社会资本和专业投资管理机构，积极争取与国家、省市级投资基金合作，促进龙头型、科创型项目落户县内。加强与市级共同设立产业引导基金，对项目前景好、科技成长性强、带动效应大的制造业投资项目，由县属国有投资公司以产业投资基金或土地作价入股、债转股、跟进投资等方式参股不超过20%，进行合作实施。2022年县级产业投资基金规模不低于5亿元。</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县财政局</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县工投公司</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县农投公司</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县产投公司</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357"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371"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六</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加快要素制约破解</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通过“增减挂”、工业用地长期租赁、先租后让、租让结合等供地模式，确保快速供地，采取分步供给、容缺审批等方式，推进项目分期、分步建设，提速项目建设。</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县自然资源和规划局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各乡镇、园区</w:t>
            </w:r>
          </w:p>
        </w:tc>
      </w:tr>
      <w:tr>
        <w:tblPrEx>
          <w:tblCellMar>
            <w:top w:w="0" w:type="dxa"/>
            <w:left w:w="108" w:type="dxa"/>
            <w:bottom w:w="0" w:type="dxa"/>
            <w:right w:w="108" w:type="dxa"/>
          </w:tblCellMar>
        </w:tblPrEx>
        <w:trPr>
          <w:trHeight w:val="159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强化集约化要素利用，推进被动依靠“增量指标”向主动挖掘“存量指标”转变，深化“亩均论英雄”改革，推行“用地清单制”，探索集中供地、产权分割方式，促进重点产业链上下游企业以投资联合体形式落户，提升土地利用效益与效率。</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县自然资源和规划局</w:t>
            </w:r>
          </w:p>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县发改委</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县经信局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各乡镇、园区</w:t>
            </w:r>
          </w:p>
        </w:tc>
      </w:tr>
      <w:tr>
        <w:tblPrEx>
          <w:tblCellMar>
            <w:top w:w="0" w:type="dxa"/>
            <w:left w:w="108" w:type="dxa"/>
            <w:bottom w:w="0" w:type="dxa"/>
            <w:right w:w="108" w:type="dxa"/>
          </w:tblCellMar>
        </w:tblPrEx>
        <w:trPr>
          <w:trHeight w:val="1166"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推进园区主导、社会参与等方式，改造、新建小微企业园，鼓励支持招引企业投资新建多层标准化厂房。</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霍邱经济开发区</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合肥高新区霍邱</w:t>
            </w:r>
            <w:r>
              <w:rPr>
                <w:rFonts w:hint="eastAsia" w:ascii="宋体" w:hAnsi="宋体" w:eastAsia="宋体" w:cs="宋体"/>
                <w:color w:val="000000"/>
                <w:kern w:val="0"/>
                <w:sz w:val="22"/>
              </w:rPr>
              <w:t>现代产业园</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长集现代农业产业园</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县经信局、县自然资源和规划局</w:t>
            </w:r>
          </w:p>
        </w:tc>
      </w:tr>
      <w:tr>
        <w:tblPrEx>
          <w:tblCellMar>
            <w:top w:w="0" w:type="dxa"/>
            <w:left w:w="108" w:type="dxa"/>
            <w:bottom w:w="0" w:type="dxa"/>
            <w:right w:w="108" w:type="dxa"/>
          </w:tblCellMar>
        </w:tblPrEx>
        <w:trPr>
          <w:trHeight w:val="1884"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sz w:val="22"/>
              </w:rPr>
              <w:t>加大项目用地、能耗、产能等受限指标的破解力度。</w:t>
            </w:r>
            <w:r>
              <w:rPr>
                <w:rFonts w:hint="eastAsia" w:ascii="宋体" w:hAnsi="宋体" w:eastAsia="宋体" w:cs="宋体"/>
                <w:color w:val="000000"/>
                <w:kern w:val="0"/>
                <w:sz w:val="22"/>
              </w:rPr>
              <w:t xml:space="preserve">制定激励政策，推进市场化要素流动，统筹县域内闲置能耗、产能（铸造）等指标资源，通过“先借后还”或市场化购买等方式，统筹配比相关指标，对重点招商项目优先保障。    </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县发改委</w:t>
            </w:r>
          </w:p>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县经信局</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县自然资源和规划局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县财政局、县投创中心、县规划中心、各乡镇、各园区</w:t>
            </w:r>
          </w:p>
        </w:tc>
      </w:tr>
      <w:tr>
        <w:tblPrEx>
          <w:tblCellMar>
            <w:top w:w="0" w:type="dxa"/>
            <w:left w:w="108" w:type="dxa"/>
            <w:bottom w:w="0" w:type="dxa"/>
            <w:right w:w="108" w:type="dxa"/>
          </w:tblCellMar>
        </w:tblPrEx>
        <w:trPr>
          <w:trHeight w:val="1152"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七</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提升园区发展能级</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加快完善霍邱经济开发区、合肥高新区霍邱现代产业园、长集现代农业产业园总规控规修编，推进工业项目向园区集聚，提升园区招商平台竞争力。</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霍邱经济开发区</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合肥高新区霍邱</w:t>
            </w:r>
            <w:r>
              <w:rPr>
                <w:rFonts w:hint="eastAsia" w:ascii="宋体" w:hAnsi="宋体" w:eastAsia="宋体" w:cs="宋体"/>
                <w:color w:val="000000"/>
                <w:kern w:val="0"/>
                <w:sz w:val="22"/>
              </w:rPr>
              <w:t>现代产业园</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长集现代农业产业园</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县直相关部门</w:t>
            </w:r>
          </w:p>
        </w:tc>
      </w:tr>
      <w:tr>
        <w:tblPrEx>
          <w:tblCellMar>
            <w:top w:w="0" w:type="dxa"/>
            <w:left w:w="108" w:type="dxa"/>
            <w:bottom w:w="0" w:type="dxa"/>
            <w:right w:w="108" w:type="dxa"/>
          </w:tblCellMar>
        </w:tblPrEx>
        <w:trPr>
          <w:trHeight w:val="131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left"/>
              <w:rPr>
                <w:rFonts w:ascii="宋体" w:hAnsi="宋体" w:eastAsia="宋体" w:cs="宋体"/>
                <w:color w:val="000000"/>
                <w:sz w:val="22"/>
              </w:rPr>
            </w:pPr>
            <w:r>
              <w:rPr>
                <w:rFonts w:hint="eastAsia" w:ascii="宋体" w:hAnsi="宋体" w:eastAsia="宋体" w:cs="宋体"/>
                <w:kern w:val="0"/>
                <w:sz w:val="22"/>
                <w:lang w:eastAsia="zh-CN"/>
              </w:rPr>
              <w:t>霍邱</w:t>
            </w:r>
            <w:r>
              <w:rPr>
                <w:rFonts w:hint="eastAsia" w:ascii="宋体" w:hAnsi="宋体" w:eastAsia="宋体" w:cs="宋体"/>
                <w:kern w:val="0"/>
                <w:sz w:val="22"/>
              </w:rPr>
              <w:t>经济开发区</w:t>
            </w:r>
            <w:r>
              <w:rPr>
                <w:rFonts w:hint="eastAsia" w:ascii="宋体" w:hAnsi="宋体" w:eastAsia="宋体" w:cs="宋体"/>
                <w:sz w:val="22"/>
                <w:lang w:val="zh-CN"/>
              </w:rPr>
              <w:t>要推动铁基新材料产业园等重点项目建设，大力招引钢铁产业加工等铁基材料产业链项目。合肥高新区霍邱现代产业园加快起步区建设进度，启动高新创业园二期等项目建设。长集现代农业园要继续推进农业产业“接二连三”，形成全产业链效应。</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霍邱经济开发区</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合肥高新区霍邱</w:t>
            </w:r>
            <w:r>
              <w:rPr>
                <w:rFonts w:hint="eastAsia" w:ascii="宋体" w:hAnsi="宋体" w:eastAsia="宋体" w:cs="宋体"/>
                <w:color w:val="000000"/>
                <w:kern w:val="0"/>
                <w:sz w:val="22"/>
              </w:rPr>
              <w:t>现代产业园</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长集现代农业产业园</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833"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八</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完善工作联动机制</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优化项目管控流程，进一步落实省《“双招双引”风险防范指引》要求，加强项目研判、签约、履约、处置全流程管控。</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1097"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rPr>
              <w:t>加强项目督查，对线索项目转化、签约项目开工、落地项目建成投产等过程，实行一周一会商、一月一调度、一季度一观摩，实现项目清单化、闭环式管理。定期通报引进项目、外出招商情况</w:t>
            </w:r>
            <w:r>
              <w:rPr>
                <w:rFonts w:hint="eastAsia" w:ascii="宋体" w:hAnsi="宋体" w:eastAsia="宋体" w:cs="宋体"/>
                <w:color w:val="000000"/>
                <w:kern w:val="0"/>
                <w:sz w:val="22"/>
                <w:lang w:eastAsia="zh-CN"/>
              </w:rPr>
              <w:t>。</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145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抓实重点招商项目落地服务保障工作机制，压实引资单位、落地单位招商主体责任，常态化、现场化开展“抓统促”调度会，提升项目要素保障水平和供给效率，对未如期开工项目进行现场督查，推动项目尽快形成实物工作量。</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县直有关部门</w:t>
            </w:r>
          </w:p>
        </w:tc>
      </w:tr>
      <w:tr>
        <w:tblPrEx>
          <w:tblCellMar>
            <w:top w:w="0" w:type="dxa"/>
            <w:left w:w="108" w:type="dxa"/>
            <w:bottom w:w="0" w:type="dxa"/>
            <w:right w:w="108" w:type="dxa"/>
          </w:tblCellMar>
        </w:tblPrEx>
        <w:trPr>
          <w:trHeight w:val="9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严格落实“扩投资增动能赶超发展”激励机制，推动招商项目及时纳统，切实将引资成效转化为经济发展增量。</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县发改委</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县统计局、县经信局、县投创中心、各乡镇、各园区</w:t>
            </w:r>
          </w:p>
        </w:tc>
      </w:tr>
      <w:tr>
        <w:tblPrEx>
          <w:tblCellMar>
            <w:top w:w="0" w:type="dxa"/>
            <w:left w:w="108" w:type="dxa"/>
            <w:bottom w:w="0" w:type="dxa"/>
            <w:right w:w="108" w:type="dxa"/>
          </w:tblCellMar>
        </w:tblPrEx>
        <w:trPr>
          <w:trHeight w:val="139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鼓励各乡镇园区继续开展好“飞地招商”，统筹推荐具备园区落户条件的有价值项目线索；加强与省市“产业招商推进组”衔接联动互动，强化行业主管部门对产业招商项目的统筹指导、协调服务。</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县投创中心，</w:t>
            </w:r>
          </w:p>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各乡镇、园区、县直</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有关部门</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产业招商组</w:t>
            </w:r>
          </w:p>
        </w:tc>
      </w:tr>
      <w:tr>
        <w:tblPrEx>
          <w:tblCellMar>
            <w:top w:w="0" w:type="dxa"/>
            <w:left w:w="108" w:type="dxa"/>
            <w:bottom w:w="0" w:type="dxa"/>
            <w:right w:w="108" w:type="dxa"/>
          </w:tblCellMar>
        </w:tblPrEx>
        <w:trPr>
          <w:trHeight w:val="1046"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九</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持续优化营商环境</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树立“金牌店小二”服务意识，持续营造良好的营商环境，切实履行依法完善程序后作出的政策承诺和签订的招商项目投资合同（协议），强化对企业诚信经营的激励约束。</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县“四送一服”办</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各乡镇、园区、县直单位</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县投创中心、县司法局</w:t>
            </w:r>
          </w:p>
        </w:tc>
      </w:tr>
      <w:tr>
        <w:tblPrEx>
          <w:tblCellMar>
            <w:top w:w="0" w:type="dxa"/>
            <w:left w:w="108" w:type="dxa"/>
            <w:bottom w:w="0" w:type="dxa"/>
            <w:right w:w="108" w:type="dxa"/>
          </w:tblCellMar>
        </w:tblPrEx>
        <w:trPr>
          <w:trHeight w:val="1049"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加强帮办服务力量，在政务服务大厅设立招商引资项目帮办服务窗口，增加县投创中心人员编制，为项目审批、要素保障提供全程代办服务，推行企业开办“一屏通办”“限时办结”。</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县委组织部、县编办、县人社局、县数管局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县投创中心、各乡镇、园区、县直单位</w:t>
            </w:r>
          </w:p>
        </w:tc>
      </w:tr>
      <w:tr>
        <w:tblPrEx>
          <w:tblCellMar>
            <w:top w:w="0" w:type="dxa"/>
            <w:left w:w="108" w:type="dxa"/>
            <w:bottom w:w="0" w:type="dxa"/>
            <w:right w:w="108" w:type="dxa"/>
          </w:tblCellMar>
        </w:tblPrEx>
        <w:trPr>
          <w:trHeight w:val="76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进一步优化“双招双引”一体化云平台功能，全面提升“双招双引”数据化、信息化水平。</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县投创中心</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县数管局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1951"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严禁以检查为名干扰企业正常生产经营，依法依规惩处对投资者故意刁难、拖而不办、吃拿卡要等违规行为，开展招商引资政务服务满意度调查，对招商引资工作中政策落实不力、政务服务不到位、承诺不兑现等问题，进行通报、督办；对不作为、乱作为、慢作为的单位主要负责人及业务主办人进行督查、问责；对满意度较差的单位予以通报，并实行年度综合考评扣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县纪委监委机关</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县督察考核室</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县投创中心</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县经信局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r>
        <w:tblPrEx>
          <w:tblCellMar>
            <w:top w:w="0" w:type="dxa"/>
            <w:left w:w="108" w:type="dxa"/>
            <w:bottom w:w="0" w:type="dxa"/>
            <w:right w:w="108" w:type="dxa"/>
          </w:tblCellMar>
        </w:tblPrEx>
        <w:trPr>
          <w:trHeight w:val="1178"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健全考评激励机制</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继续将招商引资纳入乡镇（园区）、县直单位年度目标责任考核体系，县委县政府对招商引资先进集体和个人进行表彰奖励，对招商引资工作表现优秀的干部加大培养使用力度；对综合考评后进单位通报批评。</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县领导</w:t>
            </w:r>
          </w:p>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县督察考核室</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各乡镇、园区、县直单位、县驻外招商联络处</w:t>
            </w:r>
          </w:p>
        </w:tc>
      </w:tr>
      <w:tr>
        <w:tblPrEx>
          <w:tblCellMar>
            <w:top w:w="0" w:type="dxa"/>
            <w:left w:w="108" w:type="dxa"/>
            <w:bottom w:w="0" w:type="dxa"/>
            <w:right w:w="108" w:type="dxa"/>
          </w:tblCellMar>
        </w:tblPrEx>
        <w:trPr>
          <w:trHeight w:val="1112"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重点考核首位产业、主导产业延链补链强链项目引进数量，注重工业项目固定资产投资、纳统项目到位固投总量、固投5亿元以上重大项目数、利用省外资金新签项目数等指标的考评权重。</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县商务局、县发改委、县统计局、县经信局</w:t>
            </w:r>
          </w:p>
        </w:tc>
      </w:tr>
      <w:tr>
        <w:tblPrEx>
          <w:tblCellMar>
            <w:top w:w="0" w:type="dxa"/>
            <w:left w:w="108" w:type="dxa"/>
            <w:bottom w:w="0" w:type="dxa"/>
            <w:right w:w="108" w:type="dxa"/>
          </w:tblCellMar>
        </w:tblPrEx>
        <w:trPr>
          <w:trHeight w:val="1123"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2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继续实行正向激励机制，对有关政策资金、招商奖惩、容错纠错等按照《关于进一步推进“双招双引”提质增效的若干措施》（邱发〔2021〕4号）文件继续执行。</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县纪委监委机关、县委组织部、县财政局、县投创中心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各乡镇、园区、</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县直单位</w:t>
            </w:r>
          </w:p>
        </w:tc>
      </w:tr>
    </w:tbl>
    <w:p>
      <w:pPr>
        <w:sectPr>
          <w:pgSz w:w="16838" w:h="11906" w:orient="landscape"/>
          <w:pgMar w:top="1576" w:right="1440" w:bottom="1519" w:left="1440" w:header="851" w:footer="992" w:gutter="0"/>
          <w:cols w:space="720" w:num="1"/>
          <w:docGrid w:type="lines" w:linePitch="312" w:charSpace="0"/>
        </w:sectPr>
      </w:pPr>
      <w:bookmarkStart w:id="0" w:name="_GoBack"/>
      <w:bookmarkEnd w:id="0"/>
    </w:p>
    <w:p>
      <w:pPr>
        <w:pStyle w:val="2"/>
        <w:adjustRightInd w:val="0"/>
        <w:snapToGrid w:val="0"/>
        <w:spacing w:before="0" w:after="0" w:line="560" w:lineRule="exact"/>
        <w:rPr>
          <w:b w:val="0"/>
          <w:bCs w:val="0"/>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8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6421"/>
      <w:docPartObj>
        <w:docPartGallery w:val="autotext"/>
      </w:docPartObj>
    </w:sdtPr>
    <w:sdtContent>
      <w:p>
        <w:pPr>
          <w:pStyle w:val="7"/>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jNmMmZkNDhiNTU0NmE3ZGFiOGM3MWI3MmMzNDgifQ=="/>
  </w:docVars>
  <w:rsids>
    <w:rsidRoot w:val="00B634FD"/>
    <w:rsid w:val="00007DAE"/>
    <w:rsid w:val="00017540"/>
    <w:rsid w:val="000306BF"/>
    <w:rsid w:val="00031866"/>
    <w:rsid w:val="000322FA"/>
    <w:rsid w:val="000560A2"/>
    <w:rsid w:val="00057E14"/>
    <w:rsid w:val="00067A5C"/>
    <w:rsid w:val="0007264F"/>
    <w:rsid w:val="000753E8"/>
    <w:rsid w:val="00095D50"/>
    <w:rsid w:val="000A1568"/>
    <w:rsid w:val="000A467D"/>
    <w:rsid w:val="000A77C3"/>
    <w:rsid w:val="000C265B"/>
    <w:rsid w:val="000C3100"/>
    <w:rsid w:val="000D282F"/>
    <w:rsid w:val="000D737F"/>
    <w:rsid w:val="000D73B1"/>
    <w:rsid w:val="000E61E2"/>
    <w:rsid w:val="000F56EA"/>
    <w:rsid w:val="00134445"/>
    <w:rsid w:val="001371AB"/>
    <w:rsid w:val="00142C6A"/>
    <w:rsid w:val="0015624C"/>
    <w:rsid w:val="0016328F"/>
    <w:rsid w:val="00177F50"/>
    <w:rsid w:val="00182725"/>
    <w:rsid w:val="00186D30"/>
    <w:rsid w:val="00196DBE"/>
    <w:rsid w:val="0019731A"/>
    <w:rsid w:val="001B6B41"/>
    <w:rsid w:val="001C5056"/>
    <w:rsid w:val="001D4400"/>
    <w:rsid w:val="001E0217"/>
    <w:rsid w:val="001E7DC7"/>
    <w:rsid w:val="00205B2D"/>
    <w:rsid w:val="00206071"/>
    <w:rsid w:val="00212A00"/>
    <w:rsid w:val="00212DB9"/>
    <w:rsid w:val="00214435"/>
    <w:rsid w:val="0022283A"/>
    <w:rsid w:val="00242987"/>
    <w:rsid w:val="00246F37"/>
    <w:rsid w:val="0027460F"/>
    <w:rsid w:val="00275320"/>
    <w:rsid w:val="0028297C"/>
    <w:rsid w:val="00282E8B"/>
    <w:rsid w:val="00284F12"/>
    <w:rsid w:val="00294FCE"/>
    <w:rsid w:val="002979AE"/>
    <w:rsid w:val="002A490D"/>
    <w:rsid w:val="002B2EA5"/>
    <w:rsid w:val="002C0F49"/>
    <w:rsid w:val="002C3783"/>
    <w:rsid w:val="00303804"/>
    <w:rsid w:val="00323748"/>
    <w:rsid w:val="00324C74"/>
    <w:rsid w:val="003359D1"/>
    <w:rsid w:val="00342B93"/>
    <w:rsid w:val="00347041"/>
    <w:rsid w:val="0036006A"/>
    <w:rsid w:val="0036420B"/>
    <w:rsid w:val="00372AA9"/>
    <w:rsid w:val="00385A98"/>
    <w:rsid w:val="00390D78"/>
    <w:rsid w:val="00395227"/>
    <w:rsid w:val="003A2C9E"/>
    <w:rsid w:val="003C570C"/>
    <w:rsid w:val="003C572A"/>
    <w:rsid w:val="003D010B"/>
    <w:rsid w:val="003E5F16"/>
    <w:rsid w:val="003F178C"/>
    <w:rsid w:val="003F50B2"/>
    <w:rsid w:val="00414093"/>
    <w:rsid w:val="00414A32"/>
    <w:rsid w:val="0041798F"/>
    <w:rsid w:val="00423BC8"/>
    <w:rsid w:val="00424B19"/>
    <w:rsid w:val="004354ED"/>
    <w:rsid w:val="00436AED"/>
    <w:rsid w:val="004514D5"/>
    <w:rsid w:val="0046377C"/>
    <w:rsid w:val="0046561E"/>
    <w:rsid w:val="004718DA"/>
    <w:rsid w:val="004A3656"/>
    <w:rsid w:val="004B0BF1"/>
    <w:rsid w:val="004D7435"/>
    <w:rsid w:val="004F1053"/>
    <w:rsid w:val="00517E81"/>
    <w:rsid w:val="00527E49"/>
    <w:rsid w:val="0053559D"/>
    <w:rsid w:val="005405AF"/>
    <w:rsid w:val="0054436F"/>
    <w:rsid w:val="005655C8"/>
    <w:rsid w:val="005746E6"/>
    <w:rsid w:val="00585722"/>
    <w:rsid w:val="005A10BC"/>
    <w:rsid w:val="005A4DF7"/>
    <w:rsid w:val="005C2529"/>
    <w:rsid w:val="005C2599"/>
    <w:rsid w:val="005C26F2"/>
    <w:rsid w:val="005C391B"/>
    <w:rsid w:val="005C57CF"/>
    <w:rsid w:val="005E01F2"/>
    <w:rsid w:val="005E02A1"/>
    <w:rsid w:val="00612501"/>
    <w:rsid w:val="00617676"/>
    <w:rsid w:val="00623B11"/>
    <w:rsid w:val="00676D75"/>
    <w:rsid w:val="0068598C"/>
    <w:rsid w:val="00686175"/>
    <w:rsid w:val="006A116B"/>
    <w:rsid w:val="006B40D1"/>
    <w:rsid w:val="006C599D"/>
    <w:rsid w:val="006C631B"/>
    <w:rsid w:val="006D07B9"/>
    <w:rsid w:val="006D23F9"/>
    <w:rsid w:val="006E1D6A"/>
    <w:rsid w:val="006F072C"/>
    <w:rsid w:val="007042D9"/>
    <w:rsid w:val="00706F5E"/>
    <w:rsid w:val="00712510"/>
    <w:rsid w:val="00733BD5"/>
    <w:rsid w:val="00741ACF"/>
    <w:rsid w:val="007436D3"/>
    <w:rsid w:val="0074485D"/>
    <w:rsid w:val="00752C87"/>
    <w:rsid w:val="00761CBC"/>
    <w:rsid w:val="00767256"/>
    <w:rsid w:val="00780B36"/>
    <w:rsid w:val="007825BF"/>
    <w:rsid w:val="0078707C"/>
    <w:rsid w:val="007A313F"/>
    <w:rsid w:val="007C3079"/>
    <w:rsid w:val="007C6AF7"/>
    <w:rsid w:val="007D0EF7"/>
    <w:rsid w:val="007D4BA2"/>
    <w:rsid w:val="007D4DD2"/>
    <w:rsid w:val="007D5258"/>
    <w:rsid w:val="007D7E53"/>
    <w:rsid w:val="007F0860"/>
    <w:rsid w:val="007F46CC"/>
    <w:rsid w:val="008053DD"/>
    <w:rsid w:val="00811AEA"/>
    <w:rsid w:val="0081532D"/>
    <w:rsid w:val="0082070C"/>
    <w:rsid w:val="00831584"/>
    <w:rsid w:val="008363E1"/>
    <w:rsid w:val="00843E4F"/>
    <w:rsid w:val="00850939"/>
    <w:rsid w:val="00864663"/>
    <w:rsid w:val="00864812"/>
    <w:rsid w:val="008C40A4"/>
    <w:rsid w:val="008C71B4"/>
    <w:rsid w:val="008D3A23"/>
    <w:rsid w:val="008F07A3"/>
    <w:rsid w:val="008F6923"/>
    <w:rsid w:val="009012FF"/>
    <w:rsid w:val="009379F5"/>
    <w:rsid w:val="00945DCE"/>
    <w:rsid w:val="00964F86"/>
    <w:rsid w:val="0096700B"/>
    <w:rsid w:val="00992266"/>
    <w:rsid w:val="00997B97"/>
    <w:rsid w:val="009B077B"/>
    <w:rsid w:val="009C62FB"/>
    <w:rsid w:val="009C7FB9"/>
    <w:rsid w:val="009D736B"/>
    <w:rsid w:val="009E4555"/>
    <w:rsid w:val="00A10982"/>
    <w:rsid w:val="00A21900"/>
    <w:rsid w:val="00A249AE"/>
    <w:rsid w:val="00A26C0D"/>
    <w:rsid w:val="00A368B4"/>
    <w:rsid w:val="00A53AF0"/>
    <w:rsid w:val="00A65AB7"/>
    <w:rsid w:val="00A81393"/>
    <w:rsid w:val="00A8795A"/>
    <w:rsid w:val="00A96EB7"/>
    <w:rsid w:val="00AB5599"/>
    <w:rsid w:val="00AD0482"/>
    <w:rsid w:val="00AD1E30"/>
    <w:rsid w:val="00AD7A42"/>
    <w:rsid w:val="00AE40AC"/>
    <w:rsid w:val="00AF6B26"/>
    <w:rsid w:val="00B3142C"/>
    <w:rsid w:val="00B4069A"/>
    <w:rsid w:val="00B5334C"/>
    <w:rsid w:val="00B5413D"/>
    <w:rsid w:val="00B634FD"/>
    <w:rsid w:val="00B642D6"/>
    <w:rsid w:val="00B7569D"/>
    <w:rsid w:val="00B96FEC"/>
    <w:rsid w:val="00BA67E0"/>
    <w:rsid w:val="00BB45BE"/>
    <w:rsid w:val="00BD0E57"/>
    <w:rsid w:val="00BE4482"/>
    <w:rsid w:val="00C05C6C"/>
    <w:rsid w:val="00C10C3C"/>
    <w:rsid w:val="00C21027"/>
    <w:rsid w:val="00C32037"/>
    <w:rsid w:val="00C32C03"/>
    <w:rsid w:val="00C43798"/>
    <w:rsid w:val="00C74EBE"/>
    <w:rsid w:val="00C915F8"/>
    <w:rsid w:val="00C91F62"/>
    <w:rsid w:val="00CA3FC7"/>
    <w:rsid w:val="00CC77EC"/>
    <w:rsid w:val="00CD6607"/>
    <w:rsid w:val="00CE45AB"/>
    <w:rsid w:val="00D064ED"/>
    <w:rsid w:val="00D20220"/>
    <w:rsid w:val="00D25927"/>
    <w:rsid w:val="00D446A8"/>
    <w:rsid w:val="00D56BC1"/>
    <w:rsid w:val="00D602F1"/>
    <w:rsid w:val="00D65085"/>
    <w:rsid w:val="00D6751D"/>
    <w:rsid w:val="00D711C4"/>
    <w:rsid w:val="00D72368"/>
    <w:rsid w:val="00D74041"/>
    <w:rsid w:val="00D81C4A"/>
    <w:rsid w:val="00D81CA9"/>
    <w:rsid w:val="00D82550"/>
    <w:rsid w:val="00D92CF5"/>
    <w:rsid w:val="00D96F29"/>
    <w:rsid w:val="00D97B72"/>
    <w:rsid w:val="00DA575B"/>
    <w:rsid w:val="00DB1BC9"/>
    <w:rsid w:val="00DB485A"/>
    <w:rsid w:val="00DC1824"/>
    <w:rsid w:val="00DC27D7"/>
    <w:rsid w:val="00DC28E0"/>
    <w:rsid w:val="00DC2D74"/>
    <w:rsid w:val="00DD2F2A"/>
    <w:rsid w:val="00DE1B1B"/>
    <w:rsid w:val="00DE2893"/>
    <w:rsid w:val="00DE57B6"/>
    <w:rsid w:val="00DE6137"/>
    <w:rsid w:val="00DF1924"/>
    <w:rsid w:val="00E05FD3"/>
    <w:rsid w:val="00E12AE0"/>
    <w:rsid w:val="00E2367D"/>
    <w:rsid w:val="00E314CA"/>
    <w:rsid w:val="00E35329"/>
    <w:rsid w:val="00E427F1"/>
    <w:rsid w:val="00E45499"/>
    <w:rsid w:val="00E472F7"/>
    <w:rsid w:val="00E53E78"/>
    <w:rsid w:val="00E542A6"/>
    <w:rsid w:val="00E55EE2"/>
    <w:rsid w:val="00E648C4"/>
    <w:rsid w:val="00E730AB"/>
    <w:rsid w:val="00E82D32"/>
    <w:rsid w:val="00E97366"/>
    <w:rsid w:val="00EA0936"/>
    <w:rsid w:val="00EA618C"/>
    <w:rsid w:val="00EB2F51"/>
    <w:rsid w:val="00ED19A6"/>
    <w:rsid w:val="00ED4D5D"/>
    <w:rsid w:val="00EE14FA"/>
    <w:rsid w:val="00F02368"/>
    <w:rsid w:val="00F03DFF"/>
    <w:rsid w:val="00F06DB8"/>
    <w:rsid w:val="00F12798"/>
    <w:rsid w:val="00F14F6B"/>
    <w:rsid w:val="00F168D0"/>
    <w:rsid w:val="00F2248F"/>
    <w:rsid w:val="00F2579E"/>
    <w:rsid w:val="00F30282"/>
    <w:rsid w:val="00F46761"/>
    <w:rsid w:val="00F52536"/>
    <w:rsid w:val="00F70C3D"/>
    <w:rsid w:val="00F81DAB"/>
    <w:rsid w:val="00F83D6E"/>
    <w:rsid w:val="00F9250A"/>
    <w:rsid w:val="00FA0058"/>
    <w:rsid w:val="00FB3BA0"/>
    <w:rsid w:val="00FB6EEA"/>
    <w:rsid w:val="00FC0240"/>
    <w:rsid w:val="00FC25EE"/>
    <w:rsid w:val="00FC2B2C"/>
    <w:rsid w:val="00FD7368"/>
    <w:rsid w:val="00FE0A12"/>
    <w:rsid w:val="015612D6"/>
    <w:rsid w:val="016F1E4F"/>
    <w:rsid w:val="01B25FEF"/>
    <w:rsid w:val="01CB6A97"/>
    <w:rsid w:val="01F5741D"/>
    <w:rsid w:val="02A16F2D"/>
    <w:rsid w:val="030C54FE"/>
    <w:rsid w:val="032702A1"/>
    <w:rsid w:val="033A6710"/>
    <w:rsid w:val="034A20F2"/>
    <w:rsid w:val="035702B4"/>
    <w:rsid w:val="03661C6C"/>
    <w:rsid w:val="03914D3C"/>
    <w:rsid w:val="04064A42"/>
    <w:rsid w:val="042B121A"/>
    <w:rsid w:val="04E01DD3"/>
    <w:rsid w:val="06310666"/>
    <w:rsid w:val="063F4F44"/>
    <w:rsid w:val="087F2EB5"/>
    <w:rsid w:val="098125BC"/>
    <w:rsid w:val="0A793783"/>
    <w:rsid w:val="0B144474"/>
    <w:rsid w:val="0BF65869"/>
    <w:rsid w:val="0C237171"/>
    <w:rsid w:val="0CD80447"/>
    <w:rsid w:val="0CED6FEE"/>
    <w:rsid w:val="0D6F1DC1"/>
    <w:rsid w:val="0DC7207D"/>
    <w:rsid w:val="0E262274"/>
    <w:rsid w:val="0F0046DA"/>
    <w:rsid w:val="0F29632D"/>
    <w:rsid w:val="0F4304DD"/>
    <w:rsid w:val="0FB00D67"/>
    <w:rsid w:val="0FE82090"/>
    <w:rsid w:val="1025513D"/>
    <w:rsid w:val="109C7481"/>
    <w:rsid w:val="10AB6AFB"/>
    <w:rsid w:val="11D62382"/>
    <w:rsid w:val="12EB1D01"/>
    <w:rsid w:val="13950464"/>
    <w:rsid w:val="13A5294F"/>
    <w:rsid w:val="14847326"/>
    <w:rsid w:val="14F60D34"/>
    <w:rsid w:val="14FE2085"/>
    <w:rsid w:val="154358E8"/>
    <w:rsid w:val="155C10CD"/>
    <w:rsid w:val="15F56659"/>
    <w:rsid w:val="16322C3E"/>
    <w:rsid w:val="17911031"/>
    <w:rsid w:val="17A46A97"/>
    <w:rsid w:val="17A60507"/>
    <w:rsid w:val="17E966DE"/>
    <w:rsid w:val="184319B9"/>
    <w:rsid w:val="18970FE1"/>
    <w:rsid w:val="19B22E0D"/>
    <w:rsid w:val="1A0911F3"/>
    <w:rsid w:val="1C17373C"/>
    <w:rsid w:val="1E3E578B"/>
    <w:rsid w:val="1EA57287"/>
    <w:rsid w:val="1F4C693D"/>
    <w:rsid w:val="21671E56"/>
    <w:rsid w:val="21F36C2E"/>
    <w:rsid w:val="22FF6419"/>
    <w:rsid w:val="23293BEB"/>
    <w:rsid w:val="23386360"/>
    <w:rsid w:val="23EE5AE2"/>
    <w:rsid w:val="240D14F8"/>
    <w:rsid w:val="243F6C8A"/>
    <w:rsid w:val="25673D33"/>
    <w:rsid w:val="26864C79"/>
    <w:rsid w:val="2690323B"/>
    <w:rsid w:val="26BC7696"/>
    <w:rsid w:val="26D077BE"/>
    <w:rsid w:val="291223FE"/>
    <w:rsid w:val="2914146A"/>
    <w:rsid w:val="292C2ACD"/>
    <w:rsid w:val="299D16FE"/>
    <w:rsid w:val="29B14627"/>
    <w:rsid w:val="29B14772"/>
    <w:rsid w:val="2A5C15DE"/>
    <w:rsid w:val="2A8C62F1"/>
    <w:rsid w:val="2A9F4700"/>
    <w:rsid w:val="2AC721A1"/>
    <w:rsid w:val="2B793765"/>
    <w:rsid w:val="2BD30B3B"/>
    <w:rsid w:val="2BEB6BD5"/>
    <w:rsid w:val="2CB33FA8"/>
    <w:rsid w:val="2D08196B"/>
    <w:rsid w:val="2D5C5ABE"/>
    <w:rsid w:val="2DB7053D"/>
    <w:rsid w:val="2DF163D0"/>
    <w:rsid w:val="2F253F69"/>
    <w:rsid w:val="2F2B0DC7"/>
    <w:rsid w:val="32213DCE"/>
    <w:rsid w:val="3268280F"/>
    <w:rsid w:val="333F68C6"/>
    <w:rsid w:val="34711E4F"/>
    <w:rsid w:val="34C62BDD"/>
    <w:rsid w:val="34F72369"/>
    <w:rsid w:val="350B5A62"/>
    <w:rsid w:val="358429EA"/>
    <w:rsid w:val="35BE1C89"/>
    <w:rsid w:val="35D63A07"/>
    <w:rsid w:val="35E01394"/>
    <w:rsid w:val="361B360E"/>
    <w:rsid w:val="36436AC6"/>
    <w:rsid w:val="37776215"/>
    <w:rsid w:val="37C329C2"/>
    <w:rsid w:val="37E204EC"/>
    <w:rsid w:val="3874081B"/>
    <w:rsid w:val="398153FA"/>
    <w:rsid w:val="39936D56"/>
    <w:rsid w:val="39BD6111"/>
    <w:rsid w:val="39D07517"/>
    <w:rsid w:val="3A1B49D4"/>
    <w:rsid w:val="3A5F72E8"/>
    <w:rsid w:val="3BC44586"/>
    <w:rsid w:val="3D2D73FF"/>
    <w:rsid w:val="3D6E10AC"/>
    <w:rsid w:val="3D722593"/>
    <w:rsid w:val="3E9A15BA"/>
    <w:rsid w:val="3F9E15DF"/>
    <w:rsid w:val="402F3E4A"/>
    <w:rsid w:val="404910DD"/>
    <w:rsid w:val="4104384A"/>
    <w:rsid w:val="41C748AE"/>
    <w:rsid w:val="4289606E"/>
    <w:rsid w:val="43370F51"/>
    <w:rsid w:val="433D04F4"/>
    <w:rsid w:val="444F5036"/>
    <w:rsid w:val="44E6447A"/>
    <w:rsid w:val="44F25CC6"/>
    <w:rsid w:val="44FE5954"/>
    <w:rsid w:val="45536BB2"/>
    <w:rsid w:val="45B10625"/>
    <w:rsid w:val="47CF357D"/>
    <w:rsid w:val="48585861"/>
    <w:rsid w:val="488C418D"/>
    <w:rsid w:val="4A260D62"/>
    <w:rsid w:val="4B925F74"/>
    <w:rsid w:val="4C5249F2"/>
    <w:rsid w:val="4CCD0D32"/>
    <w:rsid w:val="4D4F14D7"/>
    <w:rsid w:val="4D7560B4"/>
    <w:rsid w:val="4E001470"/>
    <w:rsid w:val="4E386BD6"/>
    <w:rsid w:val="4E7B33C3"/>
    <w:rsid w:val="4F027E1C"/>
    <w:rsid w:val="4F3C0295"/>
    <w:rsid w:val="50092A45"/>
    <w:rsid w:val="5053759B"/>
    <w:rsid w:val="50CB1EC8"/>
    <w:rsid w:val="51333900"/>
    <w:rsid w:val="51BD47B6"/>
    <w:rsid w:val="52353F53"/>
    <w:rsid w:val="539B04FD"/>
    <w:rsid w:val="539B4CA3"/>
    <w:rsid w:val="544D24B5"/>
    <w:rsid w:val="550E2932"/>
    <w:rsid w:val="550F5564"/>
    <w:rsid w:val="55243485"/>
    <w:rsid w:val="556772EC"/>
    <w:rsid w:val="559F0CD2"/>
    <w:rsid w:val="572E4491"/>
    <w:rsid w:val="57CF3AB4"/>
    <w:rsid w:val="585A0D12"/>
    <w:rsid w:val="58A44B69"/>
    <w:rsid w:val="5A630D49"/>
    <w:rsid w:val="5A700F6C"/>
    <w:rsid w:val="5ABE51F0"/>
    <w:rsid w:val="5B471420"/>
    <w:rsid w:val="5BD972DD"/>
    <w:rsid w:val="5BE3751A"/>
    <w:rsid w:val="5C3C1074"/>
    <w:rsid w:val="5CAC16E5"/>
    <w:rsid w:val="5CB70662"/>
    <w:rsid w:val="5D98107A"/>
    <w:rsid w:val="5DD87DE3"/>
    <w:rsid w:val="5E1C3711"/>
    <w:rsid w:val="5E1F6997"/>
    <w:rsid w:val="5E602CAA"/>
    <w:rsid w:val="5F41674B"/>
    <w:rsid w:val="6067374C"/>
    <w:rsid w:val="60934271"/>
    <w:rsid w:val="60FC3E55"/>
    <w:rsid w:val="61424C3F"/>
    <w:rsid w:val="614D41C1"/>
    <w:rsid w:val="616E29C5"/>
    <w:rsid w:val="619806A8"/>
    <w:rsid w:val="62495E94"/>
    <w:rsid w:val="62902B7A"/>
    <w:rsid w:val="62B50319"/>
    <w:rsid w:val="62DF7EE0"/>
    <w:rsid w:val="647A08EF"/>
    <w:rsid w:val="64EE2134"/>
    <w:rsid w:val="654E4C1F"/>
    <w:rsid w:val="65D06126"/>
    <w:rsid w:val="65F22497"/>
    <w:rsid w:val="663E16A3"/>
    <w:rsid w:val="678C1E4B"/>
    <w:rsid w:val="67906E2A"/>
    <w:rsid w:val="67B4584B"/>
    <w:rsid w:val="68DE4183"/>
    <w:rsid w:val="69A918C1"/>
    <w:rsid w:val="6A1228C2"/>
    <w:rsid w:val="6A7A147C"/>
    <w:rsid w:val="6ACC55B0"/>
    <w:rsid w:val="6D033CA2"/>
    <w:rsid w:val="6DFB30FF"/>
    <w:rsid w:val="6E0825A7"/>
    <w:rsid w:val="6F157B40"/>
    <w:rsid w:val="72850915"/>
    <w:rsid w:val="72B91ACC"/>
    <w:rsid w:val="72DA4E93"/>
    <w:rsid w:val="74C44229"/>
    <w:rsid w:val="74EB2A40"/>
    <w:rsid w:val="766614EA"/>
    <w:rsid w:val="77B006BC"/>
    <w:rsid w:val="783903F4"/>
    <w:rsid w:val="787107D5"/>
    <w:rsid w:val="78997952"/>
    <w:rsid w:val="78F66727"/>
    <w:rsid w:val="79785262"/>
    <w:rsid w:val="7B662B5F"/>
    <w:rsid w:val="7C8F1D87"/>
    <w:rsid w:val="7D5856C1"/>
    <w:rsid w:val="7D6F6B7C"/>
    <w:rsid w:val="7D7D0163"/>
    <w:rsid w:val="7D827D58"/>
    <w:rsid w:val="7D8904BD"/>
    <w:rsid w:val="7F4F0F81"/>
    <w:rsid w:val="7F9612FE"/>
    <w:rsid w:val="7FF3582B"/>
    <w:rsid w:val="7FF60627"/>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2">
    <w:name w:val="heading 2"/>
    <w:basedOn w:val="1"/>
    <w:next w:val="1"/>
    <w:link w:val="3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qFormat/>
    <w:uiPriority w:val="0"/>
    <w:pPr>
      <w:keepNext/>
      <w:spacing w:line="440" w:lineRule="exact"/>
      <w:ind w:left="-50" w:right="-50"/>
      <w:jc w:val="center"/>
      <w:outlineLvl w:val="3"/>
    </w:pPr>
    <w:rPr>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34"/>
    <w:semiHidden/>
    <w:unhideWhenUsed/>
    <w:qFormat/>
    <w:uiPriority w:val="99"/>
    <w:pPr>
      <w:spacing w:after="120"/>
      <w:ind w:left="420" w:leftChars="200"/>
    </w:pPr>
  </w:style>
  <w:style w:type="paragraph" w:styleId="6">
    <w:name w:val="Date"/>
    <w:basedOn w:val="1"/>
    <w:next w:val="1"/>
    <w:link w:val="27"/>
    <w:semiHidden/>
    <w:unhideWhenUsed/>
    <w:qFormat/>
    <w:uiPriority w:val="99"/>
    <w:pPr>
      <w:ind w:left="100" w:leftChars="2500"/>
    </w:p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9345"/>
      </w:tabs>
      <w:spacing w:before="120" w:after="120"/>
      <w:jc w:val="center"/>
    </w:pPr>
    <w:rPr>
      <w:b/>
      <w:bCs/>
      <w:caps/>
      <w:kern w:val="44"/>
      <w:szCs w:val="21"/>
    </w:rPr>
  </w:style>
  <w:style w:type="paragraph" w:styleId="10">
    <w:name w:val="Normal (Web)"/>
    <w:basedOn w:val="1"/>
    <w:semiHidden/>
    <w:unhideWhenUsed/>
    <w:qFormat/>
    <w:uiPriority w:val="99"/>
    <w:pPr>
      <w:widowControl/>
      <w:jc w:val="left"/>
    </w:pPr>
    <w:rPr>
      <w:rFonts w:ascii="宋体" w:hAnsi="宋体" w:eastAsia="宋体" w:cs="宋体"/>
      <w:kern w:val="0"/>
      <w:sz w:val="24"/>
      <w:szCs w:val="24"/>
    </w:rPr>
  </w:style>
  <w:style w:type="paragraph" w:styleId="11">
    <w:name w:val="Body Text First Indent 2"/>
    <w:basedOn w:val="1"/>
    <w:link w:val="35"/>
    <w:semiHidden/>
    <w:unhideWhenUsed/>
    <w:qFormat/>
    <w:uiPriority w:val="99"/>
    <w:pPr>
      <w:widowControl/>
      <w:jc w:val="left"/>
    </w:pPr>
    <w:rPr>
      <w:rFonts w:ascii="宋体" w:hAnsi="宋体" w:eastAsia="宋体" w:cs="宋体"/>
      <w:kern w:val="0"/>
      <w:sz w:val="24"/>
      <w:szCs w:val="24"/>
    </w:rPr>
  </w:style>
  <w:style w:type="character" w:styleId="14">
    <w:name w:val="Strong"/>
    <w:basedOn w:val="13"/>
    <w:qFormat/>
    <w:uiPriority w:val="22"/>
    <w:rPr>
      <w:b/>
      <w:color w:val="AAAAAA"/>
      <w:sz w:val="18"/>
      <w:szCs w:val="18"/>
    </w:rPr>
  </w:style>
  <w:style w:type="character" w:styleId="15">
    <w:name w:val="FollowedHyperlink"/>
    <w:basedOn w:val="13"/>
    <w:semiHidden/>
    <w:unhideWhenUsed/>
    <w:qFormat/>
    <w:uiPriority w:val="99"/>
    <w:rPr>
      <w:color w:val="338DE6"/>
      <w:u w:val="none"/>
    </w:rPr>
  </w:style>
  <w:style w:type="character" w:styleId="16">
    <w:name w:val="Emphasis"/>
    <w:basedOn w:val="13"/>
    <w:qFormat/>
    <w:uiPriority w:val="20"/>
    <w:rPr>
      <w:color w:val="F73131"/>
    </w:rPr>
  </w:style>
  <w:style w:type="character" w:styleId="17">
    <w:name w:val="HTML Definition"/>
    <w:basedOn w:val="13"/>
    <w:semiHidden/>
    <w:unhideWhenUsed/>
    <w:qFormat/>
    <w:uiPriority w:val="99"/>
    <w:rPr>
      <w:color w:val="333333"/>
      <w:sz w:val="19"/>
      <w:szCs w:val="19"/>
      <w:shd w:val="clear" w:color="auto" w:fill="FFFFFF"/>
    </w:rPr>
  </w:style>
  <w:style w:type="character" w:styleId="18">
    <w:name w:val="HTML Acronym"/>
    <w:basedOn w:val="13"/>
    <w:semiHidden/>
    <w:unhideWhenUsed/>
    <w:qFormat/>
    <w:uiPriority w:val="99"/>
  </w:style>
  <w:style w:type="character" w:styleId="19">
    <w:name w:val="HTML Variable"/>
    <w:basedOn w:val="13"/>
    <w:semiHidden/>
    <w:unhideWhenUsed/>
    <w:qFormat/>
    <w:uiPriority w:val="99"/>
  </w:style>
  <w:style w:type="character" w:styleId="20">
    <w:name w:val="Hyperlink"/>
    <w:basedOn w:val="13"/>
    <w:semiHidden/>
    <w:unhideWhenUsed/>
    <w:qFormat/>
    <w:uiPriority w:val="99"/>
    <w:rPr>
      <w:color w:val="338DE6"/>
      <w:u w:val="none"/>
    </w:rPr>
  </w:style>
  <w:style w:type="character" w:styleId="21">
    <w:name w:val="HTML Code"/>
    <w:basedOn w:val="13"/>
    <w:semiHidden/>
    <w:unhideWhenUsed/>
    <w:qFormat/>
    <w:uiPriority w:val="99"/>
    <w:rPr>
      <w:rFonts w:ascii="serif" w:hAnsi="serif" w:eastAsia="serif" w:cs="serif"/>
      <w:sz w:val="21"/>
      <w:szCs w:val="21"/>
    </w:rPr>
  </w:style>
  <w:style w:type="character" w:styleId="22">
    <w:name w:val="HTML Cite"/>
    <w:basedOn w:val="13"/>
    <w:semiHidden/>
    <w:unhideWhenUsed/>
    <w:qFormat/>
    <w:uiPriority w:val="99"/>
  </w:style>
  <w:style w:type="character" w:styleId="23">
    <w:name w:val="HTML Keyboard"/>
    <w:basedOn w:val="13"/>
    <w:semiHidden/>
    <w:unhideWhenUsed/>
    <w:qFormat/>
    <w:uiPriority w:val="99"/>
    <w:rPr>
      <w:rFonts w:hint="default" w:ascii="serif" w:hAnsi="serif" w:eastAsia="serif" w:cs="serif"/>
      <w:sz w:val="21"/>
      <w:szCs w:val="21"/>
    </w:rPr>
  </w:style>
  <w:style w:type="character" w:styleId="24">
    <w:name w:val="HTML Sample"/>
    <w:basedOn w:val="13"/>
    <w:semiHidden/>
    <w:unhideWhenUsed/>
    <w:qFormat/>
    <w:uiPriority w:val="99"/>
    <w:rPr>
      <w:rFonts w:hint="default" w:ascii="serif" w:hAnsi="serif" w:eastAsia="serif" w:cs="serif"/>
      <w:sz w:val="21"/>
      <w:szCs w:val="21"/>
    </w:rPr>
  </w:style>
  <w:style w:type="character" w:customStyle="1" w:styleId="25">
    <w:name w:val="页眉 Char"/>
    <w:basedOn w:val="13"/>
    <w:link w:val="8"/>
    <w:semiHidden/>
    <w:qFormat/>
    <w:uiPriority w:val="99"/>
    <w:rPr>
      <w:sz w:val="18"/>
      <w:szCs w:val="18"/>
    </w:rPr>
  </w:style>
  <w:style w:type="character" w:customStyle="1" w:styleId="26">
    <w:name w:val="页脚 Char"/>
    <w:basedOn w:val="13"/>
    <w:link w:val="7"/>
    <w:qFormat/>
    <w:uiPriority w:val="99"/>
    <w:rPr>
      <w:sz w:val="18"/>
      <w:szCs w:val="18"/>
    </w:rPr>
  </w:style>
  <w:style w:type="character" w:customStyle="1" w:styleId="27">
    <w:name w:val="日期 Char"/>
    <w:basedOn w:val="13"/>
    <w:link w:val="6"/>
    <w:semiHidden/>
    <w:qFormat/>
    <w:uiPriority w:val="99"/>
  </w:style>
  <w:style w:type="character" w:customStyle="1" w:styleId="28">
    <w:name w:val="标题 1 Char"/>
    <w:basedOn w:val="13"/>
    <w:link w:val="3"/>
    <w:qFormat/>
    <w:uiPriority w:val="9"/>
    <w:rPr>
      <w:rFonts w:ascii="Times New Roman" w:hAnsi="Times New Roman" w:eastAsia="宋体"/>
      <w:b/>
      <w:bCs/>
      <w:kern w:val="44"/>
      <w:sz w:val="44"/>
      <w:szCs w:val="44"/>
    </w:rPr>
  </w:style>
  <w:style w:type="character" w:customStyle="1" w:styleId="29">
    <w:name w:val="info-content-text"/>
    <w:basedOn w:val="13"/>
    <w:qFormat/>
    <w:uiPriority w:val="0"/>
  </w:style>
  <w:style w:type="character" w:customStyle="1" w:styleId="30">
    <w:name w:val="info-expand-btn2"/>
    <w:basedOn w:val="13"/>
    <w:qFormat/>
    <w:uiPriority w:val="0"/>
  </w:style>
  <w:style w:type="paragraph" w:styleId="31">
    <w:name w:val="List Paragraph"/>
    <w:basedOn w:val="1"/>
    <w:qFormat/>
    <w:uiPriority w:val="34"/>
    <w:pPr>
      <w:ind w:firstLine="420" w:firstLineChars="200"/>
    </w:pPr>
  </w:style>
  <w:style w:type="character" w:customStyle="1" w:styleId="32">
    <w:name w:val="wz_bj2"/>
    <w:basedOn w:val="13"/>
    <w:qFormat/>
    <w:uiPriority w:val="0"/>
  </w:style>
  <w:style w:type="character" w:customStyle="1" w:styleId="33">
    <w:name w:val="wz_font2"/>
    <w:basedOn w:val="13"/>
    <w:qFormat/>
    <w:uiPriority w:val="0"/>
    <w:rPr>
      <w:color w:val="0D57AC"/>
    </w:rPr>
  </w:style>
  <w:style w:type="character" w:customStyle="1" w:styleId="34">
    <w:name w:val="正文文本缩进 Char"/>
    <w:basedOn w:val="13"/>
    <w:link w:val="5"/>
    <w:semiHidden/>
    <w:qFormat/>
    <w:uiPriority w:val="99"/>
  </w:style>
  <w:style w:type="character" w:customStyle="1" w:styleId="35">
    <w:name w:val="正文首行缩进 2 Char"/>
    <w:basedOn w:val="34"/>
    <w:link w:val="11"/>
    <w:semiHidden/>
    <w:qFormat/>
    <w:uiPriority w:val="99"/>
    <w:rPr>
      <w:rFonts w:ascii="宋体" w:hAnsi="宋体" w:eastAsia="宋体" w:cs="宋体"/>
      <w:kern w:val="0"/>
      <w:sz w:val="24"/>
      <w:szCs w:val="24"/>
    </w:rPr>
  </w:style>
  <w:style w:type="character" w:customStyle="1" w:styleId="36">
    <w:name w:val="标题 2 Char"/>
    <w:basedOn w:val="13"/>
    <w:link w:val="2"/>
    <w:semiHidden/>
    <w:qFormat/>
    <w:uiPriority w:val="9"/>
    <w:rPr>
      <w:rFonts w:asciiTheme="majorHAnsi" w:hAnsiTheme="majorHAnsi" w:eastAsiaTheme="majorEastAsia" w:cstheme="majorBidi"/>
      <w:b/>
      <w:bCs/>
      <w:sz w:val="32"/>
      <w:szCs w:val="32"/>
    </w:rPr>
  </w:style>
  <w:style w:type="character" w:customStyle="1" w:styleId="37">
    <w:name w:val="fontsize"/>
    <w:basedOn w:val="13"/>
    <w:qFormat/>
    <w:uiPriority w:val="0"/>
  </w:style>
  <w:style w:type="character" w:customStyle="1" w:styleId="38">
    <w:name w:val="info-content-text2"/>
    <w:basedOn w:val="13"/>
    <w:qFormat/>
    <w:uiPriority w:val="0"/>
  </w:style>
  <w:style w:type="character" w:customStyle="1" w:styleId="39">
    <w:name w:val="generalinfo-address-text2"/>
    <w:basedOn w:val="13"/>
    <w:qFormat/>
    <w:uiPriority w:val="0"/>
  </w:style>
  <w:style w:type="paragraph" w:customStyle="1" w:styleId="40">
    <w:name w:val="op-vmp-zxenterprise-abstract"/>
    <w:basedOn w:val="1"/>
    <w:qFormat/>
    <w:uiPriority w:val="0"/>
    <w:pPr>
      <w:widowControl/>
      <w:jc w:val="left"/>
    </w:pPr>
    <w:rPr>
      <w:rFonts w:ascii="宋体" w:hAnsi="宋体" w:eastAsia="宋体" w:cs="宋体"/>
      <w:kern w:val="0"/>
      <w:sz w:val="24"/>
      <w:szCs w:val="24"/>
    </w:rPr>
  </w:style>
  <w:style w:type="paragraph" w:customStyle="1" w:styleId="41">
    <w:name w:val="Body text|1"/>
    <w:basedOn w:val="1"/>
    <w:qFormat/>
    <w:uiPriority w:val="0"/>
    <w:pPr>
      <w:spacing w:line="456" w:lineRule="auto"/>
      <w:ind w:firstLine="400"/>
    </w:pPr>
    <w:rPr>
      <w:rFonts w:ascii="宋体" w:hAnsi="宋体" w:eastAsia="宋体" w:cs="宋体"/>
      <w:sz w:val="22"/>
      <w:lang w:val="zh-TW" w:eastAsia="zh-TW" w:bidi="zh-TW"/>
    </w:rPr>
  </w:style>
  <w:style w:type="character" w:customStyle="1" w:styleId="42">
    <w:name w:val="fontstrikethrough"/>
    <w:basedOn w:val="13"/>
    <w:qFormat/>
    <w:uiPriority w:val="0"/>
    <w:rPr>
      <w:strike/>
    </w:rPr>
  </w:style>
  <w:style w:type="character" w:customStyle="1" w:styleId="43">
    <w:name w:val="fontborder"/>
    <w:basedOn w:val="13"/>
    <w:qFormat/>
    <w:uiPriority w:val="0"/>
    <w:rPr>
      <w:bdr w:val="single" w:color="000000" w:sz="6" w:space="0"/>
    </w:rPr>
  </w:style>
  <w:style w:type="character" w:customStyle="1" w:styleId="44">
    <w:name w:val="after"/>
    <w:basedOn w:val="13"/>
    <w:qFormat/>
    <w:uiPriority w:val="0"/>
    <w:rPr>
      <w:shd w:val="clear" w:color="auto" w:fill="FFFFFF"/>
    </w:rPr>
  </w:style>
  <w:style w:type="character" w:customStyle="1" w:styleId="45">
    <w:name w:val="before"/>
    <w:basedOn w:val="13"/>
    <w:qFormat/>
    <w:uiPriority w:val="0"/>
    <w:rPr>
      <w:shd w:val="clear" w:color="auto" w:fill="FFFFFF"/>
    </w:rPr>
  </w:style>
  <w:style w:type="character" w:customStyle="1" w:styleId="46">
    <w:name w:val="hover14"/>
    <w:basedOn w:val="13"/>
    <w:qFormat/>
    <w:uiPriority w:val="0"/>
    <w:rPr>
      <w:shd w:val="clear" w:color="auto" w:fill="0174CC"/>
    </w:rPr>
  </w:style>
  <w:style w:type="character" w:customStyle="1" w:styleId="47">
    <w:name w:val="c-icon"/>
    <w:basedOn w:val="13"/>
    <w:qFormat/>
    <w:uiPriority w:val="0"/>
  </w:style>
  <w:style w:type="character" w:customStyle="1" w:styleId="48">
    <w:name w:val="hover28"/>
    <w:basedOn w:val="13"/>
    <w:qFormat/>
    <w:uiPriority w:val="0"/>
    <w:rPr>
      <w:color w:val="315EFB"/>
    </w:rPr>
  </w:style>
  <w:style w:type="character" w:customStyle="1" w:styleId="49">
    <w:name w:val="hover29"/>
    <w:basedOn w:val="13"/>
    <w:qFormat/>
    <w:uiPriority w:val="0"/>
  </w:style>
  <w:style w:type="character" w:customStyle="1" w:styleId="50">
    <w:name w:val="pass-placeholder-smsverifycode"/>
    <w:basedOn w:val="13"/>
    <w:qFormat/>
    <w:uiPriority w:val="0"/>
  </w:style>
  <w:style w:type="character" w:customStyle="1" w:styleId="51">
    <w:name w:val="tang-pass-qrcode-list-aq"/>
    <w:basedOn w:val="13"/>
    <w:qFormat/>
    <w:uiPriority w:val="0"/>
  </w:style>
  <w:style w:type="character" w:customStyle="1" w:styleId="52">
    <w:name w:val="tang-pass-qrcode-list-gx"/>
    <w:basedOn w:val="13"/>
    <w:qFormat/>
    <w:uiPriority w:val="0"/>
  </w:style>
  <w:style w:type="character" w:customStyle="1" w:styleId="53">
    <w:name w:val="tang-pass-qrcode-list-bj"/>
    <w:basedOn w:val="13"/>
    <w:qFormat/>
    <w:uiPriority w:val="0"/>
  </w:style>
  <w:style w:type="character" w:customStyle="1" w:styleId="54">
    <w:name w:val="pass-item-timer"/>
    <w:basedOn w:val="13"/>
    <w:qFormat/>
    <w:uiPriority w:val="0"/>
  </w:style>
  <w:style w:type="character" w:customStyle="1" w:styleId="55">
    <w:name w:val="pass-placeholder-smsphone"/>
    <w:basedOn w:val="13"/>
    <w:qFormat/>
    <w:uiPriority w:val="0"/>
  </w:style>
  <w:style w:type="character" w:customStyle="1" w:styleId="56">
    <w:name w:val="pass-item-time-timing"/>
    <w:basedOn w:val="13"/>
    <w:qFormat/>
    <w:uiPriority w:val="0"/>
  </w:style>
  <w:style w:type="character" w:customStyle="1" w:styleId="57">
    <w:name w:val="open"/>
    <w:basedOn w:val="13"/>
    <w:qFormat/>
    <w:uiPriority w:val="0"/>
  </w:style>
  <w:style w:type="character" w:customStyle="1" w:styleId="58">
    <w:name w:val="pass-clearbtn-verifycode"/>
    <w:basedOn w:val="13"/>
    <w:qFormat/>
    <w:uiPriority w:val="0"/>
  </w:style>
  <w:style w:type="character" w:customStyle="1" w:styleId="59">
    <w:name w:val="pass-clearbtn-smsverifycode"/>
    <w:basedOn w:val="13"/>
    <w:qFormat/>
    <w:uiPriority w:val="0"/>
  </w:style>
  <w:style w:type="character" w:customStyle="1" w:styleId="60">
    <w:name w:val="pass-placeholder2"/>
    <w:basedOn w:val="13"/>
    <w:qFormat/>
    <w:uiPriority w:val="0"/>
  </w:style>
  <w:style w:type="character" w:customStyle="1" w:styleId="61">
    <w:name w:val="hover26"/>
    <w:basedOn w:val="13"/>
    <w:qFormat/>
    <w:uiPriority w:val="0"/>
    <w:rPr>
      <w:color w:val="315EFB"/>
    </w:rPr>
  </w:style>
  <w:style w:type="character" w:customStyle="1" w:styleId="62">
    <w:name w:val="hover27"/>
    <w:basedOn w:val="13"/>
    <w:qFormat/>
    <w:uiPriority w:val="0"/>
  </w:style>
  <w:style w:type="character" w:customStyle="1" w:styleId="63">
    <w:name w:val="error"/>
    <w:basedOn w:val="13"/>
    <w:qFormat/>
    <w:uiPriority w:val="0"/>
    <w:rPr>
      <w:vanish/>
      <w:color w:val="FF0000"/>
    </w:rPr>
  </w:style>
  <w:style w:type="character" w:customStyle="1" w:styleId="64">
    <w:name w:val="fav"/>
    <w:basedOn w:val="13"/>
    <w:qFormat/>
    <w:uiPriority w:val="0"/>
  </w:style>
  <w:style w:type="character" w:customStyle="1" w:styleId="65">
    <w:name w:val="ok"/>
    <w:basedOn w:val="13"/>
    <w:qFormat/>
    <w:uiPriority w:val="0"/>
    <w:rPr>
      <w:vanish/>
    </w:rPr>
  </w:style>
  <w:style w:type="character" w:customStyle="1" w:styleId="66">
    <w:name w:val="valid"/>
    <w:basedOn w:val="13"/>
    <w:qFormat/>
    <w:uiPriority w:val="0"/>
    <w:rPr>
      <w:vanish/>
    </w:rPr>
  </w:style>
  <w:style w:type="character" w:customStyle="1" w:styleId="67">
    <w:name w:val="favline"/>
    <w:basedOn w:val="13"/>
    <w:qFormat/>
    <w:uiPriority w:val="0"/>
    <w:rPr>
      <w:color w:val="CCCCCC"/>
    </w:rPr>
  </w:style>
  <w:style w:type="character" w:customStyle="1" w:styleId="68">
    <w:name w:val="on3"/>
    <w:basedOn w:val="13"/>
    <w:qFormat/>
    <w:uiPriority w:val="0"/>
    <w:rPr>
      <w:b/>
      <w:bCs/>
    </w:rPr>
  </w:style>
  <w:style w:type="character" w:customStyle="1" w:styleId="69">
    <w:name w:val="first-child1"/>
    <w:basedOn w:val="13"/>
    <w:qFormat/>
    <w:uiPriority w:val="0"/>
  </w:style>
  <w:style w:type="character" w:customStyle="1" w:styleId="70">
    <w:name w:val="layui-this4"/>
    <w:basedOn w:val="13"/>
    <w:qFormat/>
    <w:uiPriority w:val="0"/>
    <w:rPr>
      <w:bdr w:val="single" w:color="EEEEEE" w:sz="6" w:space="0"/>
      <w:shd w:val="clear" w:color="auto" w:fill="FFFFFF"/>
    </w:rPr>
  </w:style>
  <w:style w:type="character" w:customStyle="1" w:styleId="71">
    <w:name w:val="layui-laydate-preview"/>
    <w:basedOn w:val="13"/>
    <w:qFormat/>
    <w:uiPriority w:val="0"/>
  </w:style>
  <w:style w:type="character" w:customStyle="1" w:styleId="72">
    <w:name w:val="hover13"/>
    <w:basedOn w:val="13"/>
    <w:qFormat/>
    <w:uiPriority w:val="0"/>
    <w:rPr>
      <w:color w:val="5FB878"/>
    </w:rPr>
  </w:style>
  <w:style w:type="character" w:customStyle="1" w:styleId="73">
    <w:name w:val="hover15"/>
    <w:basedOn w:val="13"/>
    <w:qFormat/>
    <w:uiPriority w:val="0"/>
    <w:rPr>
      <w:color w:val="FFFFFF"/>
    </w:rPr>
  </w:style>
  <w:style w:type="character" w:customStyle="1" w:styleId="74">
    <w:name w:val="layui-laypage-curr"/>
    <w:basedOn w:val="13"/>
    <w:qFormat/>
    <w:uiPriority w:val="0"/>
  </w:style>
  <w:style w:type="character" w:customStyle="1" w:styleId="75">
    <w:name w:val="hover"/>
    <w:basedOn w:val="13"/>
    <w:qFormat/>
    <w:uiPriority w:val="0"/>
    <w:rPr>
      <w:color w:val="315EFB"/>
    </w:rPr>
  </w:style>
  <w:style w:type="character" w:customStyle="1" w:styleId="76">
    <w:name w:val="hover1"/>
    <w:basedOn w:val="13"/>
    <w:qFormat/>
    <w:uiPriority w:val="0"/>
  </w:style>
  <w:style w:type="character" w:customStyle="1" w:styleId="77">
    <w:name w:val="c-icon30"/>
    <w:basedOn w:val="13"/>
    <w:qFormat/>
    <w:uiPriority w:val="0"/>
  </w:style>
  <w:style w:type="character" w:customStyle="1" w:styleId="78">
    <w:name w:val="hover24"/>
    <w:basedOn w:val="13"/>
    <w:qFormat/>
    <w:uiPriority w:val="0"/>
  </w:style>
  <w:style w:type="character" w:customStyle="1" w:styleId="79">
    <w:name w:val="hover25"/>
    <w:basedOn w:val="13"/>
    <w:qFormat/>
    <w:uiPriority w:val="0"/>
    <w:rPr>
      <w:color w:val="315EF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8265</Words>
  <Characters>8344</Characters>
  <Lines>63</Lines>
  <Paragraphs>17</Paragraphs>
  <TotalTime>26</TotalTime>
  <ScaleCrop>false</ScaleCrop>
  <LinksUpToDate>false</LinksUpToDate>
  <CharactersWithSpaces>8355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2019-04-17T02:31:00Z</dcterms:created>
  <dc:creator>PC</dc:creator>
  <cp:lastModifiedBy>Administrator</cp:lastModifiedBy>
  <cp:lastPrinted>2022-03-23T01:10:00Z</cp:lastPrinted>
  <dcterms:modified xsi:type="dcterms:W3CDTF">2022-06-22T14:21:23Z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5948D5DF064540A8ABCE842C4D2F4544</vt:lpwstr>
  </property>
</Properties>
</file>