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霍邱县自然资源和规划局202</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1</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政府信息公开工作年度报告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根据《国务院办公厅政府信息与政务公开办公室关于印发＜中华人民共和国政府信息公开工作年度报告格式＞的通知》（国办公开办函〔2021〕30号）、《安徽省政务公开办公室关于做好2021年度政府信息公开工作年度报告编制和发布工作的通知》（皖政务办秘〔2021〕37号）、《六安市政务公开办关于做好政府信息公开年度报告编制和发布工作的通知》（六政务公开办〔2021〕64号）文件要求，霍邱县自然资源和规划局编制2021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2021年1月1日起至2021年12月31日。</w:t>
      </w:r>
      <w:r>
        <w:rPr>
          <w:rFonts w:hint="eastAsia" w:ascii="仿宋_GB2312" w:hAnsi="仿宋_GB2312" w:eastAsia="仿宋_GB2312" w:cs="仿宋_GB2312"/>
          <w:i w:val="0"/>
          <w:iCs w:val="0"/>
          <w:caps w:val="0"/>
          <w:color w:val="000000"/>
          <w:spacing w:val="0"/>
          <w:sz w:val="32"/>
          <w:szCs w:val="32"/>
          <w:shd w:val="clear" w:fill="FFFFFF"/>
        </w:rPr>
        <w:t>本年度报告电子版可在霍邱县自然资源和规划局信息公开平台下载。如对本报告有任何疑问，请与霍邱县自然资源和规划局联系（地址：霍邱县城关镇光明大道367号；邮编：237400；联系电话：0564-6024409）。</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lang w:val="en-US" w:eastAsia="zh-CN"/>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333333"/>
          <w:kern w:val="0"/>
          <w:sz w:val="32"/>
          <w:szCs w:val="32"/>
          <w:shd w:val="clear" w:color="auto" w:fill="FFFFFF"/>
          <w:lang w:bidi="ar"/>
        </w:rPr>
      </w:pPr>
      <w:r>
        <w:rPr>
          <w:rFonts w:hint="eastAsia" w:ascii="仿宋_GB2312" w:hAnsi="仿宋_GB2312" w:eastAsia="仿宋_GB2312" w:cs="仿宋_GB2312"/>
          <w:b/>
          <w:bCs/>
          <w:color w:val="333333"/>
          <w:kern w:val="0"/>
          <w:sz w:val="32"/>
          <w:szCs w:val="32"/>
          <w:shd w:val="clear" w:color="auto" w:fill="FFFFFF"/>
          <w:lang w:eastAsia="zh-CN" w:bidi="ar"/>
        </w:rPr>
        <w:t>一、</w:t>
      </w:r>
      <w:r>
        <w:rPr>
          <w:rFonts w:hint="eastAsia" w:ascii="仿宋_GB2312" w:hAnsi="仿宋_GB2312" w:eastAsia="仿宋_GB2312" w:cs="仿宋_GB2312"/>
          <w:b/>
          <w:bCs/>
          <w:color w:val="333333"/>
          <w:kern w:val="0"/>
          <w:sz w:val="32"/>
          <w:szCs w:val="32"/>
          <w:shd w:val="clear" w:color="auto" w:fill="FFFFFF"/>
          <w:lang w:bidi="ar"/>
        </w:rPr>
        <w:t>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eastAsia="zh-CN"/>
        </w:rPr>
        <w:t>我</w:t>
      </w:r>
      <w:r>
        <w:rPr>
          <w:rFonts w:hint="eastAsia" w:ascii="仿宋_GB2312" w:hAnsi="仿宋_GB2312" w:eastAsia="仿宋_GB2312" w:cs="仿宋_GB2312"/>
          <w:i w:val="0"/>
          <w:iCs w:val="0"/>
          <w:caps w:val="0"/>
          <w:color w:val="000000"/>
          <w:spacing w:val="0"/>
          <w:sz w:val="32"/>
          <w:szCs w:val="32"/>
          <w:shd w:val="clear" w:fill="FFFFFF"/>
        </w:rPr>
        <w:t>局认真落实国家和省市</w:t>
      </w:r>
      <w:r>
        <w:rPr>
          <w:rFonts w:hint="eastAsia" w:ascii="仿宋_GB2312" w:hAnsi="仿宋_GB2312" w:eastAsia="仿宋_GB2312" w:cs="仿宋_GB2312"/>
          <w:i w:val="0"/>
          <w:iCs w:val="0"/>
          <w:caps w:val="0"/>
          <w:color w:val="000000"/>
          <w:spacing w:val="0"/>
          <w:sz w:val="32"/>
          <w:szCs w:val="32"/>
          <w:shd w:val="clear" w:fill="FFFFFF"/>
          <w:lang w:eastAsia="zh-CN"/>
        </w:rPr>
        <w:t>县</w:t>
      </w:r>
      <w:r>
        <w:rPr>
          <w:rFonts w:hint="eastAsia" w:ascii="仿宋_GB2312" w:hAnsi="仿宋_GB2312" w:eastAsia="仿宋_GB2312" w:cs="仿宋_GB2312"/>
          <w:i w:val="0"/>
          <w:iCs w:val="0"/>
          <w:caps w:val="0"/>
          <w:color w:val="000000"/>
          <w:spacing w:val="0"/>
          <w:sz w:val="32"/>
          <w:szCs w:val="32"/>
          <w:shd w:val="clear" w:fill="FFFFFF"/>
        </w:rPr>
        <w:t>有关政府信息公开的方针政策，</w:t>
      </w:r>
      <w:r>
        <w:rPr>
          <w:rFonts w:hint="eastAsia" w:ascii="仿宋_GB2312" w:hAnsi="仿宋_GB2312" w:eastAsia="仿宋_GB2312" w:cs="仿宋_GB2312"/>
          <w:i w:val="0"/>
          <w:iCs w:val="0"/>
          <w:caps w:val="0"/>
          <w:color w:val="000000"/>
          <w:spacing w:val="0"/>
          <w:sz w:val="32"/>
          <w:szCs w:val="32"/>
          <w:shd w:val="clear" w:fill="FFFFFF"/>
          <w:lang w:eastAsia="zh-CN"/>
        </w:rPr>
        <w:t>严格</w:t>
      </w:r>
      <w:r>
        <w:rPr>
          <w:rFonts w:hint="eastAsia" w:ascii="仿宋_GB2312" w:hAnsi="仿宋_GB2312" w:eastAsia="仿宋_GB2312" w:cs="仿宋_GB2312"/>
          <w:i w:val="0"/>
          <w:iCs w:val="0"/>
          <w:caps w:val="0"/>
          <w:color w:val="000000"/>
          <w:spacing w:val="0"/>
          <w:sz w:val="32"/>
          <w:szCs w:val="32"/>
          <w:shd w:val="clear" w:fill="FFFFFF"/>
        </w:rPr>
        <w:t>遵循“以公开为原则，不公开为例外”，紧紧围绕群众关心和社会关注</w:t>
      </w:r>
      <w:r>
        <w:rPr>
          <w:rFonts w:hint="eastAsia" w:ascii="仿宋_GB2312" w:hAnsi="仿宋_GB2312" w:eastAsia="仿宋_GB2312" w:cs="仿宋_GB2312"/>
          <w:i w:val="0"/>
          <w:iCs w:val="0"/>
          <w:caps w:val="0"/>
          <w:color w:val="000000"/>
          <w:spacing w:val="0"/>
          <w:sz w:val="32"/>
          <w:szCs w:val="32"/>
          <w:shd w:val="clear" w:fill="FFFFFF"/>
          <w:lang w:eastAsia="zh-CN"/>
        </w:rPr>
        <w:t>的自然资源领域信息</w:t>
      </w:r>
      <w:r>
        <w:rPr>
          <w:rFonts w:hint="eastAsia" w:ascii="仿宋_GB2312" w:hAnsi="仿宋_GB2312" w:eastAsia="仿宋_GB2312" w:cs="仿宋_GB2312"/>
          <w:i w:val="0"/>
          <w:iCs w:val="0"/>
          <w:caps w:val="0"/>
          <w:color w:val="000000"/>
          <w:spacing w:val="0"/>
          <w:sz w:val="32"/>
          <w:szCs w:val="32"/>
          <w:shd w:val="clear" w:fill="FFFFFF"/>
        </w:rPr>
        <w:t>，不断丰富公开内容</w:t>
      </w:r>
      <w:r>
        <w:rPr>
          <w:rFonts w:hint="eastAsia" w:ascii="仿宋_GB2312" w:hAnsi="仿宋_GB2312" w:eastAsia="仿宋_GB2312" w:cs="仿宋_GB2312"/>
          <w:i w:val="0"/>
          <w:iCs w:val="0"/>
          <w:caps w:val="0"/>
          <w:color w:val="000000"/>
          <w:spacing w:val="0"/>
          <w:sz w:val="32"/>
          <w:szCs w:val="32"/>
          <w:shd w:val="clear" w:fill="FFFFFF"/>
          <w:lang w:eastAsia="zh-CN"/>
        </w:rPr>
        <w:t>，加强</w:t>
      </w:r>
      <w:r>
        <w:rPr>
          <w:rFonts w:hint="eastAsia" w:ascii="仿宋_GB2312" w:hAnsi="仿宋_GB2312" w:eastAsia="仿宋_GB2312" w:cs="仿宋_GB2312"/>
          <w:i w:val="0"/>
          <w:iCs w:val="0"/>
          <w:caps w:val="0"/>
          <w:color w:val="000000"/>
          <w:spacing w:val="0"/>
          <w:sz w:val="32"/>
          <w:szCs w:val="32"/>
          <w:shd w:val="clear" w:fill="FFFFFF"/>
        </w:rPr>
        <w:t>平台</w:t>
      </w:r>
      <w:r>
        <w:rPr>
          <w:rFonts w:hint="eastAsia" w:ascii="仿宋_GB2312" w:hAnsi="仿宋_GB2312" w:eastAsia="仿宋_GB2312" w:cs="仿宋_GB2312"/>
          <w:i w:val="0"/>
          <w:iCs w:val="0"/>
          <w:caps w:val="0"/>
          <w:color w:val="000000"/>
          <w:spacing w:val="0"/>
          <w:sz w:val="32"/>
          <w:szCs w:val="32"/>
          <w:shd w:val="clear" w:fill="FFFFFF"/>
          <w:lang w:eastAsia="zh-CN"/>
        </w:rPr>
        <w:t>管理</w:t>
      </w:r>
      <w:r>
        <w:rPr>
          <w:rFonts w:hint="eastAsia" w:ascii="仿宋_GB2312" w:hAnsi="仿宋_GB2312" w:eastAsia="仿宋_GB2312" w:cs="仿宋_GB2312"/>
          <w:i w:val="0"/>
          <w:iCs w:val="0"/>
          <w:caps w:val="0"/>
          <w:color w:val="000000"/>
          <w:spacing w:val="0"/>
          <w:sz w:val="32"/>
          <w:szCs w:val="32"/>
          <w:shd w:val="clear" w:fill="FFFFFF"/>
        </w:rPr>
        <w:t>，畅通公开渠道，拓宽公开形式，增强公开质量，</w:t>
      </w:r>
      <w:r>
        <w:rPr>
          <w:rFonts w:hint="eastAsia" w:ascii="仿宋_GB2312" w:hAnsi="仿宋_GB2312" w:eastAsia="仿宋_GB2312" w:cs="仿宋_GB2312"/>
          <w:i w:val="0"/>
          <w:iCs w:val="0"/>
          <w:caps w:val="0"/>
          <w:color w:val="000000"/>
          <w:spacing w:val="0"/>
          <w:sz w:val="32"/>
          <w:szCs w:val="32"/>
          <w:shd w:val="clear" w:fill="FFFFFF"/>
          <w:lang w:eastAsia="zh-CN"/>
        </w:rPr>
        <w:t>信息公开</w:t>
      </w:r>
      <w:r>
        <w:rPr>
          <w:rFonts w:hint="eastAsia" w:ascii="仿宋_GB2312" w:hAnsi="仿宋_GB2312" w:eastAsia="仿宋_GB2312" w:cs="仿宋_GB2312"/>
          <w:i w:val="0"/>
          <w:iCs w:val="0"/>
          <w:caps w:val="0"/>
          <w:color w:val="000000"/>
          <w:spacing w:val="0"/>
          <w:sz w:val="32"/>
          <w:szCs w:val="32"/>
          <w:shd w:val="clear" w:fill="FFFFFF"/>
        </w:rPr>
        <w:t>工作扎实有序推进。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b/>
          <w:bCs/>
          <w:i w:val="0"/>
          <w:iCs w:val="0"/>
          <w:caps w:val="0"/>
          <w:color w:val="000000"/>
          <w:spacing w:val="0"/>
          <w:sz w:val="32"/>
          <w:szCs w:val="32"/>
          <w:shd w:val="clear" w:fill="FFFFFF"/>
        </w:rPr>
        <w:t>（一）主动公开情况。</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年我局共发布各类政府信息1</w:t>
      </w:r>
      <w:r>
        <w:rPr>
          <w:rFonts w:hint="eastAsia" w:ascii="仿宋_GB2312" w:hAnsi="仿宋_GB2312" w:eastAsia="仿宋_GB2312" w:cs="仿宋_GB2312"/>
          <w:i w:val="0"/>
          <w:iCs w:val="0"/>
          <w:caps w:val="0"/>
          <w:color w:val="000000"/>
          <w:spacing w:val="0"/>
          <w:sz w:val="32"/>
          <w:szCs w:val="32"/>
          <w:shd w:val="clear" w:fill="FFFFFF"/>
          <w:lang w:val="en-US" w:eastAsia="zh-CN"/>
        </w:rPr>
        <w:t>50</w:t>
      </w:r>
      <w:r>
        <w:rPr>
          <w:rFonts w:hint="eastAsia" w:ascii="仿宋_GB2312" w:hAnsi="仿宋_GB2312" w:eastAsia="仿宋_GB2312" w:cs="仿宋_GB2312"/>
          <w:i w:val="0"/>
          <w:iCs w:val="0"/>
          <w:caps w:val="0"/>
          <w:color w:val="000000"/>
          <w:spacing w:val="0"/>
          <w:sz w:val="32"/>
          <w:szCs w:val="32"/>
          <w:shd w:val="clear" w:fill="FFFFFF"/>
        </w:rPr>
        <w:t>0余条，其中</w:t>
      </w:r>
      <w:r>
        <w:rPr>
          <w:rFonts w:hint="eastAsia" w:ascii="仿宋_GB2312" w:hAnsi="仿宋_GB2312" w:eastAsia="仿宋_GB2312" w:cs="仿宋_GB2312"/>
          <w:i w:val="0"/>
          <w:iCs w:val="0"/>
          <w:caps w:val="0"/>
          <w:color w:val="000000"/>
          <w:spacing w:val="0"/>
          <w:sz w:val="32"/>
          <w:szCs w:val="32"/>
          <w:shd w:val="clear" w:fill="FFFFFF"/>
          <w:lang w:eastAsia="zh-CN"/>
        </w:rPr>
        <w:t>基本栏目更新</w:t>
      </w:r>
      <w:r>
        <w:rPr>
          <w:rFonts w:hint="eastAsia" w:ascii="仿宋_GB2312" w:hAnsi="仿宋_GB2312" w:eastAsia="仿宋_GB2312" w:cs="仿宋_GB2312"/>
          <w:i w:val="0"/>
          <w:iCs w:val="0"/>
          <w:caps w:val="0"/>
          <w:color w:val="000000"/>
          <w:spacing w:val="0"/>
          <w:sz w:val="32"/>
          <w:szCs w:val="32"/>
          <w:shd w:val="clear" w:fill="FFFFFF"/>
          <w:lang w:val="en-US" w:eastAsia="zh-CN"/>
        </w:rPr>
        <w:t>710余条，</w:t>
      </w:r>
      <w:r>
        <w:rPr>
          <w:rFonts w:hint="eastAsia" w:ascii="仿宋_GB2312" w:hAnsi="仿宋_GB2312" w:eastAsia="仿宋_GB2312" w:cs="仿宋_GB2312"/>
          <w:i w:val="0"/>
          <w:iCs w:val="0"/>
          <w:caps w:val="0"/>
          <w:color w:val="000000"/>
          <w:spacing w:val="0"/>
          <w:sz w:val="32"/>
          <w:szCs w:val="32"/>
          <w:shd w:val="clear" w:fill="FFFFFF"/>
        </w:rPr>
        <w:t>重点领域信息公开栏目</w:t>
      </w:r>
      <w:r>
        <w:rPr>
          <w:rFonts w:hint="eastAsia" w:ascii="仿宋_GB2312" w:hAnsi="仿宋_GB2312" w:eastAsia="仿宋_GB2312" w:cs="仿宋_GB2312"/>
          <w:i w:val="0"/>
          <w:iCs w:val="0"/>
          <w:caps w:val="0"/>
          <w:color w:val="000000"/>
          <w:spacing w:val="0"/>
          <w:sz w:val="32"/>
          <w:szCs w:val="32"/>
          <w:shd w:val="clear" w:fill="FFFFFF"/>
          <w:lang w:val="en-US" w:eastAsia="zh-CN"/>
        </w:rPr>
        <w:t>350余</w:t>
      </w:r>
      <w:r>
        <w:rPr>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lang w:eastAsia="zh-CN"/>
        </w:rPr>
        <w:t>，基层政务公开标准化规范化专题栏目</w:t>
      </w:r>
      <w:r>
        <w:rPr>
          <w:rFonts w:hint="eastAsia" w:ascii="仿宋_GB2312" w:hAnsi="仿宋_GB2312" w:eastAsia="仿宋_GB2312" w:cs="仿宋_GB2312"/>
          <w:i w:val="0"/>
          <w:iCs w:val="0"/>
          <w:caps w:val="0"/>
          <w:color w:val="000000"/>
          <w:spacing w:val="0"/>
          <w:sz w:val="32"/>
          <w:szCs w:val="32"/>
          <w:shd w:val="clear" w:fill="FFFFFF"/>
          <w:lang w:val="en-US" w:eastAsia="zh-CN"/>
        </w:rPr>
        <w:t>440余条，较上年度1160余条增长340余条，主要增长为</w:t>
      </w:r>
      <w:r>
        <w:rPr>
          <w:rFonts w:hint="eastAsia" w:ascii="仿宋_GB2312" w:hAnsi="仿宋_GB2312" w:eastAsia="仿宋_GB2312" w:cs="仿宋_GB2312"/>
          <w:i w:val="0"/>
          <w:iCs w:val="0"/>
          <w:caps w:val="0"/>
          <w:color w:val="000000"/>
          <w:spacing w:val="0"/>
          <w:sz w:val="32"/>
          <w:szCs w:val="32"/>
          <w:shd w:val="clear" w:fill="FFFFFF"/>
          <w:lang w:eastAsia="zh-CN"/>
        </w:rPr>
        <w:t>基层政务公开标准化规范化专题栏目信息</w:t>
      </w:r>
      <w:r>
        <w:rPr>
          <w:rFonts w:hint="eastAsia" w:ascii="仿宋_GB2312" w:hAnsi="仿宋_GB2312" w:eastAsia="仿宋_GB2312" w:cs="仿宋_GB2312"/>
          <w:i w:val="0"/>
          <w:iCs w:val="0"/>
          <w:caps w:val="0"/>
          <w:color w:val="000000"/>
          <w:spacing w:val="0"/>
          <w:sz w:val="32"/>
          <w:szCs w:val="32"/>
          <w:shd w:val="clear" w:fill="FFFFFF"/>
          <w:lang w:val="en-US" w:eastAsia="zh-CN"/>
        </w:rPr>
        <w:t>。在信息公开内容上，2021年我局主动转载更新《中华人民共和国土地管理法实施条例》、一图读懂第三次全国国土调查主要数据公报、《安徽省土地征收成片开发标准实施细则》等2021年重点自然资源政策解读，及时发布《霍邱县实施&lt;六安市农村集体经营性建设用地入市管理办法（试行）&gt;细则》、《霍邱县建立耕地保护田长制实施方案》、《霍邱县人民政府办公室关于印发霍邱县加强房地产领域管理工作的意见（试行）的通知》等重要领域政策解读，主动制作霍邱县标准地图，免费提供标准地图下载服务，切实做到主动为民公开、为民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bCs/>
          <w:i w:val="0"/>
          <w:iCs w:val="0"/>
          <w:caps w:val="0"/>
          <w:color w:val="000000"/>
          <w:spacing w:val="0"/>
          <w:sz w:val="32"/>
          <w:szCs w:val="32"/>
          <w:shd w:val="clear" w:fill="FFFFFF"/>
          <w:lang w:eastAsia="zh-CN"/>
        </w:rPr>
        <w:t>（二）</w:t>
      </w:r>
      <w:r>
        <w:rPr>
          <w:rFonts w:hint="eastAsia" w:ascii="仿宋_GB2312" w:hAnsi="仿宋_GB2312" w:eastAsia="仿宋_GB2312" w:cs="仿宋_GB2312"/>
          <w:b/>
          <w:bCs/>
          <w:i w:val="0"/>
          <w:iCs w:val="0"/>
          <w:caps w:val="0"/>
          <w:color w:val="000000"/>
          <w:spacing w:val="0"/>
          <w:sz w:val="32"/>
          <w:szCs w:val="32"/>
          <w:shd w:val="clear" w:fill="FFFFFF"/>
        </w:rPr>
        <w:t>依申请公开</w:t>
      </w:r>
      <w:r>
        <w:rPr>
          <w:rFonts w:hint="eastAsia" w:ascii="仿宋_GB2312" w:hAnsi="仿宋_GB2312" w:eastAsia="仿宋_GB2312" w:cs="仿宋_GB2312"/>
          <w:b/>
          <w:bCs/>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2021年</w:t>
      </w:r>
      <w:r>
        <w:rPr>
          <w:rFonts w:hint="eastAsia" w:ascii="仿宋_GB2312" w:hAnsi="仿宋_GB2312" w:eastAsia="仿宋_GB2312" w:cs="仿宋_GB2312"/>
          <w:b w:val="0"/>
          <w:bCs w:val="0"/>
          <w:i w:val="0"/>
          <w:iCs w:val="0"/>
          <w:caps w:val="0"/>
          <w:color w:val="000000"/>
          <w:spacing w:val="0"/>
          <w:sz w:val="32"/>
          <w:szCs w:val="32"/>
          <w:shd w:val="clear" w:fill="FFFFFF"/>
        </w:rPr>
        <w:t>全年共受理依申请公开</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7</w:t>
      </w:r>
      <w:r>
        <w:rPr>
          <w:rFonts w:hint="eastAsia" w:ascii="仿宋_GB2312" w:hAnsi="仿宋_GB2312" w:eastAsia="仿宋_GB2312" w:cs="仿宋_GB2312"/>
          <w:b w:val="0"/>
          <w:bCs w:val="0"/>
          <w:i w:val="0"/>
          <w:iCs w:val="0"/>
          <w:caps w:val="0"/>
          <w:color w:val="000000"/>
          <w:spacing w:val="0"/>
          <w:sz w:val="32"/>
          <w:szCs w:val="32"/>
          <w:shd w:val="clear" w:fill="FFFFFF"/>
        </w:rPr>
        <w:t>件，</w:t>
      </w:r>
      <w:r>
        <w:rPr>
          <w:rFonts w:hint="eastAsia" w:ascii="仿宋_GB2312" w:hAnsi="仿宋_GB2312" w:eastAsia="仿宋_GB2312" w:cs="仿宋_GB2312"/>
          <w:i w:val="0"/>
          <w:iCs w:val="0"/>
          <w:caps w:val="0"/>
          <w:color w:val="000000"/>
          <w:spacing w:val="0"/>
          <w:sz w:val="32"/>
          <w:szCs w:val="32"/>
          <w:shd w:val="clear" w:fill="FFFFFF"/>
        </w:rPr>
        <w:t>其中信函申请</w:t>
      </w:r>
      <w:r>
        <w:rPr>
          <w:rFonts w:hint="eastAsia" w:ascii="仿宋_GB2312" w:hAnsi="仿宋_GB2312" w:eastAsia="仿宋_GB2312" w:cs="仿宋_GB2312"/>
          <w:i w:val="0"/>
          <w:iCs w:val="0"/>
          <w:caps w:val="0"/>
          <w:color w:val="000000"/>
          <w:spacing w:val="0"/>
          <w:sz w:val="32"/>
          <w:szCs w:val="32"/>
          <w:shd w:val="clear" w:fill="FFFFFF"/>
          <w:lang w:val="en-US" w:eastAsia="zh-CN"/>
        </w:rPr>
        <w:t>6</w:t>
      </w:r>
      <w:r>
        <w:rPr>
          <w:rFonts w:hint="eastAsia" w:ascii="仿宋_GB2312" w:hAnsi="仿宋_GB2312" w:eastAsia="仿宋_GB2312" w:cs="仿宋_GB2312"/>
          <w:i w:val="0"/>
          <w:iCs w:val="0"/>
          <w:caps w:val="0"/>
          <w:color w:val="000000"/>
          <w:spacing w:val="0"/>
          <w:sz w:val="32"/>
          <w:szCs w:val="32"/>
          <w:shd w:val="clear" w:fill="FFFFFF"/>
        </w:rPr>
        <w:t>件、网上申请1件，</w:t>
      </w:r>
      <w:r>
        <w:rPr>
          <w:rFonts w:hint="eastAsia" w:ascii="仿宋_GB2312" w:hAnsi="仿宋_GB2312" w:eastAsia="仿宋_GB2312" w:cs="仿宋_GB2312"/>
          <w:b w:val="0"/>
          <w:bCs w:val="0"/>
          <w:i w:val="0"/>
          <w:iCs w:val="0"/>
          <w:caps w:val="0"/>
          <w:color w:val="000000"/>
          <w:spacing w:val="0"/>
          <w:sz w:val="32"/>
          <w:szCs w:val="32"/>
          <w:shd w:val="clear" w:fill="FFFFFF"/>
        </w:rPr>
        <w:t>均在法定期间内，按时答复申请人，全年依申请公开按时办结率100%</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未收取任何费用</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（三）政府信息管理。</w:t>
      </w:r>
      <w:r>
        <w:rPr>
          <w:rFonts w:hint="eastAsia" w:ascii="仿宋_GB2312" w:hAnsi="仿宋_GB2312" w:eastAsia="仿宋_GB2312" w:cs="仿宋_GB2312"/>
          <w:i w:val="0"/>
          <w:iCs w:val="0"/>
          <w:caps w:val="0"/>
          <w:color w:val="000000"/>
          <w:spacing w:val="0"/>
          <w:sz w:val="32"/>
          <w:szCs w:val="32"/>
          <w:shd w:val="clear" w:fill="FFFFFF"/>
          <w:lang w:val="en-US" w:eastAsia="zh-CN"/>
        </w:rPr>
        <w:t>2021年，</w:t>
      </w:r>
      <w:r>
        <w:rPr>
          <w:rFonts w:hint="eastAsia" w:ascii="仿宋_GB2312" w:hAnsi="仿宋_GB2312" w:eastAsia="仿宋_GB2312" w:cs="仿宋_GB2312"/>
          <w:i w:val="0"/>
          <w:iCs w:val="0"/>
          <w:caps w:val="0"/>
          <w:color w:val="000000"/>
          <w:spacing w:val="0"/>
          <w:sz w:val="32"/>
          <w:szCs w:val="32"/>
          <w:shd w:val="clear" w:fill="FFFFFF"/>
          <w:lang w:eastAsia="zh-CN"/>
        </w:rPr>
        <w:t>根据人事变动，</w:t>
      </w:r>
      <w:r>
        <w:rPr>
          <w:rFonts w:hint="eastAsia" w:ascii="仿宋_GB2312" w:hAnsi="仿宋_GB2312" w:eastAsia="仿宋_GB2312" w:cs="仿宋_GB2312"/>
          <w:i w:val="0"/>
          <w:iCs w:val="0"/>
          <w:caps w:val="0"/>
          <w:color w:val="000000"/>
          <w:spacing w:val="0"/>
          <w:sz w:val="32"/>
          <w:szCs w:val="32"/>
          <w:shd w:val="clear" w:fill="FFFFFF"/>
        </w:rPr>
        <w:t>我局</w:t>
      </w:r>
      <w:r>
        <w:rPr>
          <w:rFonts w:hint="eastAsia" w:ascii="仿宋_GB2312" w:hAnsi="仿宋_GB2312" w:eastAsia="仿宋_GB2312" w:cs="仿宋_GB2312"/>
          <w:i w:val="0"/>
          <w:iCs w:val="0"/>
          <w:caps w:val="0"/>
          <w:color w:val="000000"/>
          <w:spacing w:val="0"/>
          <w:sz w:val="32"/>
          <w:szCs w:val="32"/>
          <w:shd w:val="clear" w:fill="FFFFFF"/>
          <w:lang w:eastAsia="zh-CN"/>
        </w:rPr>
        <w:t>及时调整</w:t>
      </w:r>
      <w:r>
        <w:rPr>
          <w:rFonts w:hint="eastAsia" w:ascii="仿宋_GB2312" w:hAnsi="仿宋_GB2312" w:eastAsia="仿宋_GB2312" w:cs="仿宋_GB2312"/>
          <w:i w:val="0"/>
          <w:iCs w:val="0"/>
          <w:caps w:val="0"/>
          <w:color w:val="000000"/>
          <w:spacing w:val="0"/>
          <w:sz w:val="32"/>
          <w:szCs w:val="32"/>
          <w:shd w:val="clear" w:fill="FFFFFF"/>
        </w:rPr>
        <w:t>了</w:t>
      </w:r>
      <w:r>
        <w:rPr>
          <w:rFonts w:hint="eastAsia" w:ascii="仿宋_GB2312" w:hAnsi="仿宋_GB2312" w:eastAsia="仿宋_GB2312" w:cs="仿宋_GB2312"/>
          <w:i w:val="0"/>
          <w:iCs w:val="0"/>
          <w:caps w:val="0"/>
          <w:color w:val="000000"/>
          <w:spacing w:val="0"/>
          <w:sz w:val="32"/>
          <w:szCs w:val="32"/>
          <w:shd w:val="clear" w:fill="FFFFFF"/>
          <w:lang w:eastAsia="zh-CN"/>
        </w:rPr>
        <w:t>信息公开领导小组，明确责任分工，将</w:t>
      </w:r>
      <w:r>
        <w:rPr>
          <w:rFonts w:hint="eastAsia" w:ascii="仿宋_GB2312" w:hAnsi="仿宋_GB2312" w:eastAsia="仿宋_GB2312" w:cs="仿宋_GB2312"/>
          <w:i w:val="0"/>
          <w:iCs w:val="0"/>
          <w:caps w:val="0"/>
          <w:color w:val="000000"/>
          <w:spacing w:val="0"/>
          <w:sz w:val="32"/>
          <w:szCs w:val="32"/>
          <w:shd w:val="clear" w:fill="FFFFFF"/>
        </w:rPr>
        <w:t>政务公开工作</w:t>
      </w:r>
      <w:r>
        <w:rPr>
          <w:rFonts w:hint="eastAsia" w:ascii="仿宋_GB2312" w:hAnsi="仿宋_GB2312" w:eastAsia="仿宋_GB2312" w:cs="仿宋_GB2312"/>
          <w:i w:val="0"/>
          <w:iCs w:val="0"/>
          <w:caps w:val="0"/>
          <w:color w:val="000000"/>
          <w:spacing w:val="0"/>
          <w:sz w:val="32"/>
          <w:szCs w:val="32"/>
          <w:shd w:val="clear" w:fill="FFFFFF"/>
          <w:lang w:eastAsia="zh-CN"/>
        </w:rPr>
        <w:t>纳入</w:t>
      </w:r>
      <w:r>
        <w:rPr>
          <w:rFonts w:hint="eastAsia" w:ascii="仿宋_GB2312" w:hAnsi="仿宋_GB2312" w:eastAsia="仿宋_GB2312" w:cs="仿宋_GB2312"/>
          <w:i w:val="0"/>
          <w:iCs w:val="0"/>
          <w:caps w:val="0"/>
          <w:color w:val="000000"/>
          <w:spacing w:val="0"/>
          <w:sz w:val="32"/>
          <w:szCs w:val="32"/>
          <w:shd w:val="clear" w:fill="FFFFFF"/>
        </w:rPr>
        <w:t>全局年度工作考评一项重要内容</w:t>
      </w:r>
      <w:r>
        <w:rPr>
          <w:rFonts w:hint="eastAsia" w:ascii="仿宋_GB2312" w:hAnsi="仿宋_GB2312" w:eastAsia="仿宋_GB2312" w:cs="仿宋_GB2312"/>
          <w:i w:val="0"/>
          <w:iCs w:val="0"/>
          <w:caps w:val="0"/>
          <w:color w:val="000000"/>
          <w:spacing w:val="0"/>
          <w:sz w:val="32"/>
          <w:szCs w:val="32"/>
          <w:shd w:val="clear" w:fill="FFFFFF"/>
          <w:lang w:eastAsia="zh-CN"/>
        </w:rPr>
        <w:t>。坚持</w:t>
      </w:r>
      <w:r>
        <w:rPr>
          <w:rFonts w:hint="eastAsia" w:ascii="仿宋_GB2312" w:hAnsi="仿宋_GB2312" w:eastAsia="仿宋_GB2312" w:cs="仿宋_GB2312"/>
          <w:i w:val="0"/>
          <w:iCs w:val="0"/>
          <w:caps w:val="0"/>
          <w:color w:val="000000"/>
          <w:spacing w:val="0"/>
          <w:sz w:val="32"/>
          <w:szCs w:val="32"/>
          <w:shd w:val="clear" w:fill="FFFFFF"/>
        </w:rPr>
        <w:t>清单</w:t>
      </w:r>
      <w:r>
        <w:rPr>
          <w:rFonts w:hint="eastAsia" w:ascii="仿宋_GB2312" w:hAnsi="仿宋_GB2312" w:eastAsia="仿宋_GB2312" w:cs="仿宋_GB2312"/>
          <w:i w:val="0"/>
          <w:iCs w:val="0"/>
          <w:caps w:val="0"/>
          <w:color w:val="000000"/>
          <w:spacing w:val="0"/>
          <w:sz w:val="32"/>
          <w:szCs w:val="32"/>
          <w:shd w:val="clear" w:fill="FFFFFF"/>
          <w:lang w:eastAsia="zh-CN"/>
        </w:rPr>
        <w:t>化管理</w:t>
      </w:r>
      <w:r>
        <w:rPr>
          <w:rFonts w:hint="eastAsia" w:ascii="仿宋_GB2312" w:hAnsi="仿宋_GB2312" w:eastAsia="仿宋_GB2312" w:cs="仿宋_GB2312"/>
          <w:i w:val="0"/>
          <w:iCs w:val="0"/>
          <w:caps w:val="0"/>
          <w:color w:val="000000"/>
          <w:spacing w:val="0"/>
          <w:sz w:val="32"/>
          <w:szCs w:val="32"/>
          <w:shd w:val="clear" w:fill="FFFFFF"/>
        </w:rPr>
        <w:t>，建立</w:t>
      </w:r>
      <w:r>
        <w:rPr>
          <w:rFonts w:hint="eastAsia" w:ascii="仿宋_GB2312" w:hAnsi="仿宋_GB2312" w:eastAsia="仿宋_GB2312" w:cs="仿宋_GB2312"/>
          <w:i w:val="0"/>
          <w:iCs w:val="0"/>
          <w:caps w:val="0"/>
          <w:color w:val="000000"/>
          <w:spacing w:val="0"/>
          <w:sz w:val="32"/>
          <w:szCs w:val="32"/>
          <w:shd w:val="clear" w:fill="FFFFFF"/>
          <w:lang w:eastAsia="zh-CN"/>
        </w:rPr>
        <w:t>了</w:t>
      </w:r>
      <w:r>
        <w:rPr>
          <w:rFonts w:hint="eastAsia" w:ascii="仿宋_GB2312" w:hAnsi="仿宋_GB2312" w:eastAsia="仿宋_GB2312" w:cs="仿宋_GB2312"/>
          <w:i w:val="0"/>
          <w:iCs w:val="0"/>
          <w:caps w:val="0"/>
          <w:color w:val="000000"/>
          <w:spacing w:val="0"/>
          <w:sz w:val="32"/>
          <w:szCs w:val="32"/>
          <w:shd w:val="clear" w:fill="FFFFFF"/>
        </w:rPr>
        <w:t>局主要领导亲自抓、分管领导具体抓、具体工作专人干的工作机制</w:t>
      </w:r>
      <w:r>
        <w:rPr>
          <w:rFonts w:hint="eastAsia" w:ascii="仿宋_GB2312" w:hAnsi="仿宋_GB2312" w:eastAsia="仿宋_GB2312" w:cs="仿宋_GB2312"/>
          <w:i w:val="0"/>
          <w:iCs w:val="0"/>
          <w:caps w:val="0"/>
          <w:color w:val="000000"/>
          <w:spacing w:val="0"/>
          <w:sz w:val="32"/>
          <w:szCs w:val="32"/>
          <w:shd w:val="clear" w:fill="FFFFFF"/>
          <w:lang w:eastAsia="zh-CN"/>
        </w:rPr>
        <w:t>。坚持</w:t>
      </w:r>
      <w:r>
        <w:rPr>
          <w:rFonts w:hint="eastAsia" w:ascii="仿宋_GB2312" w:hAnsi="仿宋_GB2312" w:eastAsia="仿宋_GB2312" w:cs="仿宋_GB2312"/>
          <w:i w:val="0"/>
          <w:iCs w:val="0"/>
          <w:caps w:val="0"/>
          <w:color w:val="000000"/>
          <w:spacing w:val="0"/>
          <w:sz w:val="32"/>
          <w:szCs w:val="32"/>
          <w:shd w:val="clear" w:fill="FFFFFF"/>
        </w:rPr>
        <w:t>“谁公开、谁负责”和“先审查、后公开”的原则，对拟公开的信息进行逐级审核，确保内容准确、表述规范。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（四）平台建设情况。</w:t>
      </w:r>
      <w:r>
        <w:rPr>
          <w:rFonts w:hint="eastAsia" w:ascii="仿宋_GB2312" w:hAnsi="仿宋_GB2312" w:eastAsia="仿宋_GB2312" w:cs="仿宋_GB2312"/>
          <w:i w:val="0"/>
          <w:iCs w:val="0"/>
          <w:caps w:val="0"/>
          <w:color w:val="000000"/>
          <w:spacing w:val="0"/>
          <w:sz w:val="32"/>
          <w:szCs w:val="32"/>
          <w:shd w:val="clear" w:fill="FFFFFF"/>
        </w:rPr>
        <w:t>及时调整我局栏目设置。</w:t>
      </w:r>
      <w:r>
        <w:rPr>
          <w:rFonts w:hint="eastAsia" w:ascii="仿宋_GB2312" w:hAnsi="仿宋_GB2312" w:eastAsia="仿宋_GB2312" w:cs="仿宋_GB2312"/>
          <w:i w:val="0"/>
          <w:iCs w:val="0"/>
          <w:caps w:val="0"/>
          <w:color w:val="000000"/>
          <w:spacing w:val="0"/>
          <w:sz w:val="32"/>
          <w:szCs w:val="32"/>
          <w:shd w:val="clear" w:fill="FFFFFF"/>
          <w:lang w:eastAsia="zh-CN"/>
        </w:rPr>
        <w:t>根据土地管理政策变化，及时调整“土地征收”栏目设置，力求规范表述内容、贴合工作实际</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及时</w:t>
      </w:r>
      <w:r>
        <w:rPr>
          <w:rFonts w:hint="eastAsia" w:ascii="仿宋_GB2312" w:hAnsi="仿宋_GB2312" w:eastAsia="仿宋_GB2312" w:cs="仿宋_GB2312"/>
          <w:i w:val="0"/>
          <w:iCs w:val="0"/>
          <w:caps w:val="0"/>
          <w:color w:val="000000"/>
          <w:spacing w:val="0"/>
          <w:sz w:val="32"/>
          <w:szCs w:val="32"/>
          <w:shd w:val="clear" w:fill="FFFFFF"/>
        </w:rPr>
        <w:t>做好</w:t>
      </w:r>
      <w:r>
        <w:rPr>
          <w:rFonts w:hint="eastAsia" w:ascii="仿宋_GB2312" w:hAnsi="仿宋_GB2312" w:eastAsia="仿宋_GB2312" w:cs="仿宋_GB2312"/>
          <w:i w:val="0"/>
          <w:iCs w:val="0"/>
          <w:caps w:val="0"/>
          <w:color w:val="000000"/>
          <w:spacing w:val="0"/>
          <w:sz w:val="32"/>
          <w:szCs w:val="32"/>
          <w:shd w:val="clear" w:fill="FFFFFF"/>
          <w:lang w:eastAsia="zh-CN"/>
        </w:rPr>
        <w:t>政府</w:t>
      </w:r>
      <w:r>
        <w:rPr>
          <w:rFonts w:hint="eastAsia" w:ascii="仿宋_GB2312" w:hAnsi="仿宋_GB2312" w:eastAsia="仿宋_GB2312" w:cs="仿宋_GB2312"/>
          <w:i w:val="0"/>
          <w:iCs w:val="0"/>
          <w:caps w:val="0"/>
          <w:color w:val="000000"/>
          <w:spacing w:val="0"/>
          <w:sz w:val="32"/>
          <w:szCs w:val="32"/>
          <w:shd w:val="clear" w:fill="FFFFFF"/>
        </w:rPr>
        <w:t>网站维护、更新，积极做好</w:t>
      </w:r>
      <w:r>
        <w:rPr>
          <w:rFonts w:hint="eastAsia" w:ascii="仿宋_GB2312" w:hAnsi="仿宋_GB2312" w:eastAsia="仿宋_GB2312" w:cs="仿宋_GB2312"/>
          <w:i w:val="0"/>
          <w:iCs w:val="0"/>
          <w:caps w:val="0"/>
          <w:color w:val="000000"/>
          <w:spacing w:val="0"/>
          <w:sz w:val="32"/>
          <w:szCs w:val="32"/>
          <w:shd w:val="clear" w:fill="FFFFFF"/>
          <w:lang w:eastAsia="zh-CN"/>
        </w:rPr>
        <w:t>内容审查与整改</w:t>
      </w:r>
      <w:r>
        <w:rPr>
          <w:rFonts w:hint="eastAsia" w:ascii="仿宋_GB2312" w:hAnsi="仿宋_GB2312" w:eastAsia="仿宋_GB2312" w:cs="仿宋_GB2312"/>
          <w:i w:val="0"/>
          <w:iCs w:val="0"/>
          <w:caps w:val="0"/>
          <w:color w:val="000000"/>
          <w:spacing w:val="0"/>
          <w:sz w:val="32"/>
          <w:szCs w:val="32"/>
          <w:shd w:val="clear" w:fill="FFFFFF"/>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（五）政府信息公开监督保障。</w:t>
      </w:r>
      <w:r>
        <w:rPr>
          <w:rFonts w:hint="eastAsia" w:ascii="仿宋_GB2312" w:hAnsi="仿宋_GB2312" w:eastAsia="仿宋_GB2312" w:cs="仿宋_GB2312"/>
          <w:i w:val="0"/>
          <w:iCs w:val="0"/>
          <w:caps w:val="0"/>
          <w:color w:val="000000"/>
          <w:spacing w:val="0"/>
          <w:sz w:val="32"/>
          <w:szCs w:val="32"/>
          <w:shd w:val="clear" w:fill="FFFFFF"/>
        </w:rPr>
        <w:t>一是完善工作</w:t>
      </w:r>
      <w:r>
        <w:rPr>
          <w:rFonts w:hint="eastAsia" w:ascii="仿宋_GB2312" w:hAnsi="仿宋_GB2312" w:eastAsia="仿宋_GB2312" w:cs="仿宋_GB2312"/>
          <w:i w:val="0"/>
          <w:iCs w:val="0"/>
          <w:caps w:val="0"/>
          <w:color w:val="000000"/>
          <w:spacing w:val="0"/>
          <w:sz w:val="32"/>
          <w:szCs w:val="32"/>
          <w:shd w:val="clear" w:fill="FFFFFF"/>
          <w:lang w:eastAsia="zh-CN"/>
        </w:rPr>
        <w:t>机制</w:t>
      </w:r>
      <w:r>
        <w:rPr>
          <w:rFonts w:hint="eastAsia" w:ascii="仿宋_GB2312" w:hAnsi="仿宋_GB2312" w:eastAsia="仿宋_GB2312" w:cs="仿宋_GB2312"/>
          <w:i w:val="0"/>
          <w:iCs w:val="0"/>
          <w:caps w:val="0"/>
          <w:color w:val="000000"/>
          <w:spacing w:val="0"/>
          <w:sz w:val="32"/>
          <w:szCs w:val="32"/>
          <w:shd w:val="clear" w:fill="FFFFFF"/>
        </w:rPr>
        <w:t>。20</w:t>
      </w:r>
      <w:r>
        <w:rPr>
          <w:rFonts w:hint="eastAsia" w:ascii="仿宋_GB2312" w:hAnsi="仿宋_GB2312" w:eastAsia="仿宋_GB2312" w:cs="仿宋_GB2312"/>
          <w:i w:val="0"/>
          <w:iCs w:val="0"/>
          <w:caps w:val="0"/>
          <w:color w:val="000000"/>
          <w:spacing w:val="0"/>
          <w:sz w:val="32"/>
          <w:szCs w:val="32"/>
          <w:shd w:val="clear" w:fill="FFFFFF"/>
          <w:lang w:val="en-US" w:eastAsia="zh-CN"/>
        </w:rPr>
        <w:t>21</w:t>
      </w:r>
      <w:r>
        <w:rPr>
          <w:rFonts w:hint="eastAsia" w:ascii="仿宋_GB2312" w:hAnsi="仿宋_GB2312" w:eastAsia="仿宋_GB2312" w:cs="仿宋_GB2312"/>
          <w:i w:val="0"/>
          <w:iCs w:val="0"/>
          <w:caps w:val="0"/>
          <w:color w:val="000000"/>
          <w:spacing w:val="0"/>
          <w:sz w:val="32"/>
          <w:szCs w:val="32"/>
          <w:shd w:val="clear" w:fill="FFFFFF"/>
        </w:rPr>
        <w:t>年我局</w:t>
      </w:r>
      <w:r>
        <w:rPr>
          <w:rFonts w:hint="eastAsia" w:ascii="仿宋_GB2312" w:hAnsi="仿宋_GB2312" w:eastAsia="仿宋_GB2312" w:cs="仿宋_GB2312"/>
          <w:i w:val="0"/>
          <w:iCs w:val="0"/>
          <w:caps w:val="0"/>
          <w:color w:val="000000"/>
          <w:spacing w:val="0"/>
          <w:sz w:val="32"/>
          <w:szCs w:val="32"/>
          <w:shd w:val="clear" w:fill="FFFFFF"/>
          <w:lang w:eastAsia="zh-CN"/>
        </w:rPr>
        <w:t>及时</w:t>
      </w:r>
      <w:r>
        <w:rPr>
          <w:rFonts w:hint="eastAsia" w:ascii="仿宋_GB2312" w:hAnsi="仿宋_GB2312" w:eastAsia="仿宋_GB2312" w:cs="仿宋_GB2312"/>
          <w:i w:val="0"/>
          <w:iCs w:val="0"/>
          <w:caps w:val="0"/>
          <w:color w:val="000000"/>
          <w:spacing w:val="0"/>
          <w:sz w:val="32"/>
          <w:szCs w:val="32"/>
          <w:shd w:val="clear" w:fill="FFFFFF"/>
        </w:rPr>
        <w:t>发布本部门《2021年政务公开重点工作任务分工》</w:t>
      </w:r>
      <w:r>
        <w:rPr>
          <w:rFonts w:hint="eastAsia" w:ascii="仿宋_GB2312" w:hAnsi="仿宋_GB2312" w:eastAsia="仿宋_GB2312" w:cs="仿宋_GB2312"/>
          <w:i w:val="0"/>
          <w:iCs w:val="0"/>
          <w:caps w:val="0"/>
          <w:color w:val="000000"/>
          <w:spacing w:val="0"/>
          <w:sz w:val="32"/>
          <w:szCs w:val="32"/>
          <w:shd w:val="clear" w:fill="FFFFFF"/>
          <w:lang w:eastAsia="zh-CN"/>
        </w:rPr>
        <w:t>，明确各股室职责，严格落实“三审”制度，压实工作责任，保障信息公开及时、无误</w:t>
      </w:r>
      <w:r>
        <w:rPr>
          <w:rFonts w:hint="eastAsia" w:ascii="仿宋_GB2312" w:hAnsi="仿宋_GB2312" w:eastAsia="仿宋_GB2312" w:cs="仿宋_GB2312"/>
          <w:i w:val="0"/>
          <w:iCs w:val="0"/>
          <w:caps w:val="0"/>
          <w:color w:val="000000"/>
          <w:spacing w:val="0"/>
          <w:sz w:val="32"/>
          <w:szCs w:val="32"/>
          <w:shd w:val="clear" w:fill="FFFFFF"/>
        </w:rPr>
        <w:t>。二是</w:t>
      </w:r>
      <w:r>
        <w:rPr>
          <w:rFonts w:hint="eastAsia" w:ascii="仿宋_GB2312" w:hAnsi="仿宋_GB2312" w:eastAsia="仿宋_GB2312" w:cs="仿宋_GB2312"/>
          <w:i w:val="0"/>
          <w:iCs w:val="0"/>
          <w:caps w:val="0"/>
          <w:color w:val="000000"/>
          <w:spacing w:val="0"/>
          <w:sz w:val="32"/>
          <w:szCs w:val="32"/>
          <w:shd w:val="clear" w:fill="FFFFFF"/>
          <w:lang w:eastAsia="zh-CN"/>
        </w:rPr>
        <w:t>加强问题整改</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根据县公开办及上级部门反馈问题，及时整改完善相关信息，查缺补漏。三</w:t>
      </w:r>
      <w:r>
        <w:rPr>
          <w:rFonts w:hint="eastAsia" w:ascii="仿宋_GB2312" w:hAnsi="仿宋_GB2312" w:eastAsia="仿宋_GB2312" w:cs="仿宋_GB2312"/>
          <w:i w:val="0"/>
          <w:iCs w:val="0"/>
          <w:caps w:val="0"/>
          <w:color w:val="000000"/>
          <w:spacing w:val="0"/>
          <w:sz w:val="32"/>
          <w:szCs w:val="32"/>
          <w:shd w:val="clear" w:fill="FFFFFF"/>
        </w:rPr>
        <w:t>是加强业务培训，积极参加市</w:t>
      </w:r>
      <w:r>
        <w:rPr>
          <w:rFonts w:hint="eastAsia" w:ascii="仿宋_GB2312" w:hAnsi="仿宋_GB2312" w:eastAsia="仿宋_GB2312" w:cs="仿宋_GB2312"/>
          <w:i w:val="0"/>
          <w:iCs w:val="0"/>
          <w:caps w:val="0"/>
          <w:color w:val="000000"/>
          <w:spacing w:val="0"/>
          <w:sz w:val="32"/>
          <w:szCs w:val="32"/>
          <w:shd w:val="clear" w:fill="FFFFFF"/>
          <w:lang w:eastAsia="zh-CN"/>
        </w:rPr>
        <w:t>、县</w:t>
      </w:r>
      <w:r>
        <w:rPr>
          <w:rFonts w:hint="eastAsia" w:ascii="仿宋_GB2312" w:hAnsi="仿宋_GB2312" w:eastAsia="仿宋_GB2312" w:cs="仿宋_GB2312"/>
          <w:i w:val="0"/>
          <w:iCs w:val="0"/>
          <w:caps w:val="0"/>
          <w:color w:val="000000"/>
          <w:spacing w:val="0"/>
          <w:sz w:val="32"/>
          <w:szCs w:val="32"/>
          <w:shd w:val="clear" w:fill="FFFFFF"/>
        </w:rPr>
        <w:t>政务公开办举办的政务公开业务培训，并认真学习落实。</w:t>
      </w:r>
    </w:p>
    <w:p>
      <w:pP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br w:type="page"/>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cs="宋体"/>
          <w:color w:val="333333"/>
          <w:shd w:val="clear" w:color="auto" w:fill="FFFFFF"/>
        </w:rPr>
      </w:pPr>
      <w:r>
        <w:rPr>
          <w:rFonts w:hint="eastAsia" w:ascii="仿宋_GB2312" w:hAnsi="仿宋_GB2312" w:eastAsia="仿宋_GB2312" w:cs="仿宋_GB2312"/>
          <w:b/>
          <w:color w:val="333333"/>
          <w:sz w:val="32"/>
          <w:szCs w:val="32"/>
          <w:shd w:val="clear" w:color="auto" w:fill="FFFFFF"/>
          <w:lang w:eastAsia="zh-CN" w:bidi="ar"/>
        </w:rPr>
        <w:t>二、</w:t>
      </w:r>
      <w:r>
        <w:rPr>
          <w:rFonts w:hint="eastAsia" w:ascii="仿宋_GB2312" w:hAnsi="仿宋_GB2312" w:eastAsia="仿宋_GB2312" w:cs="仿宋_GB2312"/>
          <w:b/>
          <w:color w:val="333333"/>
          <w:sz w:val="32"/>
          <w:szCs w:val="32"/>
          <w:shd w:val="clear" w:color="auto" w:fill="FFFFFF"/>
          <w:lang w:bidi="ar"/>
        </w:rPr>
        <w:t>主动公开政府信息情况</w:t>
      </w:r>
    </w:p>
    <w:tbl>
      <w:tblPr>
        <w:tblStyle w:val="6"/>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仿宋_GB2312"/>
                <w:sz w:val="32"/>
                <w:szCs w:val="32"/>
                <w:lang w:val="en-US" w:eastAsia="zh-CN"/>
              </w:rPr>
            </w:pPr>
            <w:r>
              <w:rPr>
                <w:rFonts w:hint="eastAsia" w:ascii="宋体" w:hAnsi="宋体" w:cs="宋体"/>
                <w:color w:val="000000"/>
                <w:kern w:val="0"/>
                <w:sz w:val="20"/>
                <w:szCs w:val="20"/>
                <w:lang w:val="en-US" w:eastAsia="zh-CN" w:bidi="ar"/>
              </w:rPr>
              <w:t>240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26</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hAnsi="Times New Roman" w:eastAsia="仿宋_GB2312" w:cs="仿宋_GB2312"/>
                <w:sz w:val="24"/>
                <w:lang w:val="en-US" w:eastAsia="zh-CN"/>
              </w:rPr>
            </w:pPr>
            <w:r>
              <w:rPr>
                <w:rFonts w:hint="eastAsia" w:ascii="宋体" w:hAnsi="宋体" w:cs="宋体"/>
                <w:color w:val="000000"/>
                <w:kern w:val="0"/>
                <w:sz w:val="20"/>
                <w:szCs w:val="20"/>
                <w:lang w:val="en-US" w:eastAsia="zh-CN" w:bidi="ar"/>
              </w:rPr>
              <w:t>230.8</w:t>
            </w:r>
          </w:p>
        </w:tc>
      </w:tr>
    </w:tbl>
    <w:p>
      <w:pPr>
        <w:keepNext w:val="0"/>
        <w:keepLines w:val="0"/>
        <w:pageBreakBefore w:val="0"/>
        <w:kinsoku/>
        <w:wordWrap/>
        <w:overflowPunct/>
        <w:topLinePunct w:val="0"/>
        <w:autoSpaceDE/>
        <w:autoSpaceDN/>
        <w:bidi w:val="0"/>
        <w:adjustRightInd/>
        <w:snapToGrid/>
        <w:ind w:firstLine="420" w:firstLineChars="200"/>
        <w:textAlignment w:val="auto"/>
      </w:pPr>
    </w:p>
    <w:p>
      <w:pPr>
        <w:rPr>
          <w:rFonts w:hint="eastAsia" w:ascii="仿宋_GB2312" w:hAnsi="仿宋_GB2312" w:eastAsia="仿宋_GB2312" w:cs="仿宋_GB2312"/>
          <w:b/>
          <w:color w:val="333333"/>
          <w:sz w:val="32"/>
          <w:szCs w:val="32"/>
          <w:shd w:val="clear" w:color="auto" w:fill="FFFFFF"/>
          <w:lang w:eastAsia="zh-CN" w:bidi="ar"/>
        </w:rPr>
      </w:pPr>
      <w:r>
        <w:rPr>
          <w:rFonts w:hint="eastAsia" w:ascii="仿宋_GB2312" w:hAnsi="仿宋_GB2312" w:eastAsia="仿宋_GB2312" w:cs="仿宋_GB2312"/>
          <w:b/>
          <w:color w:val="333333"/>
          <w:sz w:val="32"/>
          <w:szCs w:val="32"/>
          <w:shd w:val="clear" w:color="auto" w:fill="FFFFFF"/>
          <w:lang w:eastAsia="zh-CN" w:bidi="ar"/>
        </w:rPr>
        <w:br w:type="page"/>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eastAsia="zh-CN" w:bidi="ar"/>
        </w:rPr>
      </w:pPr>
      <w:r>
        <w:rPr>
          <w:rFonts w:hint="eastAsia" w:ascii="仿宋_GB2312" w:hAnsi="仿宋_GB2312" w:eastAsia="仿宋_GB2312" w:cs="仿宋_GB2312"/>
          <w:b/>
          <w:color w:val="333333"/>
          <w:sz w:val="32"/>
          <w:szCs w:val="32"/>
          <w:shd w:val="clear" w:color="auto" w:fill="FFFFFF"/>
          <w:lang w:eastAsia="zh-CN" w:bidi="ar"/>
        </w:rPr>
        <w:t>三、收到和处理政府信息公开申请情况</w:t>
      </w:r>
    </w:p>
    <w:p>
      <w:pPr>
        <w:pStyle w:val="5"/>
        <w:widowControl/>
        <w:shd w:val="clear" w:color="auto" w:fill="FFFFFF"/>
        <w:spacing w:before="0" w:beforeAutospacing="0" w:after="0" w:afterAutospacing="0"/>
        <w:ind w:firstLine="420"/>
        <w:jc w:val="both"/>
        <w:rPr>
          <w:rFonts w:hint="eastAsia" w:ascii="宋体" w:hAnsi="宋体" w:cs="宋体"/>
          <w:color w:val="333333"/>
          <w:shd w:val="clear" w:color="auto" w:fill="FFFFFF"/>
        </w:rPr>
      </w:pPr>
      <w:r>
        <w:rPr>
          <w:rFonts w:hint="eastAsia" w:ascii="宋体" w:hAnsi="宋体" w:cs="宋体"/>
          <w:color w:val="333333"/>
          <w:shd w:val="clear" w:color="auto" w:fill="FFFFFF"/>
          <w:lang w:bidi="ar"/>
        </w:rPr>
        <w:t xml:space="preserve"> </w:t>
      </w:r>
    </w:p>
    <w:tbl>
      <w:tblPr>
        <w:tblStyle w:val="6"/>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法人或其他组织</w:t>
            </w:r>
          </w:p>
        </w:tc>
        <w:tc>
          <w:tcPr>
            <w:tcW w:w="688"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商业</w:t>
            </w:r>
          </w:p>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科研</w:t>
            </w:r>
          </w:p>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其他</w:t>
            </w:r>
          </w:p>
        </w:tc>
        <w:tc>
          <w:tcPr>
            <w:tcW w:w="688"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三、本年度办理结果</w:t>
            </w: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（一）予以公开</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5</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（二）部分公开（区分处理的，只计这一情形，不计其他情形）</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（三）不予公开</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1.属于国家秘密</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2.其他法律行政法规禁止公开</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3.危及“三安全一稳定”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4.保护第三方合法权益</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5.属于三类内部事务信息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6.属于四类过程性信息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7.属于行政执法案卷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8.属于行政查询事项</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（四）无法提供</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1.本机关不掌握相关政府信息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2.没有现成信息需要另行制作</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3.补正后申请内容仍不明确</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（五）不予处理</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1.信访举报投诉类申请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2.重复申请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3.要求提供公开出版物</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4.无正当理由大量反复申请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9" w:hRule="atLeast"/>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rPr>
                <w:rFonts w:hint="eastAsia" w:ascii="宋体" w:hAnsi="宋体" w:eastAsia="宋体" w:cs="宋体"/>
                <w:sz w:val="32"/>
                <w:szCs w:val="32"/>
              </w:rPr>
            </w:pPr>
            <w:r>
              <w:rPr>
                <w:rFonts w:hint="eastAsia" w:ascii="宋体" w:hAnsi="宋体" w:eastAsia="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（六）其他处理</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rPr>
                <w:rFonts w:hint="eastAsia" w:ascii="宋体" w:hAnsi="宋体" w:eastAsia="宋体" w:cs="宋体"/>
                <w:sz w:val="32"/>
                <w:szCs w:val="32"/>
              </w:rPr>
            </w:pPr>
            <w:r>
              <w:rPr>
                <w:rFonts w:hint="eastAsia" w:ascii="宋体" w:hAnsi="宋体" w:eastAsia="宋体" w:cs="宋体"/>
                <w:kern w:val="0"/>
                <w:sz w:val="20"/>
                <w:szCs w:val="20"/>
                <w:lang w:bidi="ar"/>
              </w:rPr>
              <w:t>1.申请人无正当理由逾期不补正、行政机关不再处理其政府信息公开申请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rPr>
                <w:rFonts w:hint="eastAsia" w:ascii="宋体" w:hAnsi="宋体" w:eastAsia="宋体" w:cs="宋体"/>
                <w:sz w:val="32"/>
                <w:szCs w:val="32"/>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3.其他</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hAnsi="宋体" w:eastAsia="宋体" w:cs="宋体"/>
                <w:sz w:val="20"/>
                <w:szCs w:val="20"/>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（七）总计</w:t>
            </w:r>
          </w:p>
        </w:tc>
        <w:tc>
          <w:tcPr>
            <w:tcW w:w="688" w:type="dxa"/>
            <w:tcBorders>
              <w:top w:val="nil"/>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single" w:color="auto" w:sz="0" w:space="0"/>
              <w:left w:val="single" w:color="auto" w:sz="0" w:space="0"/>
              <w:bottom w:val="thickThinMediumGap" w:color="auto" w:sz="8" w:space="0"/>
              <w:right w:val="double" w:color="auto" w:sz="8" w:space="0"/>
            </w:tcBorders>
            <w:noWrap w:val="0"/>
            <w:tcMar>
              <w:left w:w="57" w:type="dxa"/>
              <w:right w:w="57" w:type="dxa"/>
            </w:tcMar>
            <w:vAlign w:val="center"/>
          </w:tcPr>
          <w:p>
            <w:pPr>
              <w:widowControl/>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double" w:color="auto" w:sz="0" w:space="0"/>
              <w:left w:val="nil"/>
              <w:bottom w:val="single" w:color="auto" w:sz="8" w:space="0"/>
              <w:right w:val="single" w:color="auto" w:sz="8" w:space="0"/>
            </w:tcBorders>
            <w:noWrap w:val="0"/>
            <w:tcMar>
              <w:left w:w="57" w:type="dxa"/>
              <w:right w:w="57" w:type="dxa"/>
            </w:tcMar>
            <w:vAlign w:val="top"/>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eastAsia="宋体" w:cs="宋体"/>
                <w:sz w:val="32"/>
                <w:szCs w:val="32"/>
              </w:rPr>
            </w:pPr>
            <w:r>
              <w:rPr>
                <w:rFonts w:hint="eastAsia" w:ascii="宋体" w:hAnsi="宋体" w:eastAsia="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widowControl/>
        <w:shd w:val="clear" w:color="auto" w:fill="FFFFFF"/>
        <w:jc w:val="center"/>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bidi="ar"/>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宋体" w:hAnsi="宋体" w:eastAsia="宋体" w:cs="宋体"/>
          <w:b/>
          <w:color w:val="333333"/>
          <w:sz w:val="32"/>
          <w:szCs w:val="32"/>
          <w:shd w:val="clear" w:color="auto" w:fill="FFFFFF"/>
          <w:lang w:eastAsia="zh-CN" w:bidi="ar"/>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宋体" w:hAnsi="宋体" w:eastAsia="宋体" w:cs="宋体"/>
          <w:b/>
          <w:color w:val="333333"/>
          <w:sz w:val="32"/>
          <w:szCs w:val="32"/>
          <w:shd w:val="clear" w:color="auto" w:fill="FFFFFF"/>
          <w:lang w:eastAsia="zh-CN" w:bidi="ar"/>
        </w:rPr>
      </w:pPr>
      <w:r>
        <w:rPr>
          <w:rFonts w:hint="eastAsia" w:ascii="宋体" w:hAnsi="宋体" w:eastAsia="宋体" w:cs="宋体"/>
          <w:b/>
          <w:color w:val="333333"/>
          <w:sz w:val="32"/>
          <w:szCs w:val="32"/>
          <w:shd w:val="clear" w:color="auto" w:fill="FFFFFF"/>
          <w:lang w:eastAsia="zh-CN" w:bidi="ar"/>
        </w:rPr>
        <w:t>四、政府信息公开行政复议、行政诉讼情况</w:t>
      </w:r>
    </w:p>
    <w:p>
      <w:pPr>
        <w:widowControl/>
        <w:shd w:val="clear" w:color="auto" w:fill="FFFFFF"/>
        <w:jc w:val="center"/>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bidi="ar"/>
        </w:rPr>
        <w:t xml:space="preserve"> </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行政复议</w:t>
            </w:r>
          </w:p>
        </w:tc>
        <w:tc>
          <w:tcPr>
            <w:tcW w:w="649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结果维持</w:t>
            </w:r>
          </w:p>
        </w:tc>
        <w:tc>
          <w:tcPr>
            <w:tcW w:w="64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总计</w:t>
            </w:r>
          </w:p>
        </w:tc>
        <w:tc>
          <w:tcPr>
            <w:tcW w:w="324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未经复议直接起诉</w:t>
            </w:r>
          </w:p>
        </w:tc>
        <w:tc>
          <w:tcPr>
            <w:tcW w:w="325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64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color w:val="000000"/>
                <w:kern w:val="0"/>
                <w:sz w:val="20"/>
                <w:szCs w:val="20"/>
                <w:lang w:bidi="ar"/>
              </w:rPr>
              <w:t>总计</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color w:val="000000"/>
                <w:kern w:val="0"/>
                <w:sz w:val="20"/>
                <w:szCs w:val="20"/>
                <w:lang w:bidi="ar"/>
              </w:rPr>
              <w:t>其他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rPr>
            </w:pPr>
            <w:r>
              <w:rPr>
                <w:rFonts w:hint="eastAsia" w:ascii="宋体" w:hAnsi="宋体" w:eastAsia="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sz w:val="32"/>
                <w:szCs w:val="32"/>
                <w:lang w:val="en-US" w:eastAsia="zh-CN"/>
              </w:rPr>
            </w:pPr>
            <w:r>
              <w:rPr>
                <w:rFonts w:hint="eastAsia" w:ascii="宋体" w:hAnsi="宋体" w:eastAsia="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eastAsia="zh-CN" w:bidi="ar"/>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eastAsia="zh-CN" w:bidi="ar"/>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eastAsia="zh-CN" w:bidi="ar"/>
        </w:rPr>
      </w:pPr>
      <w:r>
        <w:rPr>
          <w:rFonts w:hint="eastAsia" w:ascii="仿宋_GB2312" w:hAnsi="仿宋_GB2312" w:eastAsia="仿宋_GB2312" w:cs="仿宋_GB2312"/>
          <w:b/>
          <w:color w:val="333333"/>
          <w:sz w:val="32"/>
          <w:szCs w:val="32"/>
          <w:shd w:val="clear" w:color="auto" w:fill="FFFFFF"/>
          <w:lang w:eastAsia="zh-CN" w:bidi="ar"/>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lang w:eastAsia="zh-CN"/>
        </w:rPr>
        <w:t>年，我局政府信息公开工作推进扎实有序，成效显著，但仍存在一些短板和不足，主要表现在以下几个方面：一是主动回应信息发布较少，主动回应形式相对单一，主要为转载上级部门主动回应内容；二是部分政策文件解读质量不高，相关要素内容过于简单，负责人解读发布较少，解读方式缺少图片、短视频等多样化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下一步，我局将加强对政府信息公开工作的组织领导，强化责任落实，重点抓好以下工作：一是加强主动公开，在土地征收、国土空间规划等热点，以及群众关系关注的自然资源领域信息，加强主动公开，并积极转载新闻媒体正面宣传报道等。二是进一步改进解读的形式。积极探索通俗易懂、形式多样、易于传播的政策解读产品，减少简单枯燥的文字陈列，采用图片、短视频等多种形式生动形象地做好政策解读展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仿宋_GB2312" w:hAnsi="仿宋_GB2312" w:eastAsia="仿宋_GB2312" w:cs="仿宋_GB2312"/>
          <w:b w:val="0"/>
          <w:bCs/>
          <w:color w:val="333333"/>
          <w:sz w:val="32"/>
          <w:szCs w:val="32"/>
          <w:shd w:val="clear" w:color="auto" w:fill="FFFFFF"/>
          <w:lang w:eastAsia="zh-CN" w:bidi="ar"/>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eastAsia="zh-CN" w:bidi="ar"/>
        </w:rPr>
      </w:pPr>
      <w:r>
        <w:rPr>
          <w:rFonts w:hint="eastAsia" w:ascii="仿宋_GB2312" w:hAnsi="仿宋_GB2312" w:eastAsia="仿宋_GB2312" w:cs="仿宋_GB2312"/>
          <w:b/>
          <w:color w:val="333333"/>
          <w:sz w:val="32"/>
          <w:szCs w:val="32"/>
          <w:shd w:val="clear" w:color="auto" w:fill="FFFFFF"/>
          <w:lang w:eastAsia="zh-CN" w:bidi="ar"/>
        </w:rPr>
        <w:t>六、其他需要报告的事项</w:t>
      </w:r>
    </w:p>
    <w:p>
      <w:pPr>
        <w:pStyle w:val="5"/>
        <w:widowControl/>
        <w:shd w:val="clear" w:color="auto" w:fill="FFFFFF"/>
        <w:spacing w:before="0" w:beforeAutospacing="0" w:after="0" w:afterAutospacing="0"/>
        <w:ind w:firstLine="640" w:firstLineChars="200"/>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sz w:val="32"/>
          <w:szCs w:val="32"/>
          <w:lang w:bidi="ar"/>
        </w:rPr>
        <w:t>按照《国务院办公厅关于印发〈政府信息公开信息处理费管理办法〉的通知》（国办函〔2020〕109号）规定的按件、按量收费标准，本年度没有产生信息公开处理费</w:t>
      </w:r>
      <w:r>
        <w:rPr>
          <w:rFonts w:hint="eastAsia" w:ascii="仿宋_GB2312" w:hAnsi="仿宋_GB2312" w:eastAsia="仿宋_GB2312" w:cs="仿宋_GB2312"/>
          <w:sz w:val="32"/>
          <w:szCs w:val="32"/>
          <w:lang w:eastAsia="zh-CN" w:bidi="ar"/>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2022年1月17</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OWU5MDMzZjYyZDUxMGU1MzFmZjk0MTk3NGY5OGEifQ=="/>
    <w:docVar w:name="DocumentID" w:val="{73A0BA3C-8840-42A3-B96A-50B2FD5E8005}"/>
    <w:docVar w:name="DocumentName" w:val="文字文稿1"/>
  </w:docVars>
  <w:rsids>
    <w:rsidRoot w:val="289D5F4B"/>
    <w:rsid w:val="01921913"/>
    <w:rsid w:val="023E1409"/>
    <w:rsid w:val="051A2267"/>
    <w:rsid w:val="0FEA3C4E"/>
    <w:rsid w:val="152C5462"/>
    <w:rsid w:val="161570DD"/>
    <w:rsid w:val="1D6A2881"/>
    <w:rsid w:val="25CE1EFB"/>
    <w:rsid w:val="26674DB3"/>
    <w:rsid w:val="289D5F4B"/>
    <w:rsid w:val="36CA40D0"/>
    <w:rsid w:val="3DF541A9"/>
    <w:rsid w:val="42312B0F"/>
    <w:rsid w:val="446D0C78"/>
    <w:rsid w:val="51B55873"/>
    <w:rsid w:val="54996764"/>
    <w:rsid w:val="5C1326BA"/>
    <w:rsid w:val="5F5668BE"/>
    <w:rsid w:val="633947FF"/>
    <w:rsid w:val="64671790"/>
    <w:rsid w:val="6B084016"/>
    <w:rsid w:val="73B13BCD"/>
    <w:rsid w:val="7B22108D"/>
    <w:rsid w:val="7DEB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HTML Definition"/>
    <w:basedOn w:val="7"/>
    <w:qFormat/>
    <w:uiPriority w:val="0"/>
    <w:rPr>
      <w:i/>
      <w:iCs/>
    </w:rPr>
  </w:style>
  <w:style w:type="character" w:styleId="11">
    <w:name w:val="HTML Acronym"/>
    <w:basedOn w:val="7"/>
    <w:qFormat/>
    <w:uiPriority w:val="0"/>
  </w:style>
  <w:style w:type="character" w:styleId="12">
    <w:name w:val="Hyperlink"/>
    <w:basedOn w:val="7"/>
    <w:qFormat/>
    <w:uiPriority w:val="0"/>
    <w:rPr>
      <w:color w:val="333333"/>
      <w:u w:val="none"/>
    </w:rPr>
  </w:style>
  <w:style w:type="character" w:styleId="13">
    <w:name w:val="HTML Code"/>
    <w:basedOn w:val="7"/>
    <w:qFormat/>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ascii="Consolas" w:hAnsi="Consolas" w:eastAsia="Consolas" w:cs="Consolas"/>
      <w:color w:val="FFFFFF"/>
      <w:sz w:val="21"/>
      <w:szCs w:val="21"/>
      <w:shd w:val="clear" w:fill="333333"/>
    </w:rPr>
  </w:style>
  <w:style w:type="character" w:styleId="15">
    <w:name w:val="HTML Sample"/>
    <w:basedOn w:val="7"/>
    <w:qFormat/>
    <w:uiPriority w:val="0"/>
    <w:rPr>
      <w:rFonts w:hint="default" w:ascii="Consolas" w:hAnsi="Consolas" w:eastAsia="Consolas" w:cs="Consolas"/>
      <w:sz w:val="21"/>
      <w:szCs w:val="21"/>
    </w:rPr>
  </w:style>
  <w:style w:type="character" w:customStyle="1" w:styleId="16">
    <w:name w:val="cm-meta"/>
    <w:basedOn w:val="7"/>
    <w:qFormat/>
    <w:uiPriority w:val="0"/>
    <w:rPr>
      <w:color w:val="FF1717"/>
    </w:rPr>
  </w:style>
  <w:style w:type="character" w:customStyle="1" w:styleId="17">
    <w:name w:val="codemirror-nonmatchingbracket"/>
    <w:basedOn w:val="7"/>
    <w:qFormat/>
    <w:uiPriority w:val="0"/>
    <w:rPr>
      <w:color w:val="AA2222"/>
    </w:rPr>
  </w:style>
  <w:style w:type="character" w:customStyle="1" w:styleId="18">
    <w:name w:val="cm-qualifier"/>
    <w:basedOn w:val="7"/>
    <w:qFormat/>
    <w:uiPriority w:val="0"/>
    <w:rPr>
      <w:color w:val="555555"/>
    </w:rPr>
  </w:style>
  <w:style w:type="character" w:customStyle="1" w:styleId="19">
    <w:name w:val="cm-string"/>
    <w:basedOn w:val="7"/>
    <w:qFormat/>
    <w:uiPriority w:val="0"/>
    <w:rPr>
      <w:color w:val="2A00FF"/>
    </w:rPr>
  </w:style>
  <w:style w:type="character" w:customStyle="1" w:styleId="20">
    <w:name w:val="cm-variable"/>
    <w:basedOn w:val="7"/>
    <w:qFormat/>
    <w:uiPriority w:val="0"/>
    <w:rPr>
      <w:color w:val="000000"/>
    </w:rPr>
  </w:style>
  <w:style w:type="character" w:customStyle="1" w:styleId="21">
    <w:name w:val="cm-type2"/>
    <w:basedOn w:val="7"/>
    <w:qFormat/>
    <w:uiPriority w:val="0"/>
    <w:rPr>
      <w:color w:val="0000C0"/>
    </w:rPr>
  </w:style>
  <w:style w:type="character" w:customStyle="1" w:styleId="22">
    <w:name w:val="sp_caret"/>
    <w:basedOn w:val="7"/>
    <w:qFormat/>
    <w:uiPriority w:val="0"/>
  </w:style>
  <w:style w:type="character" w:customStyle="1" w:styleId="23">
    <w:name w:val="sp_caret1"/>
    <w:basedOn w:val="7"/>
    <w:qFormat/>
    <w:uiPriority w:val="0"/>
  </w:style>
  <w:style w:type="character" w:customStyle="1" w:styleId="24">
    <w:name w:val="button"/>
    <w:basedOn w:val="7"/>
    <w:qFormat/>
    <w:uiPriority w:val="0"/>
  </w:style>
  <w:style w:type="character" w:customStyle="1" w:styleId="25">
    <w:name w:val="cm-variable-22"/>
    <w:basedOn w:val="7"/>
    <w:qFormat/>
    <w:uiPriority w:val="0"/>
    <w:rPr>
      <w:color w:val="0000C0"/>
    </w:rPr>
  </w:style>
  <w:style w:type="character" w:customStyle="1" w:styleId="26">
    <w:name w:val="cm-attribute2"/>
    <w:basedOn w:val="7"/>
    <w:qFormat/>
    <w:uiPriority w:val="0"/>
    <w:rPr>
      <w:color w:val="0000CC"/>
    </w:rPr>
  </w:style>
  <w:style w:type="character" w:customStyle="1" w:styleId="27">
    <w:name w:val="cm-builtin"/>
    <w:basedOn w:val="7"/>
    <w:qFormat/>
    <w:uiPriority w:val="0"/>
    <w:rPr>
      <w:color w:val="3300AA"/>
    </w:rPr>
  </w:style>
  <w:style w:type="character" w:customStyle="1" w:styleId="28">
    <w:name w:val="cm-comment"/>
    <w:basedOn w:val="7"/>
    <w:qFormat/>
    <w:uiPriority w:val="0"/>
    <w:rPr>
      <w:color w:val="3F7F5F"/>
    </w:rPr>
  </w:style>
  <w:style w:type="character" w:customStyle="1" w:styleId="29">
    <w:name w:val="tag_close"/>
    <w:basedOn w:val="7"/>
    <w:qFormat/>
    <w:uiPriority w:val="0"/>
    <w:rPr>
      <w:rFonts w:ascii="Calibri" w:hAnsi="Calibri" w:eastAsia="Calibri" w:cs="Calibri"/>
      <w:sz w:val="22"/>
      <w:szCs w:val="22"/>
    </w:rPr>
  </w:style>
  <w:style w:type="character" w:customStyle="1" w:styleId="30">
    <w:name w:val="tmpztreemove_arrow"/>
    <w:basedOn w:val="7"/>
    <w:qFormat/>
    <w:uiPriority w:val="0"/>
  </w:style>
  <w:style w:type="character" w:customStyle="1" w:styleId="31">
    <w:name w:val="cm-property"/>
    <w:basedOn w:val="7"/>
    <w:qFormat/>
    <w:uiPriority w:val="0"/>
    <w:rPr>
      <w:color w:val="000000"/>
    </w:rPr>
  </w:style>
  <w:style w:type="character" w:customStyle="1" w:styleId="32">
    <w:name w:val="cm-keyword"/>
    <w:basedOn w:val="7"/>
    <w:qFormat/>
    <w:uiPriority w:val="0"/>
    <w:rPr>
      <w:b/>
      <w:bCs/>
      <w:color w:val="7F0055"/>
    </w:rPr>
  </w:style>
  <w:style w:type="character" w:customStyle="1" w:styleId="33">
    <w:name w:val="cm-atom"/>
    <w:basedOn w:val="7"/>
    <w:qFormat/>
    <w:uiPriority w:val="0"/>
    <w:rPr>
      <w:color w:val="221199"/>
    </w:rPr>
  </w:style>
  <w:style w:type="character" w:customStyle="1" w:styleId="34">
    <w:name w:val="cm-variable-32"/>
    <w:basedOn w:val="7"/>
    <w:uiPriority w:val="0"/>
    <w:rPr>
      <w:color w:val="0000C0"/>
    </w:rPr>
  </w:style>
  <w:style w:type="character" w:customStyle="1" w:styleId="35">
    <w:name w:val="cm-number"/>
    <w:basedOn w:val="7"/>
    <w:uiPriority w:val="0"/>
    <w:rPr>
      <w:color w:val="116644"/>
    </w:rPr>
  </w:style>
  <w:style w:type="character" w:customStyle="1" w:styleId="36">
    <w:name w:val="cm-link"/>
    <w:basedOn w:val="7"/>
    <w:uiPriority w:val="0"/>
    <w:rPr>
      <w:color w:val="221199"/>
    </w:rPr>
  </w:style>
  <w:style w:type="character" w:customStyle="1" w:styleId="37">
    <w:name w:val="cm-def2"/>
    <w:basedOn w:val="7"/>
    <w:uiPriority w:val="0"/>
    <w:rPr>
      <w:color w:val="0000FF"/>
    </w:rPr>
  </w:style>
  <w:style w:type="character" w:customStyle="1" w:styleId="38">
    <w:name w:val="cm-operator"/>
    <w:basedOn w:val="7"/>
    <w:qFormat/>
    <w:uiPriority w:val="0"/>
    <w:rPr>
      <w:color w:val="000000"/>
    </w:rPr>
  </w:style>
  <w:style w:type="character" w:customStyle="1" w:styleId="39">
    <w:name w:val="cm-string-22"/>
    <w:basedOn w:val="7"/>
    <w:qFormat/>
    <w:uiPriority w:val="0"/>
    <w:rPr>
      <w:color w:val="FF5500"/>
    </w:rPr>
  </w:style>
  <w:style w:type="character" w:customStyle="1" w:styleId="40">
    <w:name w:val="cm-bracket"/>
    <w:basedOn w:val="7"/>
    <w:qFormat/>
    <w:uiPriority w:val="0"/>
    <w:rPr>
      <w:color w:val="CCCC77"/>
    </w:rPr>
  </w:style>
  <w:style w:type="character" w:customStyle="1" w:styleId="41">
    <w:name w:val="cm-tag2"/>
    <w:basedOn w:val="7"/>
    <w:qFormat/>
    <w:uiPriority w:val="0"/>
    <w:rPr>
      <w:color w:val="117700"/>
    </w:rPr>
  </w:style>
  <w:style w:type="character" w:customStyle="1" w:styleId="42">
    <w:name w:val="cm-error2"/>
    <w:basedOn w:val="7"/>
    <w:qFormat/>
    <w:uiPriority w:val="0"/>
    <w:rPr>
      <w:color w:val="FF0000"/>
    </w:rPr>
  </w:style>
  <w:style w:type="character" w:customStyle="1" w:styleId="43">
    <w:name w:val="current2"/>
    <w:basedOn w:val="7"/>
    <w:uiPriority w:val="0"/>
    <w:rPr>
      <w:b/>
      <w:bCs/>
      <w:color w:val="AAAAAA"/>
      <w:bdr w:val="single" w:color="E0E0E0" w:sz="6" w:space="0"/>
      <w:shd w:val="clear" w:fill="F0F0F0"/>
    </w:rPr>
  </w:style>
  <w:style w:type="character" w:customStyle="1" w:styleId="44">
    <w:name w:val="disabled"/>
    <w:basedOn w:val="7"/>
    <w:uiPriority w:val="0"/>
    <w:rPr>
      <w:color w:val="CCCCCC"/>
      <w:bdr w:val="single" w:color="F3F3F3" w:sz="6" w:space="0"/>
    </w:rPr>
  </w:style>
  <w:style w:type="character" w:customStyle="1" w:styleId="45">
    <w:name w:val="codemirror-matchingbracket2"/>
    <w:basedOn w:val="7"/>
    <w:uiPriority w:val="0"/>
    <w:rPr>
      <w:color w:val="00BB00"/>
    </w:rPr>
  </w:style>
  <w:style w:type="character" w:customStyle="1" w:styleId="46">
    <w:name w:val="codemirror-selectedtext"/>
    <w:basedOn w:val="7"/>
    <w:uiPriority w:val="0"/>
  </w:style>
  <w:style w:type="character" w:customStyle="1" w:styleId="47">
    <w:name w:val="mini-tree-nodetext3"/>
    <w:basedOn w:val="7"/>
    <w:qFormat/>
    <w:uiPriority w:val="0"/>
  </w:style>
  <w:style w:type="character" w:customStyle="1" w:styleId="48">
    <w:name w:val="codemirror-matchingbracket"/>
    <w:basedOn w:val="7"/>
    <w:qFormat/>
    <w:uiPriority w:val="0"/>
    <w:rPr>
      <w:color w:val="00BB00"/>
    </w:rPr>
  </w:style>
  <w:style w:type="character" w:customStyle="1" w:styleId="49">
    <w:name w:val="cm-meta2"/>
    <w:basedOn w:val="7"/>
    <w:uiPriority w:val="0"/>
    <w:rPr>
      <w:color w:val="FF1717"/>
    </w:rPr>
  </w:style>
  <w:style w:type="character" w:customStyle="1" w:styleId="50">
    <w:name w:val="cm-error"/>
    <w:basedOn w:val="7"/>
    <w:uiPriority w:val="0"/>
    <w:rPr>
      <w:color w:val="FF0000"/>
    </w:rPr>
  </w:style>
  <w:style w:type="character" w:customStyle="1" w:styleId="51">
    <w:name w:val="cm-qualifier2"/>
    <w:basedOn w:val="7"/>
    <w:uiPriority w:val="0"/>
    <w:rPr>
      <w:color w:val="555555"/>
    </w:rPr>
  </w:style>
  <w:style w:type="character" w:customStyle="1" w:styleId="52">
    <w:name w:val="cm-atom2"/>
    <w:basedOn w:val="7"/>
    <w:uiPriority w:val="0"/>
    <w:rPr>
      <w:color w:val="221199"/>
    </w:rPr>
  </w:style>
  <w:style w:type="character" w:customStyle="1" w:styleId="53">
    <w:name w:val="cm-keyword2"/>
    <w:basedOn w:val="7"/>
    <w:uiPriority w:val="0"/>
    <w:rPr>
      <w:b/>
      <w:bCs/>
      <w:color w:val="7F0055"/>
    </w:rPr>
  </w:style>
  <w:style w:type="character" w:customStyle="1" w:styleId="54">
    <w:name w:val="cm-number2"/>
    <w:basedOn w:val="7"/>
    <w:qFormat/>
    <w:uiPriority w:val="0"/>
    <w:rPr>
      <w:color w:val="116644"/>
    </w:rPr>
  </w:style>
  <w:style w:type="character" w:customStyle="1" w:styleId="55">
    <w:name w:val="cm-comment2"/>
    <w:basedOn w:val="7"/>
    <w:qFormat/>
    <w:uiPriority w:val="0"/>
    <w:rPr>
      <w:color w:val="3F7F5F"/>
    </w:rPr>
  </w:style>
  <w:style w:type="character" w:customStyle="1" w:styleId="56">
    <w:name w:val="cm-string2"/>
    <w:basedOn w:val="7"/>
    <w:qFormat/>
    <w:uiPriority w:val="0"/>
    <w:rPr>
      <w:color w:val="2A00FF"/>
    </w:rPr>
  </w:style>
  <w:style w:type="character" w:customStyle="1" w:styleId="57">
    <w:name w:val="cm-bracket2"/>
    <w:basedOn w:val="7"/>
    <w:qFormat/>
    <w:uiPriority w:val="0"/>
    <w:rPr>
      <w:color w:val="CCCC77"/>
    </w:rPr>
  </w:style>
  <w:style w:type="character" w:customStyle="1" w:styleId="58">
    <w:name w:val="cm-link3"/>
    <w:basedOn w:val="7"/>
    <w:qFormat/>
    <w:uiPriority w:val="0"/>
    <w:rPr>
      <w:color w:val="2211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2022-01-06T00:46:00Z</dcterms:created>
  <dc:creator>Administrator</dc:creator>
  <cp:lastModifiedBy>Administrator</cp:lastModifiedBy>
  <cp:lastPrinted>2022-02-14T03:06:00Z</cp:lastPrinted>
  <dcterms:modified xsi:type="dcterms:W3CDTF">2022-06-15T07:03:37Z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1385862EF12B414EB9D507C689D3BFF3</vt:lpwstr>
  </property>
</Properties>
</file>