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20"/>
          <w:tab w:val="left" w:pos="7820"/>
        </w:tabs>
        <w:spacing w:line="660" w:lineRule="exact"/>
        <w:jc w:val="center"/>
        <w:rPr>
          <w:rFonts w:hint="eastAsia" w:ascii="方正小标宋简体" w:eastAsia="方正小标宋简体"/>
          <w:b/>
          <w:bCs/>
          <w:sz w:val="44"/>
          <w:szCs w:val="44"/>
        </w:rPr>
      </w:pPr>
    </w:p>
    <w:p>
      <w:pPr>
        <w:tabs>
          <w:tab w:val="left" w:pos="1020"/>
          <w:tab w:val="left" w:pos="7820"/>
        </w:tabs>
        <w:spacing w:line="660" w:lineRule="exact"/>
        <w:jc w:val="center"/>
        <w:rPr>
          <w:rFonts w:ascii="方正小标宋简体" w:eastAsia="方正小标宋简体"/>
          <w:b/>
          <w:bCs/>
          <w:sz w:val="44"/>
          <w:szCs w:val="44"/>
        </w:rPr>
      </w:pPr>
      <w:r>
        <w:rPr>
          <w:rFonts w:hint="eastAsia" w:ascii="方正小标宋简体" w:eastAsia="方正小标宋简体"/>
          <w:b/>
          <w:bCs/>
          <w:sz w:val="44"/>
          <w:szCs w:val="44"/>
        </w:rPr>
        <w:t>中共霍邱县委  霍邱县人民政府</w:t>
      </w:r>
    </w:p>
    <w:p>
      <w:pPr>
        <w:tabs>
          <w:tab w:val="left" w:pos="1020"/>
          <w:tab w:val="left" w:pos="7820"/>
        </w:tabs>
        <w:spacing w:line="660" w:lineRule="exact"/>
        <w:jc w:val="center"/>
        <w:rPr>
          <w:rFonts w:ascii="方正小标宋简体" w:eastAsia="方正小标宋简体" w:cs="方正小标宋简体"/>
          <w:b/>
          <w:color w:val="000000"/>
          <w:sz w:val="44"/>
          <w:szCs w:val="44"/>
        </w:rPr>
      </w:pPr>
      <w:r>
        <w:rPr>
          <w:rFonts w:hint="eastAsia" w:ascii="方正小标宋简体" w:eastAsia="方正小标宋简体"/>
          <w:b/>
          <w:bCs/>
          <w:sz w:val="44"/>
          <w:szCs w:val="44"/>
        </w:rPr>
        <w:t>关于</w:t>
      </w:r>
      <w:r>
        <w:rPr>
          <w:rFonts w:hint="eastAsia" w:ascii="方正小标宋简体" w:eastAsia="方正小标宋简体" w:cs="方正小标宋简体"/>
          <w:b/>
          <w:color w:val="000000"/>
          <w:sz w:val="44"/>
          <w:szCs w:val="44"/>
        </w:rPr>
        <w:t>进一步推进“双招双引”提质增效的</w:t>
      </w:r>
    </w:p>
    <w:p>
      <w:pPr>
        <w:tabs>
          <w:tab w:val="left" w:pos="1020"/>
          <w:tab w:val="left" w:pos="7820"/>
        </w:tabs>
        <w:spacing w:line="660" w:lineRule="exact"/>
        <w:jc w:val="center"/>
        <w:rPr>
          <w:rFonts w:hint="eastAsia" w:ascii="方正小标宋简体" w:eastAsia="方正小标宋简体" w:cs="方正小标宋简体"/>
          <w:b/>
          <w:color w:val="000000"/>
          <w:sz w:val="44"/>
          <w:szCs w:val="44"/>
        </w:rPr>
      </w:pPr>
      <w:r>
        <w:rPr>
          <w:rFonts w:hint="eastAsia" w:ascii="方正小标宋简体" w:eastAsia="方正小标宋简体" w:cs="方正小标宋简体"/>
          <w:b/>
          <w:color w:val="000000"/>
          <w:sz w:val="44"/>
          <w:szCs w:val="44"/>
        </w:rPr>
        <w:t>若干措施</w:t>
      </w:r>
    </w:p>
    <w:p>
      <w:pPr>
        <w:keepNext w:val="0"/>
        <w:keepLines w:val="0"/>
        <w:pageBreakBefore w:val="0"/>
        <w:widowControl w:val="0"/>
        <w:tabs>
          <w:tab w:val="left" w:pos="1020"/>
          <w:tab w:val="left" w:pos="7820"/>
        </w:tabs>
        <w:kinsoku/>
        <w:wordWrap/>
        <w:overflowPunct/>
        <w:topLinePunct w:val="0"/>
        <w:autoSpaceDE/>
        <w:autoSpaceDN/>
        <w:bidi w:val="0"/>
        <w:spacing w:line="580" w:lineRule="exact"/>
        <w:jc w:val="center"/>
        <w:textAlignment w:val="auto"/>
        <w:rPr>
          <w:rFonts w:hint="eastAsia" w:ascii="方正小标宋简体" w:eastAsia="方正小标宋简体" w:cs="方正小标宋简体"/>
          <w:b/>
          <w:color w:val="000000"/>
          <w:sz w:val="44"/>
          <w:szCs w:val="44"/>
        </w:rPr>
      </w:pP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为加快融入长三角一体化</w:t>
      </w:r>
      <w:r>
        <w:rPr>
          <w:rFonts w:hint="eastAsia" w:ascii="仿宋_GB2312" w:eastAsia="仿宋_GB2312" w:cs="仿宋_GB2312"/>
          <w:sz w:val="32"/>
          <w:szCs w:val="32"/>
          <w:lang w:eastAsia="zh-CN"/>
        </w:rPr>
        <w:t>发展</w:t>
      </w:r>
      <w:r>
        <w:rPr>
          <w:rFonts w:hint="eastAsia" w:ascii="仿宋_GB2312" w:eastAsia="仿宋_GB2312" w:cs="仿宋_GB2312"/>
          <w:sz w:val="32"/>
          <w:szCs w:val="32"/>
        </w:rPr>
        <w:t>和合肥都市圈，</w:t>
      </w:r>
      <w:r>
        <w:rPr>
          <w:rFonts w:hint="eastAsia" w:ascii="仿宋_GB2312" w:eastAsia="仿宋_GB2312" w:cs="仿宋_GB2312"/>
          <w:sz w:val="32"/>
          <w:szCs w:val="32"/>
          <w:lang w:eastAsia="zh-CN"/>
        </w:rPr>
        <w:t>进一步</w:t>
      </w:r>
      <w:r>
        <w:rPr>
          <w:rFonts w:hint="eastAsia" w:ascii="仿宋_GB2312" w:eastAsia="仿宋_GB2312" w:cs="仿宋_GB2312"/>
          <w:sz w:val="32"/>
          <w:szCs w:val="32"/>
        </w:rPr>
        <w:t>用足</w:t>
      </w:r>
      <w:r>
        <w:rPr>
          <w:rFonts w:hint="eastAsia" w:ascii="仿宋_GB2312" w:eastAsia="仿宋_GB2312" w:cs="仿宋_GB2312"/>
          <w:sz w:val="32"/>
          <w:szCs w:val="32"/>
          <w:lang w:eastAsia="zh-CN"/>
        </w:rPr>
        <w:t>用活</w:t>
      </w:r>
      <w:r>
        <w:rPr>
          <w:rFonts w:hint="eastAsia" w:ascii="仿宋_GB2312" w:eastAsia="仿宋_GB2312" w:cs="仿宋_GB2312"/>
          <w:sz w:val="32"/>
          <w:szCs w:val="32"/>
        </w:rPr>
        <w:t>用好皖北承接产业转移集聚区</w:t>
      </w:r>
      <w:r>
        <w:rPr>
          <w:rFonts w:hint="eastAsia" w:ascii="仿宋_GB2312" w:eastAsia="仿宋_GB2312" w:cs="仿宋_GB2312"/>
          <w:sz w:val="32"/>
          <w:szCs w:val="32"/>
          <w:lang w:eastAsia="zh-CN"/>
        </w:rPr>
        <w:t>建设</w:t>
      </w:r>
      <w:r>
        <w:rPr>
          <w:rFonts w:hint="eastAsia" w:ascii="仿宋_GB2312" w:eastAsia="仿宋_GB2312" w:cs="仿宋_GB2312"/>
          <w:sz w:val="32"/>
          <w:szCs w:val="32"/>
        </w:rPr>
        <w:t>政策红利，以高质量“双招双引”扩大有效投资、</w:t>
      </w:r>
      <w:r>
        <w:rPr>
          <w:rFonts w:hint="eastAsia" w:ascii="仿宋_GB2312" w:eastAsia="仿宋_GB2312" w:cs="仿宋_GB2312"/>
          <w:sz w:val="32"/>
          <w:szCs w:val="32"/>
          <w:lang w:eastAsia="zh-CN"/>
        </w:rPr>
        <w:t>强化</w:t>
      </w:r>
      <w:r>
        <w:rPr>
          <w:rFonts w:hint="eastAsia" w:ascii="仿宋_GB2312" w:eastAsia="仿宋_GB2312" w:cs="仿宋_GB2312"/>
          <w:sz w:val="32"/>
          <w:szCs w:val="32"/>
        </w:rPr>
        <w:t>项目支撑、集聚发展动能，</w:t>
      </w:r>
      <w:r>
        <w:rPr>
          <w:rFonts w:hint="eastAsia" w:ascii="仿宋_GB2312" w:hAnsi="宋体" w:eastAsia="仿宋_GB2312" w:cs="Arial"/>
          <w:kern w:val="0"/>
          <w:sz w:val="32"/>
          <w:szCs w:val="32"/>
        </w:rPr>
        <w:t>更好地发挥招商引资、招才引智对县域经济社会发展的促进作用</w:t>
      </w:r>
      <w:r>
        <w:rPr>
          <w:rFonts w:hint="eastAsia" w:ascii="仿宋_GB2312" w:hAnsi="宋体" w:eastAsia="仿宋_GB2312" w:cs="Arial"/>
          <w:kern w:val="0"/>
          <w:sz w:val="32"/>
          <w:szCs w:val="32"/>
          <w:lang w:eastAsia="zh-CN"/>
        </w:rPr>
        <w:t>，</w:t>
      </w:r>
      <w:r>
        <w:rPr>
          <w:rFonts w:hint="eastAsia" w:ascii="仿宋_GB2312" w:eastAsia="仿宋_GB2312" w:cs="仿宋_GB2312"/>
          <w:sz w:val="32"/>
          <w:szCs w:val="32"/>
        </w:rPr>
        <w:t>现就推进“双招双引”提质增效，制定如下措施。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Times New Roman"/>
          <w:sz w:val="32"/>
          <w:szCs w:val="32"/>
        </w:rPr>
      </w:pPr>
      <w:r>
        <w:rPr>
          <w:rFonts w:hint="eastAsia" w:ascii="黑体" w:hAnsi="黑体" w:eastAsia="黑体" w:cs="黑体"/>
          <w:sz w:val="32"/>
          <w:szCs w:val="32"/>
        </w:rPr>
        <w:t>一、</w:t>
      </w:r>
      <w:r>
        <w:rPr>
          <w:rFonts w:hint="eastAsia" w:ascii="黑体" w:hAnsi="黑体" w:eastAsia="黑体" w:cs="仿宋_GB2312"/>
          <w:sz w:val="32"/>
          <w:szCs w:val="32"/>
        </w:rPr>
        <w:t>提升“双招双引”首位度</w:t>
      </w:r>
      <w:r>
        <w:rPr>
          <w:rFonts w:hint="eastAsia" w:ascii="黑体" w:hAnsi="黑体" w:eastAsia="黑体" w:cs="黑体"/>
          <w:sz w:val="32"/>
          <w:szCs w:val="32"/>
        </w:rPr>
        <w:t>。</w:t>
      </w:r>
      <w:r>
        <w:rPr>
          <w:rFonts w:hint="eastAsia" w:ascii="仿宋_GB2312" w:hAnsi="黑体" w:eastAsia="仿宋_GB2312" w:cs="仿宋_GB2312"/>
          <w:sz w:val="32"/>
          <w:szCs w:val="32"/>
        </w:rPr>
        <w:t>继续</w:t>
      </w:r>
      <w:r>
        <w:rPr>
          <w:rFonts w:hint="eastAsia" w:ascii="仿宋_GB2312" w:hAnsi="宋体" w:eastAsia="仿宋_GB2312" w:cs="仿宋_GB2312"/>
          <w:sz w:val="32"/>
          <w:szCs w:val="32"/>
        </w:rPr>
        <w:t>坚持</w:t>
      </w:r>
      <w:r>
        <w:rPr>
          <w:rFonts w:hint="eastAsia" w:ascii="仿宋_GB2312" w:hAnsi="仿宋_GB2312" w:eastAsia="仿宋_GB2312" w:cs="仿宋_GB2312"/>
          <w:sz w:val="32"/>
          <w:szCs w:val="32"/>
        </w:rPr>
        <w:t>“双招双引”</w:t>
      </w:r>
      <w:r>
        <w:rPr>
          <w:rFonts w:hint="eastAsia" w:ascii="仿宋_GB2312" w:hAnsi="宋体" w:eastAsia="仿宋_GB2312" w:cs="仿宋_GB2312"/>
          <w:sz w:val="32"/>
          <w:szCs w:val="32"/>
        </w:rPr>
        <w:t>主战略不动摇</w:t>
      </w:r>
      <w:r>
        <w:rPr>
          <w:rFonts w:hint="eastAsia" w:ascii="仿宋_GB2312" w:hAnsi="仿宋_GB2312" w:eastAsia="仿宋_GB2312" w:cs="仿宋_GB2312"/>
          <w:sz w:val="32"/>
          <w:szCs w:val="32"/>
        </w:rPr>
        <w:t>，</w:t>
      </w:r>
      <w:r>
        <w:rPr>
          <w:rFonts w:hint="eastAsia" w:ascii="仿宋_GB2312" w:hAnsi="黑体" w:eastAsia="仿宋_GB2312" w:cs="黑体"/>
          <w:sz w:val="32"/>
          <w:szCs w:val="32"/>
        </w:rPr>
        <w:t>着力实施好招商引资、招才引智“提质提速提效年”活动。切实</w:t>
      </w:r>
      <w:r>
        <w:rPr>
          <w:rFonts w:hint="eastAsia" w:ascii="仿宋_GB2312" w:hAnsi="仿宋_GB2312" w:eastAsia="仿宋_GB2312" w:cs="仿宋_GB2312"/>
          <w:sz w:val="32"/>
          <w:szCs w:val="32"/>
        </w:rPr>
        <w:t>加速产业链、创新链、资金链、人才链“四链合一”，多渠道汇聚“双招双引”新优势。坚持以明晰的工作目标，推动产业集群、人才集聚促“提质”； 以精细的工作方式，优化招商引资、招才引智举措促“提速”；以严谨的工作机制，强化督导激励促“提效”，</w:t>
      </w:r>
      <w:r>
        <w:rPr>
          <w:rFonts w:hint="eastAsia" w:ascii="仿宋_GB2312" w:eastAsia="仿宋_GB2312" w:cs="仿宋_GB2312"/>
          <w:sz w:val="32"/>
          <w:szCs w:val="32"/>
        </w:rPr>
        <w:t>加快形成全县范围内全员参与的浓厚氛围，</w:t>
      </w:r>
      <w:r>
        <w:rPr>
          <w:rFonts w:hint="eastAsia" w:ascii="仿宋_GB2312" w:hAnsi="仿宋_GB2312" w:eastAsia="仿宋_GB2312" w:cs="仿宋_GB2312"/>
          <w:sz w:val="32"/>
          <w:szCs w:val="32"/>
        </w:rPr>
        <w:t>着力引进一批县域首位产业、主导产业补链延链强链项目。</w:t>
      </w:r>
      <w:r>
        <w:rPr>
          <w:rFonts w:hint="eastAsia" w:ascii="仿宋_GB2312" w:eastAsia="仿宋_GB2312" w:cs="仿宋_GB2312"/>
          <w:sz w:val="32"/>
          <w:szCs w:val="32"/>
        </w:rPr>
        <w:t>乡镇、县直单位要成立</w:t>
      </w:r>
      <w:r>
        <w:rPr>
          <w:rFonts w:hint="eastAsia" w:ascii="仿宋_GB2312" w:hAnsi="仿宋_GB2312" w:eastAsia="仿宋_GB2312" w:cs="仿宋_GB2312"/>
          <w:sz w:val="32"/>
          <w:szCs w:val="32"/>
        </w:rPr>
        <w:t>“双招双引”</w:t>
      </w:r>
      <w:r>
        <w:rPr>
          <w:rFonts w:hint="eastAsia" w:ascii="仿宋_GB2312" w:eastAsia="仿宋_GB2312" w:cs="仿宋_GB2312"/>
          <w:sz w:val="32"/>
          <w:szCs w:val="32"/>
        </w:rPr>
        <w:t>工作领导组，</w:t>
      </w:r>
      <w:r>
        <w:rPr>
          <w:rFonts w:hint="eastAsia" w:ascii="仿宋_GB2312" w:hAnsi="仿宋_GB2312" w:eastAsia="仿宋_GB2312" w:cs="仿宋_GB2312"/>
          <w:sz w:val="32"/>
          <w:szCs w:val="32"/>
        </w:rPr>
        <w:t>切实加强“双招双引”工作领导, 把“双招双引”列入党委政府重点工作内容,</w:t>
      </w:r>
      <w:r>
        <w:rPr>
          <w:rFonts w:hint="eastAsia" w:ascii="仿宋_GB2312" w:hAnsi="楷体_GB2312" w:eastAsia="仿宋_GB2312" w:cs="仿宋_GB2312"/>
          <w:sz w:val="32"/>
          <w:szCs w:val="32"/>
        </w:rPr>
        <w:t>作为“一把手”工程；党政主要负责人</w:t>
      </w:r>
      <w:r>
        <w:rPr>
          <w:rFonts w:hint="eastAsia" w:ascii="仿宋_GB2312" w:hAnsi="楷体_GB2312" w:eastAsia="仿宋_GB2312" w:cs="仿宋_GB2312"/>
          <w:sz w:val="32"/>
          <w:szCs w:val="32"/>
          <w:lang w:eastAsia="zh-CN"/>
        </w:rPr>
        <w:t>要</w:t>
      </w:r>
      <w:r>
        <w:rPr>
          <w:rFonts w:hint="eastAsia" w:ascii="仿宋_GB2312" w:hAnsi="楷体_GB2312" w:eastAsia="仿宋_GB2312" w:cs="仿宋_GB2312"/>
          <w:sz w:val="32"/>
          <w:szCs w:val="32"/>
        </w:rPr>
        <w:t>亲自谋划</w:t>
      </w:r>
      <w:r>
        <w:rPr>
          <w:rFonts w:hint="eastAsia" w:ascii="仿宋_GB2312" w:hAnsi="楷体_GB2312" w:eastAsia="仿宋_GB2312" w:cs="仿宋_GB2312"/>
          <w:sz w:val="32"/>
          <w:szCs w:val="32"/>
          <w:lang w:eastAsia="zh-CN"/>
        </w:rPr>
        <w:t>“</w:t>
      </w:r>
      <w:r>
        <w:rPr>
          <w:rFonts w:hint="eastAsia" w:ascii="仿宋_GB2312" w:hAnsi="仿宋_GB2312" w:eastAsia="仿宋_GB2312" w:cs="仿宋_GB2312"/>
          <w:sz w:val="32"/>
          <w:szCs w:val="32"/>
        </w:rPr>
        <w:t>双招双引</w:t>
      </w:r>
      <w:r>
        <w:rPr>
          <w:rFonts w:hint="eastAsia" w:ascii="仿宋_GB2312" w:hAnsi="楷体_GB2312" w:eastAsia="仿宋_GB2312" w:cs="仿宋_GB2312"/>
          <w:sz w:val="32"/>
          <w:szCs w:val="32"/>
          <w:lang w:eastAsia="zh-CN"/>
        </w:rPr>
        <w:t>”</w:t>
      </w:r>
      <w:r>
        <w:rPr>
          <w:rFonts w:hint="eastAsia" w:ascii="仿宋_GB2312" w:hAnsi="楷体_GB2312" w:eastAsia="仿宋_GB2312" w:cs="仿宋_GB2312"/>
          <w:sz w:val="32"/>
          <w:szCs w:val="32"/>
        </w:rPr>
        <w:t>工作，亲自联络重要引资企业和重点引进人才，亲自推进招商项目和引智工程。</w:t>
      </w:r>
      <w:r>
        <w:rPr>
          <w:rFonts w:hint="eastAsia" w:ascii="仿宋_GB2312" w:hAnsi="仿宋_GB2312" w:eastAsia="仿宋_GB2312" w:cs="仿宋_GB2312"/>
          <w:sz w:val="32"/>
          <w:szCs w:val="32"/>
        </w:rPr>
        <w:t>年度完成到位境内引资、</w:t>
      </w:r>
      <w:r>
        <w:rPr>
          <w:rFonts w:hint="eastAsia" w:ascii="仿宋_GB2312" w:hAnsi="宋体" w:eastAsia="仿宋_GB2312" w:cs="仿宋_GB2312"/>
          <w:kern w:val="0"/>
          <w:sz w:val="32"/>
          <w:szCs w:val="32"/>
        </w:rPr>
        <w:t>境外引资增幅</w:t>
      </w:r>
      <w:r>
        <w:rPr>
          <w:rFonts w:hint="eastAsia" w:ascii="仿宋_GB2312" w:hAnsi="宋体" w:eastAsia="仿宋_GB2312" w:cs="仿宋_GB2312"/>
          <w:kern w:val="0"/>
          <w:sz w:val="32"/>
          <w:szCs w:val="32"/>
          <w:lang w:eastAsia="zh-CN"/>
        </w:rPr>
        <w:t>分别</w:t>
      </w:r>
      <w:r>
        <w:rPr>
          <w:rFonts w:hint="eastAsia" w:ascii="仿宋_GB2312" w:hAnsi="宋体" w:eastAsia="仿宋_GB2312" w:cs="仿宋_GB2312"/>
          <w:kern w:val="0"/>
          <w:sz w:val="32"/>
          <w:szCs w:val="32"/>
        </w:rPr>
        <w:t>达到1</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10%以上，</w:t>
      </w:r>
      <w:r>
        <w:rPr>
          <w:rFonts w:hint="eastAsia" w:ascii="仿宋_GB2312" w:hAnsi="仿宋_GB2312" w:eastAsia="仿宋_GB2312" w:cs="仿宋_GB2312"/>
          <w:sz w:val="32"/>
          <w:szCs w:val="32"/>
        </w:rPr>
        <w:t>新引进超亿元项目</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个以上（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w:t>
      </w:r>
      <w:r>
        <w:rPr>
          <w:rFonts w:hint="eastAsia" w:ascii="仿宋_GB2312" w:hAnsi="仿宋_GB2312" w:eastAsia="仿宋_GB2312" w:cs="仿宋_GB2312"/>
          <w:color w:val="000000" w:themeColor="text1"/>
          <w:sz w:val="32"/>
          <w:szCs w:val="32"/>
          <w14:textFill>
            <w14:solidFill>
              <w14:schemeClr w14:val="tx1"/>
            </w14:solidFill>
          </w14:textFill>
        </w:rPr>
        <w:t>省外资金投资项目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个以上</w:t>
      </w:r>
      <w:r>
        <w:rPr>
          <w:rFonts w:hint="eastAsia" w:ascii="仿宋_GB2312" w:hAnsi="仿宋_GB2312" w:eastAsia="仿宋_GB2312" w:cs="仿宋_GB2312"/>
          <w:sz w:val="32"/>
          <w:szCs w:val="32"/>
        </w:rPr>
        <w:t>），引进重点人才项目2个以上。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cs="仿宋_GB2312"/>
          <w:sz w:val="32"/>
          <w:szCs w:val="32"/>
          <w:lang w:val="en-US" w:eastAsia="zh-CN"/>
        </w:rPr>
      </w:pPr>
      <w:r>
        <w:rPr>
          <w:rFonts w:hint="eastAsia" w:ascii="黑体" w:hAnsi="黑体" w:eastAsia="黑体" w:cs="黑体"/>
          <w:sz w:val="32"/>
          <w:szCs w:val="32"/>
        </w:rPr>
        <w:t>二、强化产业招商。</w:t>
      </w:r>
      <w:r>
        <w:rPr>
          <w:rFonts w:hint="eastAsia" w:ascii="仿宋_GB2312" w:hAnsi="Helvetica" w:eastAsia="仿宋_GB2312" w:cs="Arial"/>
          <w:color w:val="000000" w:themeColor="text1"/>
          <w:kern w:val="0"/>
          <w:sz w:val="32"/>
          <w:szCs w:val="32"/>
          <w14:textFill>
            <w14:solidFill>
              <w14:schemeClr w14:val="tx1"/>
            </w14:solidFill>
          </w14:textFill>
        </w:rPr>
        <w:t>着力谋划具有可行性的高质量产业招商项目。</w:t>
      </w:r>
      <w:r>
        <w:rPr>
          <w:rFonts w:hint="eastAsia" w:ascii="仿宋_GB2312" w:hAnsi="仿宋_GB2312" w:eastAsia="仿宋_GB2312" w:cs="仿宋_GB2312"/>
          <w:color w:val="000000" w:themeColor="text1"/>
          <w:sz w:val="32"/>
          <w:szCs w:val="32"/>
          <w14:textFill>
            <w14:solidFill>
              <w14:schemeClr w14:val="tx1"/>
            </w14:solidFill>
          </w14:textFill>
        </w:rPr>
        <w:t>以培育规模化产</w:t>
      </w:r>
      <w:r>
        <w:rPr>
          <w:rFonts w:hint="eastAsia" w:ascii="仿宋_GB2312" w:hAnsi="仿宋_GB2312" w:eastAsia="仿宋_GB2312" w:cs="仿宋_GB2312"/>
          <w:sz w:val="32"/>
          <w:szCs w:val="32"/>
        </w:rPr>
        <w:t>业集群、构建全产业链为目标，重点聚焦“链主企业”与“头部企业”，</w:t>
      </w:r>
      <w:r>
        <w:rPr>
          <w:rFonts w:hint="eastAsia" w:ascii="仿宋_GB2312" w:hAnsi="宋体" w:eastAsia="仿宋_GB2312" w:cs="仿宋_GB2312"/>
          <w:kern w:val="0"/>
          <w:sz w:val="32"/>
          <w:szCs w:val="32"/>
        </w:rPr>
        <w:t>完善引资项目储备库，</w:t>
      </w:r>
      <w:r>
        <w:rPr>
          <w:rFonts w:hint="eastAsia" w:ascii="仿宋_GB2312" w:eastAsia="仿宋_GB2312" w:cs="仿宋_GB2312"/>
          <w:sz w:val="32"/>
          <w:szCs w:val="32"/>
        </w:rPr>
        <w:t>全力推进</w:t>
      </w:r>
      <w:r>
        <w:rPr>
          <w:rFonts w:hint="eastAsia" w:ascii="仿宋_GB2312" w:eastAsia="仿宋_GB2312" w:cs="仿宋_GB2312"/>
          <w:sz w:val="32"/>
          <w:szCs w:val="32"/>
          <w:lang w:eastAsia="zh-CN"/>
        </w:rPr>
        <w:t>资源型开发</w:t>
      </w:r>
      <w:r>
        <w:rPr>
          <w:rFonts w:hint="eastAsia" w:ascii="仿宋_GB2312" w:eastAsia="仿宋_GB2312" w:cs="仿宋_GB2312"/>
          <w:sz w:val="32"/>
          <w:szCs w:val="32"/>
        </w:rPr>
        <w:t>和接链补环项目工作。依托钢铁首位产业，强力引进铁基新材料、机械设备制造、矿产资源延链加工等项目；立足农产品资源加工等主导产业，坚持全产业链招商，大力引进绿色食品、生物医药等精深加工项目；围绕生产生活性服务业专业化、高端化，致力引进电子信息、智能家电、高端装备制造等高新技术产业和劳动密集型项目。霍邱经济开发区、</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w:t>
      </w:r>
      <w:r>
        <w:rPr>
          <w:rFonts w:hint="eastAsia" w:ascii="仿宋_GB2312" w:eastAsia="仿宋_GB2312"/>
          <w:sz w:val="32"/>
          <w:szCs w:val="32"/>
        </w:rPr>
        <w:t>长集现代农业</w:t>
      </w:r>
      <w:r>
        <w:rPr>
          <w:rFonts w:hint="eastAsia" w:ascii="仿宋_GB2312" w:eastAsia="仿宋_GB2312"/>
          <w:sz w:val="32"/>
          <w:szCs w:val="32"/>
          <w:lang w:eastAsia="zh-CN"/>
        </w:rPr>
        <w:t>产业园</w:t>
      </w:r>
      <w:r>
        <w:rPr>
          <w:rFonts w:hint="eastAsia" w:ascii="仿宋_GB2312" w:eastAsia="仿宋_GB2312" w:cs="仿宋_GB2312"/>
          <w:sz w:val="32"/>
          <w:szCs w:val="32"/>
        </w:rPr>
        <w:t>要立足产业链条培育需求，瞄准</w:t>
      </w:r>
      <w:r>
        <w:rPr>
          <w:rFonts w:hint="eastAsia" w:ascii="仿宋_GB2312" w:eastAsia="仿宋_GB2312" w:cs="仿宋_GB2312"/>
          <w:sz w:val="32"/>
          <w:szCs w:val="32"/>
          <w:lang w:eastAsia="zh-CN"/>
        </w:rPr>
        <w:t>大中型国企</w:t>
      </w:r>
      <w:r>
        <w:rPr>
          <w:rFonts w:hint="eastAsia" w:ascii="仿宋_GB2312" w:eastAsia="仿宋_GB2312" w:cs="仿宋_GB2312"/>
          <w:sz w:val="32"/>
          <w:szCs w:val="32"/>
        </w:rPr>
        <w:t>、行业龙头、上市公司等建立企业信息库；围绕县域产业资源，每年招引投资超</w:t>
      </w:r>
      <w:r>
        <w:rPr>
          <w:rFonts w:ascii="仿宋_GB2312" w:eastAsia="仿宋_GB2312" w:cs="仿宋_GB2312"/>
          <w:sz w:val="32"/>
          <w:szCs w:val="32"/>
        </w:rPr>
        <w:t>5</w:t>
      </w:r>
      <w:r>
        <w:rPr>
          <w:rFonts w:hint="eastAsia" w:ascii="仿宋_GB2312" w:eastAsia="仿宋_GB2312" w:cs="仿宋_GB2312"/>
          <w:sz w:val="32"/>
          <w:szCs w:val="32"/>
        </w:rPr>
        <w:t>亿元</w:t>
      </w:r>
      <w:r>
        <w:rPr>
          <w:rFonts w:hint="eastAsia" w:ascii="仿宋_GB2312" w:hAnsi="仿宋_GB2312" w:eastAsia="仿宋_GB2312" w:cs="仿宋_GB2312"/>
          <w:sz w:val="32"/>
          <w:szCs w:val="32"/>
        </w:rPr>
        <w:t>主导产业项目5个以上，其中“链主企业”或</w:t>
      </w:r>
      <w:r>
        <w:rPr>
          <w:rFonts w:hint="eastAsia" w:ascii="仿宋_GB2312" w:eastAsia="仿宋_GB2312" w:cs="仿宋_GB2312"/>
          <w:sz w:val="32"/>
          <w:szCs w:val="32"/>
        </w:rPr>
        <w:t>“头部企业”投资</w:t>
      </w:r>
      <w:r>
        <w:rPr>
          <w:rFonts w:ascii="仿宋_GB2312" w:eastAsia="仿宋_GB2312" w:cs="仿宋_GB2312"/>
          <w:sz w:val="32"/>
          <w:szCs w:val="32"/>
        </w:rPr>
        <w:t>10</w:t>
      </w:r>
      <w:r>
        <w:rPr>
          <w:rFonts w:hint="eastAsia" w:ascii="仿宋_GB2312" w:eastAsia="仿宋_GB2312" w:cs="仿宋_GB2312"/>
          <w:sz w:val="32"/>
          <w:szCs w:val="32"/>
        </w:rPr>
        <w:t>亿元以上项目不少于</w:t>
      </w:r>
      <w:r>
        <w:rPr>
          <w:rFonts w:ascii="仿宋_GB2312" w:eastAsia="仿宋_GB2312" w:cs="仿宋_GB2312"/>
          <w:sz w:val="32"/>
          <w:szCs w:val="32"/>
        </w:rPr>
        <w:t>1</w:t>
      </w:r>
      <w:r>
        <w:rPr>
          <w:rFonts w:hint="eastAsia" w:ascii="仿宋_GB2312" w:eastAsia="仿宋_GB2312" w:cs="仿宋_GB2312"/>
          <w:sz w:val="32"/>
          <w:szCs w:val="32"/>
        </w:rPr>
        <w:t>个、农业一二三产融合项目不少于</w:t>
      </w:r>
      <w:r>
        <w:rPr>
          <w:rFonts w:ascii="仿宋_GB2312" w:eastAsia="仿宋_GB2312" w:cs="仿宋_GB2312"/>
          <w:sz w:val="32"/>
          <w:szCs w:val="32"/>
        </w:rPr>
        <w:t>1</w:t>
      </w:r>
      <w:r>
        <w:rPr>
          <w:rFonts w:hint="eastAsia" w:ascii="仿宋_GB2312" w:eastAsia="仿宋_GB2312" w:cs="仿宋_GB2312"/>
          <w:sz w:val="32"/>
          <w:szCs w:val="32"/>
        </w:rPr>
        <w:t>个。</w:t>
      </w:r>
      <w:r>
        <w:rPr>
          <w:rFonts w:hint="eastAsia" w:asci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cs="Times New Roman"/>
          <w:sz w:val="32"/>
          <w:szCs w:val="32"/>
        </w:rPr>
      </w:pPr>
      <w:r>
        <w:rPr>
          <w:rFonts w:hint="eastAsia" w:ascii="黑体" w:hAnsi="黑体" w:eastAsia="黑体" w:cs="黑体"/>
          <w:sz w:val="32"/>
          <w:szCs w:val="32"/>
        </w:rPr>
        <w:t>三、做实与长三角互动</w:t>
      </w:r>
      <w:r>
        <w:rPr>
          <w:rFonts w:hint="eastAsia" w:ascii="仿宋_GB2312" w:hAnsi="仿宋_GB2312" w:eastAsia="仿宋_GB2312" w:cs="仿宋_GB2312"/>
          <w:sz w:val="32"/>
          <w:szCs w:val="32"/>
        </w:rPr>
        <w:t>。立足长三角一体化、合肥都市圈发展战略，切实做好承接产业转移集聚工作,成立县承接产业转移工作领导组,设立专门办公室,抽调专人专班抓落实。继续坚持领导</w:t>
      </w:r>
      <w:r>
        <w:rPr>
          <w:rFonts w:hint="eastAsia" w:ascii="仿宋_GB2312" w:eastAsia="仿宋_GB2312" w:cs="仿宋_GB2312"/>
          <w:sz w:val="32"/>
          <w:szCs w:val="32"/>
        </w:rPr>
        <w:t>带头招商，县四个班子负责人每季度赴长三角等地开展专题招商活动</w:t>
      </w:r>
      <w:r>
        <w:rPr>
          <w:rFonts w:hint="eastAsia" w:ascii="仿宋_GB2312" w:eastAsia="仿宋_GB2312" w:cs="仿宋_GB2312"/>
          <w:sz w:val="32"/>
          <w:szCs w:val="32"/>
          <w:lang w:val="en-US" w:eastAsia="zh-CN"/>
        </w:rPr>
        <w:t>一次</w:t>
      </w:r>
      <w:r>
        <w:rPr>
          <w:rFonts w:hint="eastAsia" w:ascii="仿宋_GB2312" w:eastAsia="仿宋_GB2312" w:cs="仿宋_GB2312"/>
          <w:sz w:val="32"/>
          <w:szCs w:val="32"/>
        </w:rPr>
        <w:t>，乡镇、县直招商小组每季度有针对性</w:t>
      </w:r>
      <w:r>
        <w:rPr>
          <w:rFonts w:hint="eastAsia" w:ascii="仿宋_GB2312" w:eastAsia="仿宋_GB2312" w:cs="仿宋_GB2312"/>
          <w:sz w:val="32"/>
          <w:szCs w:val="32"/>
          <w:lang w:eastAsia="zh-CN"/>
        </w:rPr>
        <w:t>地</w:t>
      </w:r>
      <w:r>
        <w:rPr>
          <w:rFonts w:hint="eastAsia" w:ascii="仿宋_GB2312" w:eastAsia="仿宋_GB2312" w:cs="仿宋_GB2312"/>
          <w:sz w:val="32"/>
          <w:szCs w:val="32"/>
        </w:rPr>
        <w:t>外出招商对接</w:t>
      </w:r>
      <w:r>
        <w:rPr>
          <w:rFonts w:hint="eastAsia" w:ascii="仿宋_GB2312" w:eastAsia="仿宋_GB2312" w:cs="仿宋_GB2312"/>
          <w:sz w:val="32"/>
          <w:szCs w:val="32"/>
          <w:lang w:eastAsia="zh-CN"/>
        </w:rPr>
        <w:t>不少于</w:t>
      </w:r>
      <w:r>
        <w:rPr>
          <w:rFonts w:hint="eastAsia" w:ascii="仿宋_GB2312" w:eastAsia="仿宋_GB2312" w:cs="仿宋_GB2312"/>
          <w:sz w:val="32"/>
          <w:szCs w:val="32"/>
          <w:lang w:val="en-US" w:eastAsia="zh-CN"/>
        </w:rPr>
        <w:t>1次</w:t>
      </w:r>
      <w:r>
        <w:rPr>
          <w:rFonts w:hint="eastAsia" w:ascii="仿宋_GB2312" w:eastAsia="仿宋_GB2312" w:cs="仿宋_GB2312"/>
          <w:sz w:val="32"/>
          <w:szCs w:val="32"/>
        </w:rPr>
        <w:t>。霍邱经济开发区强化东向合作意识</w:t>
      </w:r>
      <w:r>
        <w:rPr>
          <w:rFonts w:hint="eastAsia" w:ascii="仿宋_GB2312" w:eastAsia="仿宋_GB2312" w:cs="仿宋_GB2312"/>
          <w:sz w:val="32"/>
          <w:szCs w:val="32"/>
          <w:lang w:eastAsia="zh-CN"/>
        </w:rPr>
        <w:t>，</w:t>
      </w:r>
      <w:r>
        <w:rPr>
          <w:rFonts w:hint="eastAsia" w:ascii="仿宋_GB2312" w:eastAsia="仿宋_GB2312" w:cs="仿宋_GB2312"/>
          <w:sz w:val="32"/>
          <w:szCs w:val="32"/>
        </w:rPr>
        <w:t>与沪苏浙地区确立结对园区</w:t>
      </w:r>
      <w:r>
        <w:rPr>
          <w:rFonts w:ascii="仿宋_GB2312" w:eastAsia="仿宋_GB2312" w:cs="仿宋_GB2312"/>
          <w:sz w:val="32"/>
          <w:szCs w:val="32"/>
        </w:rPr>
        <w:t>1</w:t>
      </w:r>
      <w:r>
        <w:rPr>
          <w:rFonts w:hint="eastAsia" w:ascii="仿宋_GB2312" w:eastAsia="仿宋_GB2312" w:cs="仿宋_GB2312"/>
          <w:sz w:val="32"/>
          <w:szCs w:val="32"/>
        </w:rPr>
        <w:t>个以上，每年开展专题对接活动</w:t>
      </w:r>
      <w:r>
        <w:rPr>
          <w:rFonts w:ascii="仿宋_GB2312" w:eastAsia="仿宋_GB2312" w:cs="仿宋_GB2312"/>
          <w:sz w:val="32"/>
          <w:szCs w:val="32"/>
        </w:rPr>
        <w:t>2</w:t>
      </w:r>
      <w:r>
        <w:rPr>
          <w:rFonts w:hint="eastAsia" w:ascii="仿宋_GB2312" w:eastAsia="仿宋_GB2312" w:cs="仿宋_GB2312"/>
          <w:sz w:val="32"/>
          <w:szCs w:val="32"/>
        </w:rPr>
        <w:t>次以上，</w:t>
      </w:r>
      <w:r>
        <w:rPr>
          <w:rFonts w:ascii="仿宋_GB2312" w:eastAsia="仿宋_GB2312" w:cs="仿宋_GB2312"/>
          <w:sz w:val="32"/>
          <w:szCs w:val="32"/>
        </w:rPr>
        <w:t xml:space="preserve"> 2021</w:t>
      </w:r>
      <w:r>
        <w:rPr>
          <w:rFonts w:hint="eastAsia" w:ascii="仿宋_GB2312" w:eastAsia="仿宋_GB2312" w:cs="仿宋_GB2312"/>
          <w:sz w:val="32"/>
          <w:szCs w:val="32"/>
        </w:rPr>
        <w:t>年度达成战略合作协议1个以上。</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现代产业园加强与合肥市招商合作对接，每月赴合肥市开展结对园区专题对接</w:t>
      </w:r>
      <w:r>
        <w:rPr>
          <w:rFonts w:ascii="仿宋_GB2312" w:eastAsia="仿宋_GB2312" w:cs="仿宋_GB2312"/>
          <w:sz w:val="32"/>
          <w:szCs w:val="32"/>
        </w:rPr>
        <w:t>1</w:t>
      </w:r>
      <w:r>
        <w:rPr>
          <w:rFonts w:hint="eastAsia" w:ascii="仿宋_GB2312" w:eastAsia="仿宋_GB2312" w:cs="仿宋_GB2312"/>
          <w:sz w:val="32"/>
          <w:szCs w:val="32"/>
        </w:rPr>
        <w:t>次以上，</w:t>
      </w:r>
      <w:r>
        <w:rPr>
          <w:rFonts w:hint="eastAsia" w:ascii="仿宋_GB2312" w:eastAsia="仿宋_GB2312" w:cs="仿宋_GB2312"/>
          <w:sz w:val="32"/>
          <w:szCs w:val="32"/>
          <w:lang w:eastAsia="zh-CN"/>
        </w:rPr>
        <w:t>年度</w:t>
      </w:r>
      <w:r>
        <w:rPr>
          <w:rFonts w:hint="eastAsia" w:ascii="仿宋_GB2312" w:eastAsia="仿宋_GB2312"/>
          <w:sz w:val="32"/>
          <w:szCs w:val="32"/>
        </w:rPr>
        <w:t>落地亿元以上工业项目</w:t>
      </w: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个以上；</w:t>
      </w:r>
      <w:r>
        <w:rPr>
          <w:rFonts w:ascii="仿宋_GB2312" w:eastAsia="仿宋_GB2312" w:cs="仿宋_GB2312"/>
          <w:sz w:val="32"/>
          <w:szCs w:val="32"/>
        </w:rPr>
        <w:t>2021</w:t>
      </w:r>
      <w:r>
        <w:rPr>
          <w:rFonts w:hint="eastAsia" w:ascii="仿宋_GB2312" w:eastAsia="仿宋_GB2312" w:cs="仿宋_GB2312"/>
          <w:sz w:val="32"/>
          <w:szCs w:val="32"/>
        </w:rPr>
        <w:t>年底前园区建成面积达到</w:t>
      </w:r>
      <w:r>
        <w:rPr>
          <w:rFonts w:ascii="仿宋_GB2312" w:eastAsia="仿宋_GB2312" w:cs="仿宋_GB2312"/>
          <w:sz w:val="32"/>
          <w:szCs w:val="32"/>
        </w:rPr>
        <w:t>5</w:t>
      </w:r>
      <w:r>
        <w:rPr>
          <w:rFonts w:hint="eastAsia" w:ascii="仿宋_GB2312" w:eastAsia="仿宋_GB2312" w:cs="仿宋_GB2312"/>
          <w:sz w:val="32"/>
          <w:szCs w:val="32"/>
        </w:rPr>
        <w:t>平方公里，进一步完善基础设施配套建设，强力打造面向合肥都市圈的产业“承接园”。长集现代农业</w:t>
      </w:r>
      <w:r>
        <w:rPr>
          <w:rFonts w:hint="eastAsia" w:ascii="仿宋_GB2312" w:eastAsia="仿宋_GB2312" w:cs="仿宋_GB2312"/>
          <w:sz w:val="32"/>
          <w:szCs w:val="32"/>
          <w:lang w:eastAsia="zh-CN"/>
        </w:rPr>
        <w:t>产业园</w:t>
      </w:r>
      <w:r>
        <w:rPr>
          <w:rFonts w:hint="eastAsia" w:ascii="仿宋_GB2312" w:eastAsia="仿宋_GB2312" w:cs="仿宋_GB2312"/>
          <w:sz w:val="32"/>
          <w:szCs w:val="32"/>
        </w:rPr>
        <w:t>继续推进与上海市青浦区的友好合作，扩大园区、产业、企业等多维度对接，做好“农字号”产业承接工作。</w:t>
      </w:r>
      <w:r>
        <w:rPr>
          <w:rFonts w:hint="eastAsia" w:asci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四、鼓励资本招商。</w:t>
      </w:r>
      <w:r>
        <w:rPr>
          <w:rFonts w:hint="eastAsia" w:ascii="仿宋_GB2312" w:eastAsia="仿宋_GB2312" w:cs="仿宋_GB2312"/>
          <w:sz w:val="32"/>
          <w:szCs w:val="32"/>
        </w:rPr>
        <w:t>鼓励</w:t>
      </w:r>
      <w:r>
        <w:rPr>
          <w:rFonts w:hint="eastAsia" w:ascii="仿宋_GB2312" w:eastAsia="仿宋_GB2312" w:cs="仿宋_GB2312"/>
          <w:sz w:val="32"/>
          <w:szCs w:val="32"/>
          <w:lang w:eastAsia="zh-CN"/>
        </w:rPr>
        <w:t>县属国有投资公司</w:t>
      </w:r>
      <w:r>
        <w:rPr>
          <w:rFonts w:hint="eastAsia" w:ascii="仿宋_GB2312" w:eastAsia="仿宋_GB2312" w:cs="仿宋_GB2312"/>
          <w:sz w:val="32"/>
          <w:szCs w:val="32"/>
        </w:rPr>
        <w:t>设立产业投资基金，</w:t>
      </w:r>
      <w:r>
        <w:rPr>
          <w:rFonts w:hint="eastAsia" w:ascii="仿宋_GB2312" w:eastAsia="仿宋_GB2312" w:cs="仿宋_GB2312"/>
          <w:sz w:val="32"/>
          <w:szCs w:val="32"/>
          <w:lang w:eastAsia="zh-CN"/>
        </w:rPr>
        <w:t>建立政府性投资基金管理运营模式，</w:t>
      </w:r>
      <w:r>
        <w:rPr>
          <w:rFonts w:hint="eastAsia" w:ascii="仿宋_GB2312" w:eastAsia="仿宋_GB2312" w:cs="仿宋_GB2312"/>
          <w:sz w:val="32"/>
          <w:szCs w:val="32"/>
        </w:rPr>
        <w:t>积极</w:t>
      </w:r>
      <w:r>
        <w:rPr>
          <w:rFonts w:hint="eastAsia" w:ascii="仿宋_GB2312" w:eastAsia="仿宋_GB2312" w:cs="仿宋_GB2312"/>
          <w:sz w:val="32"/>
          <w:szCs w:val="32"/>
          <w:lang w:eastAsia="zh-CN"/>
        </w:rPr>
        <w:t>争取与国家、省市级投资基金合作，着力引进社会资本，</w:t>
      </w:r>
      <w:r>
        <w:rPr>
          <w:rFonts w:hint="eastAsia" w:ascii="仿宋_GB2312" w:eastAsia="仿宋_GB2312" w:cs="仿宋_GB2312"/>
          <w:sz w:val="32"/>
          <w:szCs w:val="32"/>
        </w:rPr>
        <w:t>通过合作、跟投等方式，促进龙头型、科创型项目落户县内。</w:t>
      </w:r>
      <w:r>
        <w:rPr>
          <w:rFonts w:hint="eastAsia" w:ascii="仿宋_GB2312" w:eastAsia="仿宋_GB2312" w:cs="仿宋_GB2312"/>
          <w:sz w:val="32"/>
          <w:szCs w:val="32"/>
          <w:lang w:eastAsia="zh-CN"/>
        </w:rPr>
        <w:t>围绕“募、投、管、退”，加强政府性投资基金管理，积极引进专业投资管理机构，提升资本招商市场化、专业化水平。引导金融机构同步或提前介入招商洽谈工作。</w:t>
      </w:r>
      <w:r>
        <w:rPr>
          <w:rFonts w:hint="eastAsia" w:ascii="仿宋_GB2312" w:eastAsia="仿宋_GB2312" w:cs="仿宋_GB2312"/>
          <w:sz w:val="32"/>
          <w:szCs w:val="32"/>
        </w:rPr>
        <w:t>对省级及以上国有企业在霍邱直接投资的项目，经县委县政府审批同意后，由县</w:t>
      </w:r>
      <w:r>
        <w:rPr>
          <w:rFonts w:hint="eastAsia" w:ascii="仿宋_GB2312" w:eastAsia="仿宋_GB2312" w:cs="仿宋_GB2312"/>
          <w:sz w:val="32"/>
          <w:szCs w:val="32"/>
          <w:lang w:eastAsia="zh-CN"/>
        </w:rPr>
        <w:t>属</w:t>
      </w:r>
      <w:r>
        <w:rPr>
          <w:rFonts w:hint="eastAsia" w:ascii="仿宋_GB2312" w:eastAsia="仿宋_GB2312" w:cs="仿宋_GB2312"/>
          <w:sz w:val="32"/>
          <w:szCs w:val="32"/>
        </w:rPr>
        <w:t>国有投资公司以产业投资基金或土地作价入股等方式参股10%以上，进行合作实施。</w:t>
      </w:r>
      <w:r>
        <w:rPr>
          <w:rFonts w:ascii="仿宋_GB2312" w:eastAsia="仿宋_GB2312" w:cs="仿宋_GB2312"/>
          <w:sz w:val="32"/>
          <w:szCs w:val="32"/>
        </w:rPr>
        <w:t>2021</w:t>
      </w:r>
      <w:r>
        <w:rPr>
          <w:rFonts w:hint="eastAsia" w:ascii="仿宋_GB2312" w:eastAsia="仿宋_GB2312" w:cs="仿宋_GB2312"/>
          <w:sz w:val="32"/>
          <w:szCs w:val="32"/>
        </w:rPr>
        <w:t>年底前，县级产业投资基金规模不低于</w:t>
      </w:r>
      <w:r>
        <w:rPr>
          <w:rFonts w:ascii="仿宋_GB2312" w:eastAsia="仿宋_GB2312" w:cs="仿宋_GB2312"/>
          <w:sz w:val="32"/>
          <w:szCs w:val="32"/>
        </w:rPr>
        <w:t>5</w:t>
      </w:r>
      <w:r>
        <w:rPr>
          <w:rFonts w:hint="eastAsia" w:ascii="仿宋_GB2312" w:eastAsia="仿宋_GB2312" w:cs="仿宋_GB2312"/>
          <w:sz w:val="32"/>
          <w:szCs w:val="32"/>
        </w:rPr>
        <w:t>亿元，建立投资管理机构</w:t>
      </w:r>
      <w:r>
        <w:rPr>
          <w:rFonts w:ascii="仿宋_GB2312" w:eastAsia="仿宋_GB2312" w:cs="仿宋_GB2312"/>
          <w:sz w:val="32"/>
          <w:szCs w:val="32"/>
        </w:rPr>
        <w:t>50</w:t>
      </w:r>
      <w:r>
        <w:rPr>
          <w:rFonts w:hint="eastAsia" w:ascii="仿宋_GB2312" w:eastAsia="仿宋_GB2312" w:cs="仿宋_GB2312"/>
          <w:sz w:val="32"/>
          <w:szCs w:val="32"/>
        </w:rPr>
        <w:t>家以上的名录库；每年对接有针对性的基金投资线索1</w:t>
      </w:r>
      <w:r>
        <w:rPr>
          <w:rFonts w:ascii="仿宋_GB2312" w:eastAsia="仿宋_GB2312" w:cs="仿宋_GB2312"/>
          <w:sz w:val="32"/>
          <w:szCs w:val="32"/>
        </w:rPr>
        <w:t>0</w:t>
      </w:r>
      <w:r>
        <w:rPr>
          <w:rFonts w:hint="eastAsia" w:ascii="仿宋_GB2312" w:eastAsia="仿宋_GB2312" w:cs="仿宋_GB2312"/>
          <w:sz w:val="32"/>
          <w:szCs w:val="32"/>
        </w:rPr>
        <w:t>条以上，落户超亿元产投项目不少于2个。</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五、开展借智招商。</w:t>
      </w:r>
      <w:r>
        <w:rPr>
          <w:rFonts w:hint="eastAsia" w:ascii="仿宋_GB2312" w:hAnsi="Helvetica" w:eastAsia="仿宋_GB2312" w:cs="Arial"/>
          <w:color w:val="000000" w:themeColor="text1"/>
          <w:kern w:val="0"/>
          <w:sz w:val="32"/>
          <w:szCs w:val="32"/>
          <w14:textFill>
            <w14:solidFill>
              <w14:schemeClr w14:val="tx1"/>
            </w14:solidFill>
          </w14:textFill>
        </w:rPr>
        <w:t>加强与行业部门、专业机构、科技院校的协作对接，</w:t>
      </w:r>
      <w:r>
        <w:rPr>
          <w:rFonts w:hint="eastAsia" w:ascii="仿宋_GB2312" w:hAnsi="宋体" w:eastAsia="仿宋_GB2312" w:cs="仿宋_GB2312"/>
          <w:kern w:val="0"/>
          <w:sz w:val="32"/>
          <w:szCs w:val="32"/>
        </w:rPr>
        <w:t>联动霍邱</w:t>
      </w:r>
      <w:r>
        <w:rPr>
          <w:rFonts w:hint="eastAsia" w:ascii="仿宋_GB2312" w:hAnsi="宋体" w:eastAsia="仿宋_GB2312" w:cs="仿宋_GB2312"/>
          <w:kern w:val="0"/>
          <w:sz w:val="32"/>
          <w:szCs w:val="32"/>
          <w:lang w:eastAsia="zh-CN"/>
        </w:rPr>
        <w:t>驻外经济文化发展促进会</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驻外商会的各业界精英及</w:t>
      </w:r>
      <w:r>
        <w:rPr>
          <w:rFonts w:hint="eastAsia" w:ascii="仿宋_GB2312" w:hAnsi="宋体" w:eastAsia="仿宋_GB2312" w:cs="仿宋_GB2312"/>
          <w:kern w:val="0"/>
          <w:sz w:val="32"/>
          <w:szCs w:val="32"/>
        </w:rPr>
        <w:t>创业成功人士，</w:t>
      </w:r>
      <w:r>
        <w:rPr>
          <w:rFonts w:hint="eastAsia" w:ascii="仿宋_GB2312" w:eastAsia="仿宋_GB2312" w:cs="仿宋_GB2312"/>
          <w:sz w:val="32"/>
          <w:szCs w:val="32"/>
        </w:rPr>
        <w:t>全面摸排霍邱籍上市公司企业家、科技领军人物、专家学者、富贤乡贤等人才资源，建立总人数不低于1</w:t>
      </w:r>
      <w:r>
        <w:rPr>
          <w:rFonts w:ascii="仿宋_GB2312" w:eastAsia="仿宋_GB2312" w:cs="仿宋_GB2312"/>
          <w:sz w:val="32"/>
          <w:szCs w:val="32"/>
        </w:rPr>
        <w:t>00</w:t>
      </w:r>
      <w:r>
        <w:rPr>
          <w:rFonts w:hint="eastAsia" w:ascii="仿宋_GB2312" w:eastAsia="仿宋_GB2312" w:cs="仿宋_GB2312"/>
          <w:sz w:val="32"/>
          <w:szCs w:val="32"/>
        </w:rPr>
        <w:t>人的人才信息库。加强信息联络，</w:t>
      </w:r>
      <w:r>
        <w:rPr>
          <w:rFonts w:hint="eastAsia" w:ascii="仿宋_GB2312" w:eastAsia="仿宋_GB2312" w:cs="仿宋_GB2312"/>
          <w:sz w:val="32"/>
          <w:szCs w:val="32"/>
          <w:lang w:eastAsia="zh-CN"/>
        </w:rPr>
        <w:t>选聘招商顾问，组织开展</w:t>
      </w:r>
      <w:r>
        <w:rPr>
          <w:rFonts w:hint="eastAsia" w:ascii="仿宋_GB2312" w:eastAsia="仿宋_GB2312" w:cs="仿宋_GB2312"/>
          <w:sz w:val="32"/>
          <w:szCs w:val="32"/>
        </w:rPr>
        <w:t>招商宣传推介、人才信息交流活动</w:t>
      </w:r>
      <w:r>
        <w:rPr>
          <w:rFonts w:hint="eastAsia" w:ascii="仿宋_GB2312" w:eastAsia="仿宋_GB2312" w:cs="仿宋_GB2312"/>
          <w:sz w:val="32"/>
          <w:szCs w:val="32"/>
          <w:lang w:eastAsia="zh-CN"/>
        </w:rPr>
        <w:t>。</w:t>
      </w:r>
      <w:r>
        <w:rPr>
          <w:rFonts w:hint="eastAsia" w:ascii="仿宋_GB2312" w:eastAsia="仿宋_GB2312" w:cs="仿宋_GB2312"/>
          <w:sz w:val="32"/>
          <w:szCs w:val="32"/>
        </w:rPr>
        <w:t>精准跟进高端人才所关联的工程中心、技术中心和科研工作站等机构，充分挖掘人才背后蕴藏的信息资源和项目线索</w:t>
      </w:r>
      <w:r>
        <w:rPr>
          <w:rFonts w:hint="eastAsia" w:ascii="仿宋_GB2312" w:eastAsia="仿宋_GB2312" w:cs="仿宋_GB2312"/>
          <w:sz w:val="32"/>
          <w:szCs w:val="32"/>
          <w:lang w:eastAsia="zh-CN"/>
        </w:rPr>
        <w:t>。强化</w:t>
      </w:r>
      <w:r>
        <w:rPr>
          <w:rFonts w:hint="eastAsia" w:ascii="仿宋_GB2312" w:eastAsia="仿宋_GB2312" w:cs="仿宋_GB2312"/>
          <w:sz w:val="32"/>
          <w:szCs w:val="32"/>
        </w:rPr>
        <w:t>“人才</w:t>
      </w:r>
      <w:r>
        <w:rPr>
          <w:rFonts w:ascii="仿宋_GB2312" w:eastAsia="仿宋_GB2312" w:cs="仿宋_GB2312"/>
          <w:sz w:val="32"/>
          <w:szCs w:val="32"/>
        </w:rPr>
        <w:t>+</w:t>
      </w:r>
      <w:r>
        <w:rPr>
          <w:rFonts w:hint="eastAsia" w:ascii="仿宋_GB2312" w:eastAsia="仿宋_GB2312" w:cs="仿宋_GB2312"/>
          <w:sz w:val="32"/>
          <w:szCs w:val="32"/>
        </w:rPr>
        <w:t>技术</w:t>
      </w:r>
      <w:r>
        <w:rPr>
          <w:rFonts w:ascii="仿宋_GB2312" w:eastAsia="仿宋_GB2312" w:cs="仿宋_GB2312"/>
          <w:sz w:val="32"/>
          <w:szCs w:val="32"/>
        </w:rPr>
        <w:t>+</w:t>
      </w:r>
      <w:r>
        <w:rPr>
          <w:rFonts w:hint="eastAsia" w:ascii="仿宋_GB2312" w:eastAsia="仿宋_GB2312" w:cs="仿宋_GB2312"/>
          <w:sz w:val="32"/>
          <w:szCs w:val="32"/>
        </w:rPr>
        <w:t>产业”融合招商，跟踪开展持续性深度对接，切实落实好“科技孵化器”项目</w:t>
      </w:r>
      <w:r>
        <w:rPr>
          <w:rFonts w:hint="eastAsia" w:ascii="仿宋_GB2312" w:eastAsia="仿宋_GB2312" w:cs="仿宋_GB2312"/>
          <w:sz w:val="32"/>
          <w:szCs w:val="32"/>
          <w:lang w:eastAsia="zh-CN"/>
        </w:rPr>
        <w:t>建设</w:t>
      </w:r>
      <w:r>
        <w:rPr>
          <w:rFonts w:hint="eastAsia" w:ascii="仿宋_GB2312" w:eastAsia="仿宋_GB2312" w:cs="仿宋_GB2312"/>
          <w:sz w:val="32"/>
          <w:szCs w:val="32"/>
        </w:rPr>
        <w:t>工作。对参与、引进亿元</w:t>
      </w:r>
      <w:r>
        <w:rPr>
          <w:rFonts w:hint="eastAsia" w:ascii="仿宋_GB2312" w:eastAsia="仿宋_GB2312" w:cs="仿宋_GB2312"/>
          <w:sz w:val="32"/>
          <w:szCs w:val="32"/>
          <w:lang w:eastAsia="zh-CN"/>
        </w:rPr>
        <w:t>以上</w:t>
      </w:r>
      <w:r>
        <w:rPr>
          <w:rFonts w:hint="eastAsia" w:ascii="仿宋_GB2312" w:eastAsia="仿宋_GB2312" w:cs="仿宋_GB2312"/>
          <w:sz w:val="32"/>
          <w:szCs w:val="32"/>
        </w:rPr>
        <w:t>投资战略性新兴产业项目的国家级人才库科技人员，</w:t>
      </w:r>
      <w:r>
        <w:rPr>
          <w:rFonts w:hint="eastAsia" w:ascii="仿宋_GB2312" w:eastAsia="仿宋_GB2312" w:cs="仿宋_GB2312"/>
          <w:color w:val="000000" w:themeColor="text1"/>
          <w:sz w:val="32"/>
          <w:szCs w:val="32"/>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“链主企业”或</w:t>
      </w:r>
      <w:r>
        <w:rPr>
          <w:rFonts w:hint="eastAsia" w:ascii="仿宋_GB2312" w:eastAsia="仿宋_GB2312" w:cs="仿宋_GB2312"/>
          <w:color w:val="000000" w:themeColor="text1"/>
          <w:sz w:val="32"/>
          <w:szCs w:val="32"/>
          <w14:textFill>
            <w14:solidFill>
              <w14:schemeClr w14:val="tx1"/>
            </w14:solidFill>
          </w14:textFill>
        </w:rPr>
        <w:t>“头部企业”投资项目</w:t>
      </w:r>
      <w:r>
        <w:rPr>
          <w:rFonts w:hint="eastAsia" w:ascii="仿宋_GB2312" w:eastAsia="仿宋_GB2312" w:cs="仿宋_GB2312"/>
          <w:color w:val="000000" w:themeColor="text1"/>
          <w:sz w:val="32"/>
          <w:szCs w:val="32"/>
          <w:lang w:eastAsia="zh-CN"/>
          <w14:textFill>
            <w14:solidFill>
              <w14:schemeClr w14:val="tx1"/>
            </w14:solidFill>
          </w14:textFill>
        </w:rPr>
        <w:t>负责人，</w:t>
      </w:r>
      <w:r>
        <w:rPr>
          <w:rFonts w:hint="eastAsia" w:ascii="仿宋_GB2312" w:eastAsia="仿宋_GB2312" w:cs="仿宋_GB2312"/>
          <w:color w:val="000000" w:themeColor="text1"/>
          <w:sz w:val="32"/>
          <w:szCs w:val="32"/>
          <w14:textFill>
            <w14:solidFill>
              <w14:schemeClr w14:val="tx1"/>
            </w14:solidFill>
          </w14:textFill>
        </w:rPr>
        <w:t>提供更加优</w:t>
      </w:r>
      <w:r>
        <w:rPr>
          <w:rFonts w:hint="eastAsia" w:ascii="仿宋_GB2312" w:eastAsia="仿宋_GB2312" w:cs="仿宋_GB2312"/>
          <w:sz w:val="32"/>
          <w:szCs w:val="32"/>
        </w:rPr>
        <w:t>惠的招才引智政策</w:t>
      </w:r>
      <w:r>
        <w:rPr>
          <w:rFonts w:hint="eastAsia" w:ascii="仿宋_GB2312" w:eastAsia="仿宋_GB2312" w:cs="仿宋_GB2312"/>
          <w:sz w:val="32"/>
          <w:szCs w:val="32"/>
          <w:lang w:eastAsia="zh-CN"/>
        </w:rPr>
        <w:t>、资金</w:t>
      </w:r>
      <w:r>
        <w:rPr>
          <w:rFonts w:hint="eastAsia" w:ascii="仿宋_GB2312" w:eastAsia="仿宋_GB2312" w:cs="仿宋_GB2312"/>
          <w:sz w:val="32"/>
          <w:szCs w:val="32"/>
        </w:rPr>
        <w:t>支持。</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六、实施委托招商。</w:t>
      </w:r>
      <w:r>
        <w:rPr>
          <w:rFonts w:hint="eastAsia" w:ascii="仿宋_GB2312" w:eastAsia="仿宋_GB2312" w:cs="黑体" w:hAnsiTheme="majorEastAsia"/>
          <w:sz w:val="32"/>
          <w:szCs w:val="32"/>
        </w:rPr>
        <w:t>组织开展</w:t>
      </w:r>
      <w:r>
        <w:rPr>
          <w:rFonts w:hint="eastAsia" w:ascii="仿宋_GB2312" w:hAnsi="宋体" w:eastAsia="仿宋_GB2312" w:cs="宋体"/>
          <w:kern w:val="0"/>
          <w:sz w:val="32"/>
          <w:szCs w:val="32"/>
        </w:rPr>
        <w:t>社会招商</w:t>
      </w:r>
      <w:r>
        <w:rPr>
          <w:rFonts w:hint="eastAsia" w:ascii="仿宋_GB2312" w:eastAsia="仿宋_GB2312" w:cs="仿宋_GB2312"/>
          <w:sz w:val="32"/>
          <w:szCs w:val="32"/>
        </w:rPr>
        <w:t>。县财政安排专项资金，通过市场化方式，分产业、分区域确立合作对象，实施</w:t>
      </w:r>
      <w:r>
        <w:rPr>
          <w:rFonts w:hint="eastAsia" w:ascii="仿宋_GB2312" w:hAnsi="宋体" w:eastAsia="仿宋_GB2312" w:cs="宋体"/>
          <w:kern w:val="0"/>
          <w:sz w:val="32"/>
          <w:szCs w:val="32"/>
        </w:rPr>
        <w:t>委托招商、代理招商</w:t>
      </w:r>
      <w:r>
        <w:rPr>
          <w:rFonts w:hint="eastAsia" w:ascii="仿宋_GB2312" w:eastAsia="仿宋_GB2312" w:cs="仿宋_GB2312"/>
          <w:sz w:val="32"/>
          <w:szCs w:val="32"/>
        </w:rPr>
        <w:t>等</w:t>
      </w:r>
      <w:r>
        <w:rPr>
          <w:rFonts w:hint="eastAsia" w:ascii="仿宋_GB2312" w:hAnsi="宋体" w:eastAsia="仿宋_GB2312" w:cs="宋体"/>
          <w:kern w:val="0"/>
          <w:sz w:val="32"/>
          <w:szCs w:val="32"/>
        </w:rPr>
        <w:t>有偿中介招商、</w:t>
      </w:r>
      <w:r>
        <w:rPr>
          <w:rFonts w:hint="eastAsia" w:ascii="仿宋_GB2312" w:eastAsia="仿宋_GB2312" w:cs="仿宋_GB2312"/>
          <w:sz w:val="32"/>
          <w:szCs w:val="32"/>
        </w:rPr>
        <w:t>专业化招商。健全完善数字招商云平台建设。通过与掌握大数据精准匹配手段的专业机构合作，有针对性筛选引资项目信息线索，精准化开展“网络招商”。推进霍邱经济开发区、</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w:t>
      </w:r>
      <w:r>
        <w:rPr>
          <w:rFonts w:hint="eastAsia" w:ascii="仿宋_GB2312" w:eastAsia="仿宋_GB2312"/>
          <w:sz w:val="32"/>
          <w:szCs w:val="32"/>
        </w:rPr>
        <w:t>长集现代农业</w:t>
      </w:r>
      <w:r>
        <w:rPr>
          <w:rFonts w:hint="eastAsia" w:ascii="仿宋_GB2312" w:eastAsia="仿宋_GB2312"/>
          <w:sz w:val="32"/>
          <w:szCs w:val="32"/>
          <w:lang w:eastAsia="zh-CN"/>
        </w:rPr>
        <w:t>产业园</w:t>
      </w:r>
      <w:r>
        <w:rPr>
          <w:rFonts w:hint="eastAsia" w:ascii="仿宋_GB2312" w:eastAsia="仿宋_GB2312" w:cs="仿宋_GB2312"/>
          <w:sz w:val="32"/>
          <w:szCs w:val="32"/>
        </w:rPr>
        <w:t>与有品牌、有实力的专业园区运营机构加强合作，按照“政府主导、企业主体、专业运营”模式，有的放矢引项目，量体裁衣做配套。</w:t>
      </w:r>
      <w:r>
        <w:rPr>
          <w:rFonts w:ascii="仿宋_GB2312" w:eastAsia="仿宋_GB2312" w:cs="仿宋_GB2312"/>
          <w:sz w:val="32"/>
          <w:szCs w:val="32"/>
        </w:rPr>
        <w:t>2021</w:t>
      </w:r>
      <w:r>
        <w:rPr>
          <w:rFonts w:hint="eastAsia" w:ascii="仿宋_GB2312" w:eastAsia="仿宋_GB2312" w:cs="仿宋_GB2312"/>
          <w:sz w:val="32"/>
          <w:szCs w:val="32"/>
        </w:rPr>
        <w:t>年底前，</w:t>
      </w:r>
      <w:r>
        <w:rPr>
          <w:rFonts w:hint="eastAsia" w:ascii="仿宋_GB2312" w:eastAsia="仿宋_GB2312" w:cs="仿宋_GB2312"/>
          <w:sz w:val="32"/>
          <w:szCs w:val="32"/>
          <w:lang w:eastAsia="zh-CN"/>
        </w:rPr>
        <w:t>霍邱</w:t>
      </w:r>
      <w:r>
        <w:rPr>
          <w:rFonts w:hint="eastAsia" w:ascii="仿宋_GB2312" w:eastAsia="仿宋_GB2312" w:cs="仿宋_GB2312"/>
          <w:sz w:val="32"/>
          <w:szCs w:val="32"/>
        </w:rPr>
        <w:t>经济开发区、</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现代产业园至少与</w:t>
      </w:r>
      <w:r>
        <w:rPr>
          <w:rFonts w:ascii="仿宋_GB2312" w:eastAsia="仿宋_GB2312" w:cs="仿宋_GB2312"/>
          <w:sz w:val="32"/>
          <w:szCs w:val="32"/>
        </w:rPr>
        <w:t>1</w:t>
      </w:r>
      <w:r>
        <w:rPr>
          <w:rFonts w:hint="eastAsia" w:ascii="仿宋_GB2312" w:eastAsia="仿宋_GB2312" w:cs="仿宋_GB2312"/>
          <w:sz w:val="32"/>
          <w:szCs w:val="32"/>
        </w:rPr>
        <w:t>家专业招商运营机构达成合作，实现有新项目</w:t>
      </w:r>
      <w:r>
        <w:rPr>
          <w:rFonts w:hint="eastAsia" w:ascii="仿宋_GB2312" w:eastAsia="仿宋_GB2312" w:cs="仿宋_GB2312"/>
          <w:sz w:val="32"/>
          <w:szCs w:val="32"/>
          <w:lang w:eastAsia="zh-CN"/>
        </w:rPr>
        <w:t>引进</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七、强化以商招商。</w:t>
      </w:r>
      <w:r>
        <w:rPr>
          <w:rFonts w:hint="eastAsia" w:ascii="仿宋_GB2312" w:hAnsi="仿宋_GB2312" w:eastAsia="仿宋_GB2312" w:cs="仿宋_GB2312"/>
          <w:spacing w:val="-3"/>
          <w:sz w:val="32"/>
          <w:szCs w:val="32"/>
        </w:rPr>
        <w:t>围绕重点产业，引导成立县、乡行业协会商会，建立健全相关</w:t>
      </w:r>
      <w:r>
        <w:rPr>
          <w:rFonts w:hint="eastAsia" w:ascii="仿宋_GB2312" w:hAnsi="仿宋_GB2312" w:eastAsia="仿宋_GB2312" w:cs="仿宋_GB2312"/>
          <w:sz w:val="32"/>
          <w:szCs w:val="32"/>
        </w:rPr>
        <w:t>工作体制机制，切实发挥行业协会商会在“双招双引”中的内引外联作用。</w:t>
      </w:r>
      <w:r>
        <w:rPr>
          <w:rFonts w:hint="eastAsia" w:ascii="仿宋_GB2312" w:eastAsia="仿宋_GB2312" w:cs="仿宋_GB2312"/>
          <w:sz w:val="32"/>
          <w:szCs w:val="32"/>
        </w:rPr>
        <w:t>立足已落户项目，筛选一批具有较强市场影响力和行业号召力的优质企业，引导企业围绕自身供应链、价值链、创新链，引荐产业链上下游、配套及关联企业落户霍邱，并给予项目引资人一定奖励。霍邱经济开发区、</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w:t>
      </w:r>
      <w:r>
        <w:rPr>
          <w:rFonts w:hint="eastAsia" w:ascii="仿宋_GB2312" w:eastAsia="仿宋_GB2312"/>
          <w:sz w:val="32"/>
          <w:szCs w:val="32"/>
        </w:rPr>
        <w:t>长集现代农业</w:t>
      </w:r>
      <w:r>
        <w:rPr>
          <w:rFonts w:hint="eastAsia" w:ascii="仿宋_GB2312" w:eastAsia="仿宋_GB2312"/>
          <w:sz w:val="32"/>
          <w:szCs w:val="32"/>
          <w:lang w:eastAsia="zh-CN"/>
        </w:rPr>
        <w:t>产业园</w:t>
      </w:r>
      <w:r>
        <w:rPr>
          <w:rFonts w:hint="eastAsia" w:ascii="仿宋_GB2312" w:eastAsia="仿宋_GB2312" w:cs="仿宋_GB2312"/>
          <w:sz w:val="32"/>
          <w:szCs w:val="32"/>
        </w:rPr>
        <w:t>要认真梳理园区内规上工业企业资金、技术以及产学研计划等外部合作需求，形成《规上工业企业招商合作意向汇编》，按季度会同企业外出对接，确保年度内完成意向招商合作目标的全部对接。鼓励企业以增资扩产、技术改造、市场融资、股权并购等方式，做大企业规模，做优产业特色。</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eastAsia="仿宋_GB2312" w:cs="Times New Roman"/>
          <w:sz w:val="32"/>
          <w:szCs w:val="32"/>
        </w:rPr>
      </w:pPr>
      <w:r>
        <w:rPr>
          <w:rFonts w:hint="eastAsia" w:ascii="黑体" w:hAnsi="黑体" w:eastAsia="黑体" w:cs="黑体"/>
          <w:color w:val="000000" w:themeColor="text1"/>
          <w:sz w:val="32"/>
          <w:szCs w:val="32"/>
          <w14:textFill>
            <w14:solidFill>
              <w14:schemeClr w14:val="tx1"/>
            </w14:solidFill>
          </w14:textFill>
        </w:rPr>
        <w:t>八、建立</w:t>
      </w:r>
      <w:r>
        <w:rPr>
          <w:rFonts w:hint="eastAsia" w:ascii="黑体" w:hAnsi="黑体" w:eastAsia="黑体" w:cs="黑体"/>
          <w:sz w:val="32"/>
          <w:szCs w:val="32"/>
        </w:rPr>
        <w:t>项目推进机制。</w:t>
      </w:r>
      <w:r>
        <w:rPr>
          <w:rFonts w:hint="eastAsia" w:ascii="仿宋_GB2312" w:eastAsia="仿宋_GB2312" w:cs="仿宋_GB2312"/>
          <w:sz w:val="32"/>
          <w:szCs w:val="32"/>
        </w:rPr>
        <w:t>严格执行招商项目预审制度，优化跟进考察、</w:t>
      </w:r>
      <w:r>
        <w:rPr>
          <w:rFonts w:hint="eastAsia" w:ascii="仿宋_GB2312" w:eastAsia="仿宋_GB2312"/>
          <w:sz w:val="32"/>
          <w:szCs w:val="32"/>
        </w:rPr>
        <w:t>会商评估、</w:t>
      </w:r>
      <w:r>
        <w:rPr>
          <w:rFonts w:hint="eastAsia" w:ascii="仿宋_GB2312" w:eastAsia="仿宋_GB2312" w:cs="仿宋_GB2312"/>
          <w:sz w:val="32"/>
          <w:szCs w:val="32"/>
        </w:rPr>
        <w:t>法制审查、集体决策、推进实施的项目流程；进一步提升项目对接洽谈、行政审批、如期履约的质量与效率。强化项目帮办服务力度，推行项目服务限时办结制度，加快项目实施进程。对拟需县级给予政策或协调推进的重大招商项目，由县</w:t>
      </w:r>
      <w:r>
        <w:rPr>
          <w:rFonts w:hint="eastAsia" w:ascii="仿宋_GB2312" w:eastAsia="仿宋_GB2312" w:cs="仿宋_GB2312"/>
          <w:sz w:val="32"/>
          <w:szCs w:val="32"/>
          <w:lang w:eastAsia="zh-CN"/>
        </w:rPr>
        <w:t>委县政府</w:t>
      </w:r>
      <w:r>
        <w:rPr>
          <w:rFonts w:hint="eastAsia" w:ascii="仿宋_GB2312" w:eastAsia="仿宋_GB2312" w:cs="仿宋_GB2312"/>
          <w:sz w:val="32"/>
          <w:szCs w:val="32"/>
        </w:rPr>
        <w:t>主要领导或牵头分管县领导专题督办，自项目线索获得之日起</w:t>
      </w:r>
      <w:r>
        <w:rPr>
          <w:rFonts w:ascii="仿宋_GB2312" w:eastAsia="仿宋_GB2312" w:cs="仿宋_GB2312"/>
          <w:sz w:val="32"/>
          <w:szCs w:val="32"/>
        </w:rPr>
        <w:t>10</w:t>
      </w:r>
      <w:r>
        <w:rPr>
          <w:rFonts w:hint="eastAsia" w:ascii="仿宋_GB2312" w:eastAsia="仿宋_GB2312" w:cs="仿宋_GB2312"/>
          <w:sz w:val="32"/>
          <w:szCs w:val="32"/>
        </w:rPr>
        <w:t>个工作日内跟进考察，</w:t>
      </w:r>
      <w:r>
        <w:rPr>
          <w:rFonts w:ascii="仿宋_GB2312" w:eastAsia="仿宋_GB2312" w:cs="仿宋_GB2312"/>
          <w:sz w:val="32"/>
          <w:szCs w:val="32"/>
        </w:rPr>
        <w:t>20</w:t>
      </w:r>
      <w:r>
        <w:rPr>
          <w:rFonts w:hint="eastAsia" w:ascii="仿宋_GB2312" w:eastAsia="仿宋_GB2312" w:cs="仿宋_GB2312"/>
          <w:sz w:val="32"/>
          <w:szCs w:val="32"/>
        </w:rPr>
        <w:t>个工作日内完成初步评估论证并提交审议；对预审通过拟签约项目，由项目引资单位与落户地联合负责在</w:t>
      </w:r>
      <w:r>
        <w:rPr>
          <w:rFonts w:ascii="仿宋_GB2312" w:eastAsia="仿宋_GB2312" w:cs="仿宋_GB2312"/>
          <w:sz w:val="32"/>
          <w:szCs w:val="32"/>
        </w:rPr>
        <w:t>7</w:t>
      </w:r>
      <w:r>
        <w:rPr>
          <w:rFonts w:hint="eastAsia" w:ascii="仿宋_GB2312" w:eastAsia="仿宋_GB2312" w:cs="仿宋_GB2312"/>
          <w:sz w:val="32"/>
          <w:szCs w:val="32"/>
        </w:rPr>
        <w:t>个工作日内完成</w:t>
      </w:r>
      <w:r>
        <w:rPr>
          <w:rFonts w:hint="eastAsia" w:ascii="仿宋_GB2312" w:eastAsia="仿宋_GB2312" w:cs="仿宋_GB2312"/>
          <w:sz w:val="32"/>
          <w:szCs w:val="32"/>
          <w:lang w:eastAsia="zh-CN"/>
        </w:rPr>
        <w:t>合同文本制定，经司法行政部门在</w:t>
      </w:r>
      <w:r>
        <w:rPr>
          <w:rFonts w:hint="eastAsia" w:ascii="仿宋_GB2312" w:eastAsia="仿宋_GB2312" w:cs="仿宋_GB2312"/>
          <w:sz w:val="32"/>
          <w:szCs w:val="32"/>
          <w:lang w:val="en-US" w:eastAsia="zh-CN"/>
        </w:rPr>
        <w:t>7个工作日内完成合法性审查后，</w:t>
      </w:r>
      <w:r>
        <w:rPr>
          <w:rFonts w:hint="eastAsia" w:ascii="仿宋_GB2312" w:eastAsia="仿宋_GB2312" w:cs="仿宋_GB2312"/>
          <w:sz w:val="32"/>
          <w:szCs w:val="32"/>
        </w:rPr>
        <w:t>及时签订投资协议；供地、规划、施工、环评、安评、能评、消防等审批手续由县数管局纳入审批服务大厅统一推进。对一般性中小加工制造业入驻标准化厂房项目简化程序，项目只需符合国家产业政策、环境评价、节能审查、安全生产等要求，即可签约落地。各项目落地单位要在依法履行合同承诺的同时，加大对企业履约监管，推动项目按约落地、投产、达效。</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Helvetica" w:eastAsia="仿宋_GB2312" w:cs="仿宋_GB2312"/>
          <w:kern w:val="0"/>
          <w:sz w:val="32"/>
          <w:szCs w:val="32"/>
        </w:rPr>
      </w:pPr>
      <w:r>
        <w:rPr>
          <w:rFonts w:hint="eastAsia" w:ascii="黑体" w:hAnsi="黑体" w:eastAsia="黑体" w:cs="黑体"/>
          <w:sz w:val="32"/>
          <w:szCs w:val="32"/>
        </w:rPr>
        <w:t>九、提升政策</w:t>
      </w:r>
      <w:r>
        <w:rPr>
          <w:rFonts w:hint="eastAsia" w:ascii="黑体" w:hAnsi="Helvetica" w:eastAsia="黑体" w:cs="黑体"/>
          <w:kern w:val="0"/>
          <w:sz w:val="32"/>
          <w:szCs w:val="32"/>
        </w:rPr>
        <w:t>资金</w:t>
      </w:r>
      <w:r>
        <w:rPr>
          <w:rFonts w:hint="eastAsia" w:ascii="黑体" w:hAnsi="黑体" w:eastAsia="黑体" w:cs="黑体"/>
          <w:sz w:val="32"/>
          <w:szCs w:val="32"/>
        </w:rPr>
        <w:t>效应。</w:t>
      </w:r>
      <w:r>
        <w:rPr>
          <w:rFonts w:hint="eastAsia" w:ascii="仿宋_GB2312" w:hAnsi="Helvetica" w:eastAsia="仿宋_GB2312" w:cs="仿宋_GB2312"/>
          <w:kern w:val="0"/>
          <w:sz w:val="32"/>
          <w:szCs w:val="32"/>
        </w:rPr>
        <w:t>认真贯彻落实</w:t>
      </w:r>
      <w:r>
        <w:rPr>
          <w:rFonts w:hint="eastAsia" w:ascii="仿宋_GB2312" w:hAnsi="宋体" w:eastAsia="仿宋_GB2312" w:cs="仿宋_GB2312"/>
          <w:kern w:val="0"/>
          <w:sz w:val="32"/>
          <w:szCs w:val="32"/>
        </w:rPr>
        <w:t>国家、省、市出台的结构性减税、普遍性降费、财政性奖励等</w:t>
      </w:r>
      <w:r>
        <w:rPr>
          <w:rFonts w:hint="eastAsia" w:ascii="仿宋_GB2312" w:hAnsi="Helvetica" w:eastAsia="仿宋_GB2312" w:cs="仿宋_GB2312"/>
          <w:kern w:val="0"/>
          <w:sz w:val="32"/>
          <w:szCs w:val="32"/>
        </w:rPr>
        <w:t>优惠政策，积极协助开工建设项目办理有关税费减免手续，</w:t>
      </w:r>
      <w:r>
        <w:rPr>
          <w:rFonts w:hint="eastAsia" w:ascii="仿宋_GB2312" w:hAnsi="宋体" w:eastAsia="仿宋_GB2312" w:cs="仿宋_GB2312"/>
          <w:sz w:val="32"/>
          <w:szCs w:val="32"/>
        </w:rPr>
        <w:t>对涉及的税收、行政事业性收费按减免规定执行到位，</w:t>
      </w:r>
      <w:r>
        <w:rPr>
          <w:rFonts w:hint="eastAsia" w:ascii="仿宋_GB2312" w:hAnsi="宋体" w:eastAsia="仿宋_GB2312" w:cs="仿宋_GB2312"/>
          <w:kern w:val="0"/>
          <w:sz w:val="32"/>
          <w:szCs w:val="32"/>
        </w:rPr>
        <w:t>降低企业经营成本。切实加强财政资金支持力度，</w:t>
      </w:r>
      <w:r>
        <w:rPr>
          <w:rFonts w:hint="eastAsia" w:ascii="仿宋_GB2312" w:hAnsi="Helvetica" w:eastAsia="仿宋_GB2312" w:cs="仿宋_GB2312"/>
          <w:kern w:val="0"/>
          <w:sz w:val="32"/>
          <w:szCs w:val="32"/>
        </w:rPr>
        <w:t>县财政每年安排</w:t>
      </w:r>
      <w:r>
        <w:rPr>
          <w:rFonts w:ascii="仿宋_GB2312" w:hAnsi="Helvetica" w:eastAsia="仿宋_GB2312" w:cs="仿宋_GB2312"/>
          <w:kern w:val="0"/>
          <w:sz w:val="32"/>
          <w:szCs w:val="32"/>
        </w:rPr>
        <w:t>5000</w:t>
      </w:r>
      <w:r>
        <w:rPr>
          <w:rFonts w:hint="eastAsia" w:ascii="仿宋_GB2312" w:hAnsi="Helvetica" w:eastAsia="仿宋_GB2312" w:cs="仿宋_GB2312"/>
          <w:kern w:val="0"/>
          <w:sz w:val="32"/>
          <w:szCs w:val="32"/>
        </w:rPr>
        <w:t>万元以上的招商引资专项资金，支持符合国家产业政策、绿色循环发展、优化产业结构、延伸产业链条、引智工程项目的奖励，以</w:t>
      </w:r>
      <w:r>
        <w:rPr>
          <w:rFonts w:hint="eastAsia" w:ascii="仿宋_GB2312" w:hAnsi="微软雅黑" w:eastAsia="仿宋_GB2312" w:cs="仿宋_GB2312"/>
          <w:sz w:val="32"/>
          <w:szCs w:val="32"/>
        </w:rPr>
        <w:t>撬动重大项目落地实施。</w:t>
      </w:r>
      <w:r>
        <w:rPr>
          <w:rFonts w:hint="eastAsia" w:ascii="仿宋_GB2312" w:hAnsi="Helvetica" w:eastAsia="仿宋_GB2312" w:cs="仿宋_GB2312"/>
          <w:kern w:val="0"/>
          <w:sz w:val="32"/>
          <w:szCs w:val="32"/>
        </w:rPr>
        <w:t>按照项目固定投资强度或对地方财政贡献额，奖励扶持带动</w:t>
      </w:r>
      <w:r>
        <w:rPr>
          <w:rFonts w:hint="eastAsia" w:ascii="仿宋_GB2312" w:hAnsi="微软雅黑" w:eastAsia="仿宋_GB2312" w:cs="仿宋_GB2312"/>
          <w:kern w:val="0"/>
          <w:sz w:val="32"/>
          <w:szCs w:val="32"/>
        </w:rPr>
        <w:t>县域经济发展的招商引资项目。对牵动性强的优质</w:t>
      </w:r>
      <w:r>
        <w:rPr>
          <w:rFonts w:hint="eastAsia" w:ascii="仿宋_GB2312" w:hAnsi="宋体" w:eastAsia="仿宋_GB2312" w:cs="仿宋_GB2312"/>
          <w:kern w:val="0"/>
          <w:sz w:val="32"/>
          <w:szCs w:val="32"/>
        </w:rPr>
        <w:t>产业投资项目</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sz w:val="32"/>
          <w:szCs w:val="32"/>
        </w:rPr>
        <w:t>可视投资规模或财政贡献度等情况，实行“一事一议”</w:t>
      </w:r>
      <w:r>
        <w:rPr>
          <w:rFonts w:hint="eastAsia" w:ascii="仿宋_GB2312" w:hAnsi="宋体" w:eastAsia="仿宋_GB2312" w:cs="仿宋_GB2312"/>
          <w:sz w:val="32"/>
          <w:szCs w:val="32"/>
          <w:lang w:eastAsia="zh-CN"/>
        </w:rPr>
        <w:t>；对拥有超百亿固定资产的企业集团总部搬迁到霍邱县内落户的，享受特别优惠政策支持。</w:t>
      </w:r>
      <w:r>
        <w:rPr>
          <w:rFonts w:hint="eastAsia" w:ascii="仿宋_GB2312" w:hAnsi="宋体" w:eastAsia="仿宋_GB2312" w:cs="仿宋_GB2312"/>
          <w:kern w:val="0"/>
          <w:sz w:val="32"/>
          <w:szCs w:val="32"/>
          <w:shd w:val="clear" w:color="auto" w:fill="FFFFFF"/>
        </w:rPr>
        <w:t>强化</w:t>
      </w:r>
      <w:r>
        <w:rPr>
          <w:rFonts w:hint="eastAsia" w:ascii="仿宋_GB2312" w:hAnsi="Helvetica" w:eastAsia="仿宋_GB2312" w:cs="仿宋_GB2312"/>
          <w:kern w:val="0"/>
          <w:sz w:val="32"/>
          <w:szCs w:val="32"/>
        </w:rPr>
        <w:t>县级招商</w:t>
      </w:r>
      <w:r>
        <w:rPr>
          <w:rFonts w:hint="eastAsia" w:ascii="仿宋_GB2312" w:hAnsi="宋体" w:eastAsia="仿宋_GB2312" w:cs="仿宋_GB2312"/>
          <w:kern w:val="0"/>
          <w:sz w:val="32"/>
          <w:szCs w:val="32"/>
        </w:rPr>
        <w:t>项目研发宣传推介费用及</w:t>
      </w:r>
      <w:r>
        <w:rPr>
          <w:rFonts w:hint="eastAsia" w:ascii="仿宋_GB2312" w:hAnsi="Helvetica" w:eastAsia="仿宋_GB2312" w:cs="仿宋_GB2312"/>
          <w:kern w:val="0"/>
          <w:sz w:val="32"/>
          <w:szCs w:val="32"/>
        </w:rPr>
        <w:t>智库建设保障，</w:t>
      </w:r>
      <w:r>
        <w:rPr>
          <w:rFonts w:hint="eastAsia" w:ascii="仿宋_GB2312" w:hAnsi="宋体" w:eastAsia="仿宋_GB2312" w:cs="仿宋_GB2312"/>
          <w:kern w:val="0"/>
          <w:sz w:val="32"/>
          <w:szCs w:val="32"/>
          <w:shd w:val="clear" w:color="auto" w:fill="FFFFFF"/>
        </w:rPr>
        <w:t>支持</w:t>
      </w:r>
      <w:r>
        <w:rPr>
          <w:rFonts w:hint="eastAsia" w:ascii="仿宋_GB2312" w:hAnsi="Helvetica" w:eastAsia="仿宋_GB2312" w:cs="仿宋_GB2312"/>
          <w:kern w:val="0"/>
          <w:sz w:val="32"/>
          <w:szCs w:val="32"/>
        </w:rPr>
        <w:t>乡镇、园区</w:t>
      </w:r>
      <w:r>
        <w:rPr>
          <w:rFonts w:hint="eastAsia" w:ascii="仿宋_GB2312" w:hAnsi="宋体" w:eastAsia="仿宋_GB2312" w:cs="宋体"/>
          <w:kern w:val="0"/>
          <w:sz w:val="32"/>
          <w:szCs w:val="32"/>
          <w:shd w:val="clear" w:color="auto" w:fill="FFFFFF"/>
        </w:rPr>
        <w:t>将招商引资奖励资金及工作经费列入</w:t>
      </w:r>
      <w:r>
        <w:rPr>
          <w:rFonts w:hint="eastAsia" w:ascii="仿宋_GB2312" w:hAnsi="宋体" w:eastAsia="仿宋_GB2312" w:cs="宋体"/>
          <w:kern w:val="0"/>
          <w:sz w:val="32"/>
          <w:szCs w:val="32"/>
          <w:shd w:val="clear" w:color="auto" w:fill="FFFFFF"/>
          <w:lang w:eastAsia="zh-CN"/>
        </w:rPr>
        <w:t>本级</w:t>
      </w:r>
      <w:r>
        <w:rPr>
          <w:rFonts w:hint="eastAsia" w:ascii="仿宋_GB2312" w:hAnsi="宋体" w:eastAsia="仿宋_GB2312" w:cs="宋体"/>
          <w:kern w:val="0"/>
          <w:sz w:val="32"/>
          <w:szCs w:val="32"/>
          <w:shd w:val="clear" w:color="auto" w:fill="FFFFFF"/>
        </w:rPr>
        <w:t>财政预算或追加年度预算，及时</w:t>
      </w:r>
      <w:r>
        <w:rPr>
          <w:rFonts w:hint="eastAsia" w:ascii="仿宋_GB2312" w:hAnsi="Helvetica" w:eastAsia="仿宋_GB2312" w:cs="仿宋_GB2312"/>
          <w:kern w:val="0"/>
          <w:sz w:val="32"/>
          <w:szCs w:val="32"/>
        </w:rPr>
        <w:t>兑现招商引资优惠政策和引资人奖励。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textAlignment w:val="auto"/>
        <w:rPr>
          <w:rFonts w:ascii="仿宋_GB2312" w:hAnsi="Helvetica" w:eastAsia="仿宋_GB2312" w:cs="Arial"/>
          <w:kern w:val="0"/>
          <w:sz w:val="32"/>
          <w:szCs w:val="32"/>
        </w:rPr>
      </w:pPr>
      <w:r>
        <w:rPr>
          <w:rFonts w:hint="eastAsia" w:ascii="黑体" w:hAnsi="黑体" w:eastAsia="黑体" w:cs="黑体"/>
          <w:sz w:val="32"/>
          <w:szCs w:val="32"/>
        </w:rPr>
        <w:t>十、提升产业集聚功能。</w:t>
      </w:r>
      <w:r>
        <w:rPr>
          <w:rFonts w:hint="eastAsia" w:ascii="仿宋_GB2312" w:hAnsi="黑体" w:eastAsia="仿宋_GB2312" w:cs="黑体"/>
          <w:sz w:val="32"/>
          <w:szCs w:val="32"/>
        </w:rPr>
        <w:t>加强产业投资平台建设，</w:t>
      </w:r>
      <w:r>
        <w:rPr>
          <w:rFonts w:hint="eastAsia" w:ascii="仿宋_GB2312" w:hAnsi="仿宋_GB2312" w:eastAsia="仿宋_GB2312" w:cs="仿宋_GB2312"/>
          <w:sz w:val="32"/>
          <w:szCs w:val="32"/>
        </w:rPr>
        <w:t>推进产业高质量集聚发展。进一步筑牢“121”四大平台，重点发展铁基新材料产业集群，聚力打造千亿级霍邱经济开发区、双百亿级合肥高新区霍邱现代产业园和百亿级长集农产品精深加工产业园等平台。霍邱经济开发区力促宝武集团新材料产业园、六钢</w:t>
      </w:r>
      <w:r>
        <w:rPr>
          <w:rFonts w:hint="eastAsia" w:ascii="仿宋_GB2312" w:eastAsia="仿宋_GB2312" w:cs="仿宋_GB2312"/>
          <w:sz w:val="32"/>
          <w:szCs w:val="32"/>
        </w:rPr>
        <w:t>中厚板材连铸和高强度机械用钢等</w:t>
      </w:r>
      <w:r>
        <w:rPr>
          <w:rFonts w:hint="eastAsia" w:ascii="仿宋_GB2312" w:hAnsi="仿宋_GB2312" w:eastAsia="仿宋_GB2312" w:cs="仿宋_GB2312"/>
          <w:sz w:val="32"/>
          <w:szCs w:val="32"/>
        </w:rPr>
        <w:t>系列项目落地建设，延伸铁矿产业链条。合肥高新区霍邱现代产业园加快雷利电机、杭科光电、锂离子储能电池等项目建设进度，促进电子信息产业园、高新创业园建成投入使用。长集现代农业</w:t>
      </w:r>
      <w:r>
        <w:rPr>
          <w:rFonts w:hint="eastAsia" w:ascii="仿宋_GB2312" w:hAnsi="仿宋_GB2312" w:eastAsia="仿宋_GB2312" w:cs="仿宋_GB2312"/>
          <w:sz w:val="32"/>
          <w:szCs w:val="32"/>
          <w:lang w:eastAsia="zh-CN"/>
        </w:rPr>
        <w:t>产业园</w:t>
      </w:r>
      <w:r>
        <w:rPr>
          <w:rFonts w:hint="eastAsia" w:ascii="仿宋_GB2312" w:hAnsi="仿宋_GB2312" w:eastAsia="仿宋_GB2312" w:cs="仿宋_GB2312"/>
          <w:sz w:val="32"/>
          <w:szCs w:val="32"/>
        </w:rPr>
        <w:t>大力培育优质农产品品牌企业，重点推动雨润</w:t>
      </w:r>
      <w:r>
        <w:rPr>
          <w:rFonts w:hint="eastAsia" w:ascii="仿宋_GB2312" w:hAnsi="仿宋_GB2312" w:eastAsia="仿宋_GB2312" w:cs="仿宋_GB2312"/>
          <w:sz w:val="32"/>
          <w:szCs w:val="32"/>
          <w:lang w:eastAsia="zh-CN"/>
        </w:rPr>
        <w:t>食品</w:t>
      </w:r>
      <w:r>
        <w:rPr>
          <w:rFonts w:hint="eastAsia" w:ascii="仿宋_GB2312" w:hAnsi="仿宋_GB2312" w:eastAsia="仿宋_GB2312" w:cs="仿宋_GB2312"/>
          <w:sz w:val="32"/>
          <w:szCs w:val="32"/>
        </w:rPr>
        <w:t>系列项目，着力加快鹅肥肝、小龙虾食品项目提速提质，积极引进全产业链加工龙头企业入驻。进一步提升冯井资源循环化利用产业园、和居家俱产业园、龙潭纺织产业园承载能力，推动项目产生集聚效应，促进返乡创业做大做强。加强招商项目用地储备，切实</w:t>
      </w:r>
      <w:r>
        <w:rPr>
          <w:rFonts w:hint="eastAsia" w:ascii="仿宋_GB2312" w:eastAsia="仿宋_GB2312"/>
          <w:sz w:val="32"/>
          <w:szCs w:val="32"/>
        </w:rPr>
        <w:t>提高项目用地效率。</w:t>
      </w:r>
      <w:r>
        <w:rPr>
          <w:rFonts w:hint="eastAsia" w:ascii="仿宋_GB2312" w:hAnsi="Helvetica" w:eastAsia="仿宋_GB2312" w:cs="Arial"/>
          <w:kern w:val="0"/>
          <w:sz w:val="32"/>
          <w:szCs w:val="32"/>
        </w:rPr>
        <w:t>县工业投资公司每年为工业园区基础设施建设筹集资金2亿元，支持</w:t>
      </w:r>
      <w:r>
        <w:rPr>
          <w:rFonts w:hint="eastAsia" w:ascii="仿宋_GB2312" w:hAnsi="Helvetica" w:eastAsia="仿宋_GB2312" w:cs="Arial"/>
          <w:kern w:val="0"/>
          <w:sz w:val="32"/>
          <w:szCs w:val="32"/>
          <w:lang w:eastAsia="zh-CN"/>
        </w:rPr>
        <w:t>县级、乡镇</w:t>
      </w:r>
      <w:r>
        <w:rPr>
          <w:rFonts w:hint="eastAsia" w:ascii="仿宋_GB2312" w:hAnsi="Helvetica" w:eastAsia="仿宋_GB2312" w:cs="Arial"/>
          <w:kern w:val="0"/>
          <w:sz w:val="32"/>
          <w:szCs w:val="32"/>
        </w:rPr>
        <w:t>产业集聚区加强招商项目区通水、通电、通路和土地平整等配套设施建设，为招商项目提供承载基础和支撑条件。</w:t>
      </w:r>
      <w:r>
        <w:rPr>
          <w:rFonts w:hint="eastAsia" w:ascii="仿宋_GB2312" w:eastAsia="仿宋_GB2312"/>
          <w:sz w:val="32"/>
          <w:szCs w:val="32"/>
        </w:rPr>
        <w:t>霍邱</w:t>
      </w:r>
      <w:r>
        <w:rPr>
          <w:rFonts w:hint="eastAsia" w:ascii="仿宋_GB2312" w:eastAsia="仿宋_GB2312" w:cs="仿宋_GB2312"/>
          <w:sz w:val="32"/>
          <w:szCs w:val="32"/>
        </w:rPr>
        <w:t>经济开发区、</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w:t>
      </w:r>
      <w:r>
        <w:rPr>
          <w:rFonts w:hint="eastAsia" w:ascii="仿宋_GB2312" w:eastAsia="仿宋_GB2312"/>
          <w:sz w:val="32"/>
          <w:szCs w:val="32"/>
        </w:rPr>
        <w:t>长集现代农业</w:t>
      </w:r>
      <w:r>
        <w:rPr>
          <w:rFonts w:hint="eastAsia" w:ascii="仿宋_GB2312" w:eastAsia="仿宋_GB2312"/>
          <w:sz w:val="32"/>
          <w:szCs w:val="32"/>
          <w:lang w:eastAsia="zh-CN"/>
        </w:rPr>
        <w:t>产业园</w:t>
      </w:r>
      <w:r>
        <w:rPr>
          <w:rFonts w:hint="eastAsia" w:ascii="仿宋_GB2312" w:eastAsia="仿宋_GB2312"/>
          <w:sz w:val="32"/>
          <w:szCs w:val="32"/>
        </w:rPr>
        <w:t>、</w:t>
      </w:r>
      <w:r>
        <w:rPr>
          <w:rFonts w:hint="eastAsia" w:ascii="仿宋_GB2312" w:hAnsi="仿宋_GB2312" w:eastAsia="仿宋_GB2312" w:cs="仿宋_GB2312"/>
          <w:sz w:val="32"/>
          <w:szCs w:val="32"/>
        </w:rPr>
        <w:t>冯井资源循环化利用产业园应充分利用国家支持承接产业集聚区的土地政策优势，</w:t>
      </w:r>
      <w:r>
        <w:rPr>
          <w:rFonts w:hint="eastAsia" w:ascii="仿宋_GB2312" w:eastAsia="仿宋_GB2312" w:cs="仿宋_GB2312"/>
          <w:sz w:val="32"/>
          <w:szCs w:val="32"/>
        </w:rPr>
        <w:t>通过政府主导、社会参与等方式，探索国有投资公司实施或参股开发工业地产，改造、新建一批小微企业园。</w:t>
      </w:r>
      <w:r>
        <w:rPr>
          <w:rFonts w:ascii="仿宋_GB2312" w:eastAsia="仿宋_GB2312" w:cs="仿宋_GB2312"/>
          <w:sz w:val="32"/>
          <w:szCs w:val="32"/>
        </w:rPr>
        <w:t>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年底前新建面积不少于2</w:t>
      </w:r>
      <w:r>
        <w:rPr>
          <w:rFonts w:ascii="仿宋_GB2312" w:eastAsia="仿宋_GB2312" w:cs="仿宋_GB2312"/>
          <w:sz w:val="32"/>
          <w:szCs w:val="32"/>
        </w:rPr>
        <w:t>0</w:t>
      </w:r>
      <w:r>
        <w:rPr>
          <w:rFonts w:hint="eastAsia" w:ascii="仿宋_GB2312" w:eastAsia="仿宋_GB2312" w:cs="仿宋_GB2312"/>
          <w:sz w:val="32"/>
          <w:szCs w:val="32"/>
        </w:rPr>
        <w:t>万平米标准化厂房，作为科技、研发等产业项目“孵化器”，解决小微企业项目落地问题。对新引进亿元以下非主导产业配套项目，</w:t>
      </w:r>
      <w:r>
        <w:rPr>
          <w:rFonts w:hint="eastAsia" w:ascii="仿宋_GB2312" w:eastAsia="仿宋_GB2312"/>
          <w:sz w:val="32"/>
          <w:szCs w:val="32"/>
        </w:rPr>
        <w:t>原则上不再单独供地，</w:t>
      </w:r>
      <w:r>
        <w:rPr>
          <w:rFonts w:hint="eastAsia" w:ascii="仿宋_GB2312" w:eastAsia="仿宋_GB2312" w:cs="仿宋_GB2312"/>
          <w:sz w:val="32"/>
          <w:szCs w:val="32"/>
        </w:rPr>
        <w:t>引导入驻小微企业园或标准化厂房。</w:t>
      </w:r>
      <w:r>
        <w:rPr>
          <w:rFonts w:hint="eastAsia" w:ascii="仿宋_GB2312" w:hAnsi="仿宋_GB2312" w:eastAsia="仿宋_GB2312" w:cs="仿宋_GB2312"/>
          <w:sz w:val="32"/>
          <w:szCs w:val="32"/>
        </w:rPr>
        <w:t>立足</w:t>
      </w:r>
      <w:r>
        <w:rPr>
          <w:rFonts w:hint="eastAsia" w:ascii="仿宋_GB2312" w:eastAsia="仿宋_GB2312" w:cs="仿宋_GB2312"/>
          <w:sz w:val="32"/>
          <w:szCs w:val="32"/>
        </w:rPr>
        <w:t>完善县城区的服务功能，</w:t>
      </w:r>
      <w:r>
        <w:rPr>
          <w:rFonts w:hint="eastAsia" w:ascii="仿宋_GB2312" w:hAnsi="仿宋_GB2312" w:eastAsia="仿宋_GB2312" w:cs="仿宋_GB2312"/>
          <w:sz w:val="32"/>
          <w:szCs w:val="32"/>
        </w:rPr>
        <w:t>实施现代服务业培育工程。</w:t>
      </w:r>
      <w:r>
        <w:rPr>
          <w:rFonts w:hint="eastAsia" w:ascii="仿宋_GB2312" w:eastAsia="仿宋_GB2312" w:cs="仿宋_GB2312"/>
          <w:sz w:val="32"/>
          <w:szCs w:val="32"/>
        </w:rPr>
        <w:t>着力引进城市功能性设施服务业及人力资源型就业产业项目入驻县城区和现代产业园，切实加大水门塘文旅综合开发、多功能城市综合体等综合性三产服务业项目推进力度。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Helvetica" w:eastAsia="仿宋_GB2312" w:cs="Arial"/>
          <w:kern w:val="0"/>
          <w:sz w:val="32"/>
          <w:szCs w:val="32"/>
        </w:rPr>
      </w:pPr>
      <w:r>
        <w:rPr>
          <w:rFonts w:hint="eastAsia" w:ascii="黑体" w:hAnsi="黑体" w:eastAsia="黑体" w:cs="黑体"/>
          <w:sz w:val="32"/>
          <w:szCs w:val="32"/>
        </w:rPr>
        <w:t>十一、强化工作联动机制。</w:t>
      </w:r>
      <w:r>
        <w:rPr>
          <w:rFonts w:hint="eastAsia" w:ascii="仿宋_GB2312" w:hAnsi="Helvetica" w:eastAsia="仿宋_GB2312" w:cs="Arial"/>
          <w:kern w:val="0"/>
          <w:sz w:val="32"/>
          <w:szCs w:val="32"/>
        </w:rPr>
        <w:t>围绕引资项目落地，压实招商主体责任，建立健全高效协调服务机制。</w:t>
      </w:r>
      <w:r>
        <w:rPr>
          <w:rFonts w:hint="eastAsia" w:ascii="仿宋_GB2312" w:hAnsi="微软雅黑" w:eastAsia="仿宋_GB2312" w:cs="Arial"/>
          <w:sz w:val="32"/>
          <w:szCs w:val="32"/>
        </w:rPr>
        <w:t>继续</w:t>
      </w:r>
      <w:r>
        <w:rPr>
          <w:rFonts w:hint="eastAsia" w:ascii="仿宋_GB2312" w:hAnsi="宋体" w:eastAsia="仿宋_GB2312" w:cs="宋体"/>
          <w:kern w:val="0"/>
          <w:sz w:val="32"/>
          <w:szCs w:val="32"/>
        </w:rPr>
        <w:t>深化“放管服”改革，搭建项目服务“绿色通道”，大力营造“四最”营商环境；严禁以检查为名干扰企业正常生产经营，依法依规惩处对投资者故意刁难、拖而不办、吃拿卡要等违规行为；切实履行依法完善程序后作出的政策承诺和签订的合同（协议），强化对企业诚信经营的激励约束。</w:t>
      </w:r>
      <w:r>
        <w:rPr>
          <w:rFonts w:hint="eastAsia" w:ascii="仿宋_GB2312" w:hAnsi="黑体" w:eastAsia="仿宋_GB2312" w:cs="黑体"/>
          <w:sz w:val="32"/>
          <w:szCs w:val="32"/>
        </w:rPr>
        <w:t>继续</w:t>
      </w:r>
      <w:r>
        <w:rPr>
          <w:rFonts w:hint="eastAsia" w:ascii="仿宋_GB2312" w:eastAsia="仿宋_GB2312" w:cs="仿宋_GB2312"/>
          <w:sz w:val="32"/>
          <w:szCs w:val="32"/>
        </w:rPr>
        <w:t>强化对招商引资工作的统筹指导和示范引领，县四个班子领导、乡镇和县直单位主要负责人积极向霍邱经济开发区、</w:t>
      </w:r>
      <w:r>
        <w:rPr>
          <w:rFonts w:hint="eastAsia" w:ascii="仿宋_GB2312" w:hAnsi="仿宋_GB2312" w:eastAsia="仿宋_GB2312" w:cs="仿宋_GB2312"/>
          <w:sz w:val="32"/>
          <w:szCs w:val="32"/>
        </w:rPr>
        <w:t>合肥高新区霍邱</w:t>
      </w:r>
      <w:r>
        <w:rPr>
          <w:rFonts w:hint="eastAsia" w:ascii="仿宋_GB2312" w:eastAsia="仿宋_GB2312" w:cs="仿宋_GB2312"/>
          <w:sz w:val="32"/>
          <w:szCs w:val="32"/>
        </w:rPr>
        <w:t>现代产业园、</w:t>
      </w:r>
      <w:r>
        <w:rPr>
          <w:rFonts w:hint="eastAsia" w:ascii="仿宋_GB2312" w:eastAsia="仿宋_GB2312"/>
          <w:sz w:val="32"/>
          <w:szCs w:val="32"/>
        </w:rPr>
        <w:t>长集现代农业</w:t>
      </w:r>
      <w:r>
        <w:rPr>
          <w:rFonts w:hint="eastAsia" w:ascii="仿宋_GB2312" w:eastAsia="仿宋_GB2312"/>
          <w:sz w:val="32"/>
          <w:szCs w:val="32"/>
          <w:lang w:eastAsia="zh-CN"/>
        </w:rPr>
        <w:t>产业园</w:t>
      </w:r>
      <w:r>
        <w:rPr>
          <w:rFonts w:hint="eastAsia" w:ascii="仿宋_GB2312" w:eastAsia="仿宋_GB2312" w:cs="仿宋_GB2312"/>
          <w:sz w:val="32"/>
          <w:szCs w:val="32"/>
        </w:rPr>
        <w:t>引荐工业项目有效线索，带头招引亿元以上项目落地实施；</w:t>
      </w:r>
      <w:r>
        <w:rPr>
          <w:rFonts w:hint="eastAsia" w:ascii="仿宋_GB2312" w:hAnsi="Helvetica" w:eastAsia="仿宋_GB2312" w:cs="Arial"/>
          <w:kern w:val="0"/>
          <w:sz w:val="32"/>
          <w:szCs w:val="32"/>
        </w:rPr>
        <w:t>统筹利用好各部门、乡镇在外招商资源，开展好亲情招商，鼓励园区、企业积极参与全国各类招商项目展会活动，开展合作招商。</w:t>
      </w:r>
      <w:r>
        <w:rPr>
          <w:rFonts w:hint="eastAsia" w:ascii="仿宋_GB2312" w:eastAsia="仿宋_GB2312" w:cs="仿宋_GB2312"/>
          <w:sz w:val="32"/>
          <w:szCs w:val="32"/>
        </w:rPr>
        <w:t>继续优化县派驻外招商模式，加强产业招商精准性；鼓励支持、抽调、选派精干人员，充实驻外招商机构力量。经济开发区、现代产业园</w:t>
      </w:r>
      <w:r>
        <w:rPr>
          <w:rFonts w:hint="eastAsia" w:ascii="仿宋_GB2312" w:hAnsi="Times New Roman" w:eastAsia="仿宋_GB2312"/>
          <w:sz w:val="32"/>
          <w:szCs w:val="32"/>
        </w:rPr>
        <w:t>派驻不少于3支驻点招商小分队</w:t>
      </w:r>
      <w:r>
        <w:rPr>
          <w:rFonts w:hint="eastAsia" w:ascii="仿宋_GB2312" w:eastAsia="仿宋_GB2312" w:cs="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cs="宋体"/>
          <w:kern w:val="0"/>
          <w:sz w:val="32"/>
          <w:szCs w:val="32"/>
        </w:rPr>
      </w:pPr>
      <w:r>
        <w:rPr>
          <w:rFonts w:hint="eastAsia" w:ascii="黑体" w:hAnsi="黑体" w:eastAsia="黑体" w:cs="黑体"/>
          <w:sz w:val="32"/>
          <w:szCs w:val="32"/>
        </w:rPr>
        <w:t>十二、严格项目调度督查。</w:t>
      </w:r>
      <w:r>
        <w:rPr>
          <w:rFonts w:hint="eastAsia" w:ascii="仿宋_GB2312" w:eastAsia="仿宋_GB2312" w:cs="仿宋_GB2312"/>
          <w:sz w:val="32"/>
          <w:szCs w:val="32"/>
        </w:rPr>
        <w:t>坚持将项目进展和任务进度作为督查调度重点，</w:t>
      </w:r>
      <w:r>
        <w:rPr>
          <w:rFonts w:hint="eastAsia" w:ascii="仿宋_GB2312" w:hAnsi="宋体" w:eastAsia="仿宋_GB2312"/>
          <w:sz w:val="32"/>
          <w:szCs w:val="32"/>
        </w:rPr>
        <w:t>实行招商引资任务月</w:t>
      </w:r>
      <w:r>
        <w:rPr>
          <w:rFonts w:hint="eastAsia" w:ascii="仿宋_GB2312" w:hAnsi="宋体" w:eastAsia="仿宋_GB2312"/>
          <w:sz w:val="32"/>
          <w:szCs w:val="32"/>
          <w:lang w:eastAsia="zh-CN"/>
        </w:rPr>
        <w:t>调度</w:t>
      </w:r>
      <w:r>
        <w:rPr>
          <w:rFonts w:hint="eastAsia" w:ascii="仿宋_GB2312" w:hAnsi="宋体" w:eastAsia="仿宋_GB2312"/>
          <w:sz w:val="32"/>
          <w:szCs w:val="32"/>
        </w:rPr>
        <w:t>、季核查、年终考评制度，切实加大项目推进力度，</w:t>
      </w:r>
      <w:r>
        <w:rPr>
          <w:rFonts w:hint="eastAsia" w:ascii="仿宋_GB2312" w:hAnsi="Helvetica" w:eastAsia="仿宋_GB2312" w:cs="Arial"/>
          <w:kern w:val="0"/>
          <w:sz w:val="32"/>
          <w:szCs w:val="32"/>
        </w:rPr>
        <w:t>促进招商预审</w:t>
      </w:r>
      <w:r>
        <w:rPr>
          <w:rFonts w:hint="eastAsia" w:ascii="仿宋_GB2312" w:hAnsi="宋体" w:eastAsia="仿宋_GB2312"/>
          <w:sz w:val="32"/>
          <w:szCs w:val="32"/>
        </w:rPr>
        <w:t>项目及时开工建设。</w:t>
      </w:r>
      <w:r>
        <w:rPr>
          <w:rFonts w:hint="eastAsia" w:ascii="仿宋_GB2312" w:hAnsi="宋体" w:eastAsia="仿宋_GB2312" w:cs="宋体"/>
          <w:kern w:val="0"/>
          <w:sz w:val="32"/>
          <w:szCs w:val="32"/>
        </w:rPr>
        <w:t>开展招商引资政务服务满意度测评，</w:t>
      </w:r>
      <w:r>
        <w:rPr>
          <w:rFonts w:hint="eastAsia" w:ascii="仿宋_GB2312" w:hAnsi="宋体" w:eastAsia="仿宋_GB2312"/>
          <w:sz w:val="32"/>
          <w:szCs w:val="32"/>
        </w:rPr>
        <w:t>对</w:t>
      </w:r>
      <w:r>
        <w:rPr>
          <w:rFonts w:hint="eastAsia" w:ascii="仿宋_GB2312" w:hAnsi="Helvetica" w:eastAsia="仿宋_GB2312" w:cs="Arial"/>
          <w:kern w:val="0"/>
          <w:sz w:val="32"/>
          <w:szCs w:val="32"/>
        </w:rPr>
        <w:t>招商工作中政策落实不力、政务服务不到位、承诺不兑现等问题，进行通报、督办</w:t>
      </w:r>
      <w:r>
        <w:rPr>
          <w:rFonts w:hint="eastAsia" w:ascii="仿宋_GB2312" w:hAnsi="宋体" w:eastAsia="仿宋_GB2312" w:cs="宋体"/>
          <w:kern w:val="0"/>
          <w:sz w:val="32"/>
          <w:szCs w:val="32"/>
        </w:rPr>
        <w:t>；</w:t>
      </w:r>
      <w:r>
        <w:rPr>
          <w:rFonts w:hint="eastAsia" w:ascii="仿宋_GB2312" w:hAnsi="Helvetica" w:eastAsia="仿宋_GB2312" w:cs="Arial"/>
          <w:kern w:val="0"/>
          <w:sz w:val="32"/>
          <w:szCs w:val="32"/>
        </w:rPr>
        <w:t>对不作为、乱作为</w:t>
      </w:r>
      <w:r>
        <w:rPr>
          <w:rFonts w:hint="eastAsia" w:ascii="仿宋_GB2312" w:hAnsi="Helvetica" w:eastAsia="仿宋_GB2312" w:cs="Arial"/>
          <w:kern w:val="0"/>
          <w:sz w:val="32"/>
          <w:szCs w:val="32"/>
          <w:lang w:eastAsia="zh-CN"/>
        </w:rPr>
        <w:t>、慢作为</w:t>
      </w:r>
      <w:r>
        <w:rPr>
          <w:rFonts w:hint="eastAsia" w:ascii="仿宋_GB2312" w:hAnsi="宋体" w:eastAsia="仿宋_GB2312" w:cs="宋体"/>
          <w:kern w:val="0"/>
          <w:sz w:val="32"/>
          <w:szCs w:val="32"/>
        </w:rPr>
        <w:t>的单位主要负责人及业务主办人</w:t>
      </w:r>
      <w:r>
        <w:rPr>
          <w:rFonts w:hint="eastAsia" w:ascii="仿宋_GB2312" w:hAnsi="Helvetica" w:eastAsia="仿宋_GB2312" w:cs="Arial"/>
          <w:kern w:val="0"/>
          <w:sz w:val="32"/>
          <w:szCs w:val="32"/>
        </w:rPr>
        <w:t>进行督查、问责；</w:t>
      </w:r>
      <w:r>
        <w:rPr>
          <w:rFonts w:hint="eastAsia" w:ascii="仿宋_GB2312" w:hAnsi="宋体" w:eastAsia="仿宋_GB2312" w:cs="宋体"/>
          <w:kern w:val="0"/>
          <w:sz w:val="32"/>
          <w:szCs w:val="32"/>
        </w:rPr>
        <w:t>对满意度较差的单位予以通报，</w:t>
      </w:r>
      <w:r>
        <w:rPr>
          <w:rFonts w:hint="eastAsia" w:ascii="仿宋_GB2312" w:hAnsi="Helvetica" w:eastAsia="仿宋_GB2312" w:cs="Arial"/>
          <w:kern w:val="0"/>
          <w:sz w:val="32"/>
          <w:szCs w:val="32"/>
        </w:rPr>
        <w:t>实行</w:t>
      </w:r>
      <w:r>
        <w:rPr>
          <w:rFonts w:hint="eastAsia" w:ascii="仿宋_GB2312" w:hAnsi="Helvetica" w:eastAsia="仿宋_GB2312" w:cs="Arial"/>
          <w:kern w:val="0"/>
          <w:sz w:val="32"/>
          <w:szCs w:val="32"/>
          <w:lang w:eastAsia="zh-CN"/>
        </w:rPr>
        <w:t>综合</w:t>
      </w:r>
      <w:r>
        <w:rPr>
          <w:rFonts w:hint="eastAsia" w:ascii="仿宋_GB2312" w:hAnsi="宋体" w:eastAsia="仿宋_GB2312" w:cs="宋体"/>
          <w:kern w:val="0"/>
          <w:sz w:val="32"/>
          <w:szCs w:val="32"/>
        </w:rPr>
        <w:t>考评扣分制。</w:t>
      </w:r>
    </w:p>
    <w:p>
      <w:pPr>
        <w:keepNext w:val="0"/>
        <w:keepLines w:val="0"/>
        <w:pageBreakBefore w:val="0"/>
        <w:widowControl w:val="0"/>
        <w:shd w:val="clear" w:color="auto" w:fill="FFFFFF"/>
        <w:kinsoku/>
        <w:wordWrap/>
        <w:overflowPunct/>
        <w:topLinePunct w:val="0"/>
        <w:autoSpaceDE/>
        <w:autoSpaceDN/>
        <w:bidi w:val="0"/>
        <w:adjustRightInd w:val="0"/>
        <w:snapToGrid w:val="0"/>
        <w:spacing w:line="580" w:lineRule="exact"/>
        <w:ind w:firstLine="640" w:firstLineChars="200"/>
        <w:textAlignment w:val="auto"/>
        <w:rPr>
          <w:rFonts w:ascii="仿宋_GB2312" w:hAnsi="Helvetica" w:eastAsia="仿宋_GB2312" w:cs="Arial"/>
          <w:color w:val="000000" w:themeColor="text1"/>
          <w:kern w:val="0"/>
          <w:sz w:val="32"/>
          <w:szCs w:val="32"/>
          <w14:textFill>
            <w14:solidFill>
              <w14:schemeClr w14:val="tx1"/>
            </w14:solidFill>
          </w14:textFill>
        </w:rPr>
      </w:pPr>
      <w:r>
        <w:rPr>
          <w:rFonts w:hint="eastAsia" w:ascii="黑体" w:hAnsi="黑体" w:eastAsia="黑体" w:cs="黑体"/>
          <w:sz w:val="32"/>
          <w:szCs w:val="32"/>
        </w:rPr>
        <w:t>十三、</w:t>
      </w:r>
      <w:r>
        <w:rPr>
          <w:rFonts w:hint="eastAsia" w:ascii="黑体" w:hAnsi="Helvetica" w:eastAsia="黑体" w:cs="黑体"/>
          <w:kern w:val="0"/>
          <w:sz w:val="32"/>
          <w:szCs w:val="32"/>
        </w:rPr>
        <w:t>完善招商奖惩机制。</w:t>
      </w:r>
      <w:r>
        <w:rPr>
          <w:rFonts w:hint="eastAsia" w:ascii="仿宋_GB2312" w:eastAsia="仿宋_GB2312" w:cs="仿宋_GB2312"/>
          <w:sz w:val="32"/>
          <w:szCs w:val="32"/>
        </w:rPr>
        <w:t>树立招商引资“有功必赏、有绩必奖”的鲜明导向，进一步完善</w:t>
      </w:r>
      <w:r>
        <w:rPr>
          <w:rFonts w:hint="eastAsia" w:ascii="仿宋_GB2312" w:hAnsi="Helvetica" w:eastAsia="仿宋_GB2312" w:cs="仿宋_GB2312"/>
          <w:kern w:val="0"/>
          <w:sz w:val="32"/>
          <w:szCs w:val="32"/>
        </w:rPr>
        <w:t>招商引资目标责任制，继续将招商引资纳入乡镇</w:t>
      </w:r>
      <w:r>
        <w:rPr>
          <w:rFonts w:hint="eastAsia" w:ascii="仿宋_GB2312" w:hAnsi="楷体_GB2312" w:eastAsia="仿宋_GB2312" w:cs="仿宋_GB2312"/>
          <w:sz w:val="32"/>
          <w:szCs w:val="32"/>
        </w:rPr>
        <w:t>（园区）、县直单位</w:t>
      </w:r>
      <w:r>
        <w:rPr>
          <w:rFonts w:hint="eastAsia" w:ascii="仿宋_GB2312" w:hAnsi="Helvetica" w:eastAsia="仿宋_GB2312" w:cs="仿宋_GB2312"/>
          <w:kern w:val="0"/>
          <w:sz w:val="32"/>
          <w:szCs w:val="32"/>
        </w:rPr>
        <w:t>年度目标责任考核体系，</w:t>
      </w:r>
      <w:r>
        <w:rPr>
          <w:rFonts w:hint="eastAsia" w:ascii="仿宋_GB2312" w:eastAsia="仿宋_GB2312" w:cs="仿宋_GB2312"/>
          <w:sz w:val="32"/>
          <w:szCs w:val="32"/>
        </w:rPr>
        <w:t>县委县政府</w:t>
      </w:r>
      <w:r>
        <w:rPr>
          <w:rFonts w:hint="eastAsia" w:ascii="仿宋_GB2312" w:eastAsia="仿宋_GB2312"/>
          <w:sz w:val="32"/>
          <w:szCs w:val="32"/>
        </w:rPr>
        <w:t>对招商引资先进集体和个人</w:t>
      </w:r>
      <w:r>
        <w:rPr>
          <w:rFonts w:hint="eastAsia" w:ascii="仿宋_GB2312" w:hAnsi="Helvetica" w:eastAsia="仿宋_GB2312" w:cs="仿宋_GB2312"/>
          <w:kern w:val="0"/>
          <w:sz w:val="32"/>
          <w:szCs w:val="32"/>
        </w:rPr>
        <w:t>进行表彰奖励，</w:t>
      </w:r>
      <w:r>
        <w:rPr>
          <w:rFonts w:hint="eastAsia" w:ascii="仿宋_GB2312" w:hAnsi="仿宋_GB2312" w:eastAsia="仿宋_GB2312" w:cs="仿宋_GB2312"/>
          <w:sz w:val="32"/>
          <w:szCs w:val="32"/>
        </w:rPr>
        <w:t>对招商引资工作表现优秀的干部加大培养使用力度。</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eastAsia="仿宋_GB2312" w:cs="仿宋_GB2312"/>
          <w:color w:val="000000" w:themeColor="text1"/>
          <w:sz w:val="32"/>
          <w:szCs w:val="32"/>
          <w14:textFill>
            <w14:solidFill>
              <w14:schemeClr w14:val="tx1"/>
            </w14:solidFill>
          </w14:textFill>
        </w:rPr>
        <w:t>县四个班子</w:t>
      </w:r>
      <w:r>
        <w:rPr>
          <w:rFonts w:hint="eastAsia" w:ascii="仿宋_GB2312" w:eastAsia="仿宋_GB2312" w:cs="仿宋_GB2312"/>
          <w:color w:val="000000" w:themeColor="text1"/>
          <w:sz w:val="32"/>
          <w:szCs w:val="32"/>
          <w:lang w:eastAsia="zh-CN"/>
          <w14:textFill>
            <w14:solidFill>
              <w14:schemeClr w14:val="tx1"/>
            </w14:solidFill>
          </w14:textFill>
        </w:rPr>
        <w:t>领导</w:t>
      </w:r>
      <w:r>
        <w:rPr>
          <w:rFonts w:hint="eastAsia" w:ascii="仿宋_GB2312" w:eastAsia="仿宋_GB2312" w:cs="仿宋_GB2312"/>
          <w:color w:val="000000" w:themeColor="text1"/>
          <w:sz w:val="32"/>
          <w:szCs w:val="32"/>
          <w14:textFill>
            <w14:solidFill>
              <w14:schemeClr w14:val="tx1"/>
            </w14:solidFill>
          </w14:textFill>
        </w:rPr>
        <w:t>及乡镇、县直招商小组</w:t>
      </w:r>
      <w:r>
        <w:rPr>
          <w:rFonts w:hint="eastAsia" w:ascii="仿宋_GB2312" w:eastAsia="仿宋_GB2312" w:cs="仿宋_GB2312"/>
          <w:color w:val="000000" w:themeColor="text1"/>
          <w:sz w:val="32"/>
          <w:szCs w:val="32"/>
          <w:lang w:eastAsia="zh-CN"/>
          <w14:textFill>
            <w14:solidFill>
              <w14:schemeClr w14:val="tx1"/>
            </w14:solidFill>
          </w14:textFill>
        </w:rPr>
        <w:t>继续</w:t>
      </w:r>
      <w:r>
        <w:rPr>
          <w:rFonts w:hint="eastAsia" w:ascii="仿宋_GB2312" w:eastAsia="仿宋_GB2312" w:cs="仿宋_GB2312"/>
          <w:color w:val="000000" w:themeColor="text1"/>
          <w:sz w:val="32"/>
          <w:szCs w:val="32"/>
          <w14:textFill>
            <w14:solidFill>
              <w14:schemeClr w14:val="tx1"/>
            </w14:solidFill>
          </w14:textFill>
        </w:rPr>
        <w:t>实行招商引资保证金制度；</w:t>
      </w:r>
      <w:r>
        <w:rPr>
          <w:rFonts w:hint="eastAsia" w:ascii="仿宋_GB2312" w:eastAsia="仿宋_GB2312"/>
          <w:color w:val="000000" w:themeColor="text1"/>
          <w:sz w:val="32"/>
          <w:szCs w:val="32"/>
          <w14:textFill>
            <w14:solidFill>
              <w14:schemeClr w14:val="tx1"/>
            </w14:solidFill>
          </w14:textFill>
        </w:rPr>
        <w:t>对县级负责同志、县直单位主要负责</w:t>
      </w:r>
      <w:r>
        <w:rPr>
          <w:rFonts w:hint="eastAsia" w:ascii="仿宋_GB2312" w:eastAsia="仿宋_GB2312"/>
          <w:color w:val="000000" w:themeColor="text1"/>
          <w:sz w:val="32"/>
          <w:szCs w:val="32"/>
          <w:lang w:eastAsia="zh-CN"/>
          <w14:textFill>
            <w14:solidFill>
              <w14:schemeClr w14:val="tx1"/>
            </w14:solidFill>
          </w14:textFill>
        </w:rPr>
        <w:t>人</w:t>
      </w:r>
      <w:bookmarkStart w:id="0" w:name="_GoBack"/>
      <w:bookmarkEnd w:id="0"/>
      <w:r>
        <w:rPr>
          <w:rFonts w:hint="eastAsia" w:ascii="仿宋_GB2312" w:eastAsia="仿宋_GB2312"/>
          <w:color w:val="000000" w:themeColor="text1"/>
          <w:sz w:val="32"/>
          <w:szCs w:val="32"/>
          <w14:textFill>
            <w14:solidFill>
              <w14:schemeClr w14:val="tx1"/>
            </w14:solidFill>
          </w14:textFill>
        </w:rPr>
        <w:t>牵头引荐项目落户霍邱</w:t>
      </w:r>
      <w:r>
        <w:rPr>
          <w:rFonts w:hint="eastAsia" w:ascii="仿宋_GB2312" w:eastAsia="仿宋_GB2312" w:cs="仿宋_GB2312"/>
          <w:color w:val="000000" w:themeColor="text1"/>
          <w:sz w:val="32"/>
          <w:szCs w:val="32"/>
          <w14:textFill>
            <w14:solidFill>
              <w14:schemeClr w14:val="tx1"/>
            </w14:solidFill>
          </w14:textFill>
        </w:rPr>
        <w:t>经济开发区、</w:t>
      </w:r>
      <w:r>
        <w:rPr>
          <w:rFonts w:hint="eastAsia" w:ascii="仿宋_GB2312" w:hAnsi="仿宋_GB2312" w:eastAsia="仿宋_GB2312" w:cs="仿宋_GB2312"/>
          <w:color w:val="000000" w:themeColor="text1"/>
          <w:sz w:val="32"/>
          <w:szCs w:val="32"/>
          <w14:textFill>
            <w14:solidFill>
              <w14:schemeClr w14:val="tx1"/>
            </w14:solidFill>
          </w14:textFill>
        </w:rPr>
        <w:t>合肥高新区霍邱</w:t>
      </w:r>
      <w:r>
        <w:rPr>
          <w:rFonts w:hint="eastAsia" w:ascii="仿宋_GB2312" w:eastAsia="仿宋_GB2312" w:cs="仿宋_GB2312"/>
          <w:color w:val="000000" w:themeColor="text1"/>
          <w:sz w:val="32"/>
          <w:szCs w:val="32"/>
          <w14:textFill>
            <w14:solidFill>
              <w14:schemeClr w14:val="tx1"/>
            </w14:solidFill>
          </w14:textFill>
        </w:rPr>
        <w:t>现代产业园、</w:t>
      </w:r>
      <w:r>
        <w:rPr>
          <w:rFonts w:hint="eastAsia" w:ascii="仿宋_GB2312" w:eastAsia="仿宋_GB2312"/>
          <w:color w:val="000000" w:themeColor="text1"/>
          <w:sz w:val="32"/>
          <w:szCs w:val="32"/>
          <w14:textFill>
            <w14:solidFill>
              <w14:schemeClr w14:val="tx1"/>
            </w14:solidFill>
          </w14:textFill>
        </w:rPr>
        <w:t>长集现代农业</w:t>
      </w:r>
      <w:r>
        <w:rPr>
          <w:rFonts w:hint="eastAsia" w:ascii="仿宋_GB2312" w:eastAsia="仿宋_GB2312"/>
          <w:color w:val="000000" w:themeColor="text1"/>
          <w:sz w:val="32"/>
          <w:szCs w:val="32"/>
          <w:lang w:eastAsia="zh-CN"/>
          <w14:textFill>
            <w14:solidFill>
              <w14:schemeClr w14:val="tx1"/>
            </w14:solidFill>
          </w14:textFill>
        </w:rPr>
        <w:t>产业园等产业集聚区的</w:t>
      </w:r>
      <w:r>
        <w:rPr>
          <w:rFonts w:hint="eastAsia" w:ascii="仿宋_GB2312" w:eastAsia="仿宋_GB2312"/>
          <w:color w:val="000000" w:themeColor="text1"/>
          <w:sz w:val="32"/>
          <w:szCs w:val="32"/>
          <w:lang w:val="en-US" w:eastAsia="zh-CN"/>
          <w14:textFill>
            <w14:solidFill>
              <w14:schemeClr w14:val="tx1"/>
            </w14:solidFill>
          </w14:textFill>
        </w:rPr>
        <w:t>1亿元以上项目，</w:t>
      </w:r>
      <w:r>
        <w:rPr>
          <w:rFonts w:hint="eastAsia" w:ascii="仿宋_GB2312" w:eastAsia="仿宋_GB2312"/>
          <w:color w:val="000000" w:themeColor="text1"/>
          <w:sz w:val="32"/>
          <w:szCs w:val="32"/>
          <w14:textFill>
            <w14:solidFill>
              <w14:schemeClr w14:val="tx1"/>
            </w14:solidFill>
          </w14:textFill>
        </w:rPr>
        <w:t>经认定实质性开工后，按照</w:t>
      </w:r>
      <w:r>
        <w:rPr>
          <w:rFonts w:hint="eastAsia" w:ascii="仿宋_GB2312" w:eastAsia="仿宋_GB2312"/>
          <w:color w:val="000000" w:themeColor="text1"/>
          <w:sz w:val="32"/>
          <w:szCs w:val="32"/>
          <w:lang w:val="en-US" w:eastAsia="zh-CN"/>
          <w14:textFill>
            <w14:solidFill>
              <w14:schemeClr w14:val="tx1"/>
            </w14:solidFill>
          </w14:textFill>
        </w:rPr>
        <w:t>1-5亿元项目1万元、</w:t>
      </w:r>
      <w:r>
        <w:rPr>
          <w:rFonts w:hint="eastAsia" w:ascii="仿宋_GB2312" w:eastAsia="仿宋_GB2312"/>
          <w:color w:val="000000" w:themeColor="text1"/>
          <w:sz w:val="32"/>
          <w:szCs w:val="32"/>
          <w14:textFill>
            <w14:solidFill>
              <w14:schemeClr w14:val="tx1"/>
            </w14:solidFill>
          </w14:textFill>
        </w:rPr>
        <w:t>5-10亿元项目5万元、10-50亿元项目10万元、50亿元以上项目20万元标准对引资团队进行奖励，其中奖励牵头引荐人比例不低于奖励金额的30%，</w:t>
      </w:r>
      <w:r>
        <w:rPr>
          <w:rFonts w:hint="eastAsia" w:ascii="仿宋_GB2312" w:eastAsia="仿宋_GB2312" w:cs="仿宋_GB2312"/>
          <w:color w:val="000000" w:themeColor="text1"/>
          <w:sz w:val="32"/>
          <w:szCs w:val="32"/>
          <w14:textFill>
            <w14:solidFill>
              <w14:schemeClr w14:val="tx1"/>
            </w14:solidFill>
          </w14:textFill>
        </w:rPr>
        <w:t>同时享受</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-1012190</wp:posOffset>
                </wp:positionV>
                <wp:extent cx="249555" cy="9023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249555" cy="902335"/>
                        </a:xfrm>
                        <a:prstGeom prst="rect">
                          <a:avLst/>
                        </a:prstGeom>
                        <a:noFill/>
                        <a:ln>
                          <a:noFill/>
                        </a:ln>
                      </wps:spPr>
                      <wps:txbx>
                        <w:txbxContent>
                          <w:p>
                            <w:r>
                              <w:rPr>
                                <w:rFonts w:hint="eastAsia"/>
                              </w:rPr>
                              <w:t xml:space="preserve"> </w:t>
                            </w:r>
                          </w:p>
                        </w:txbxContent>
                      </wps:txbx>
                      <wps:bodyPr upright="1"/>
                    </wps:wsp>
                  </a:graphicData>
                </a:graphic>
              </wp:anchor>
            </w:drawing>
          </mc:Choice>
          <mc:Fallback>
            <w:pict>
              <v:shape id="文本框 2" o:spid="_x0000_s1026" o:spt="202" type="#_x0000_t202" style="position:absolute;left:0pt;margin-left:-3.6pt;margin-top:-79.7pt;height:71.05pt;width:19.65pt;z-index:251659264;mso-width-relative:page;mso-height-relative:page;" filled="f" stroked="f" coordsize="21600,21600" o:gfxdata="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xjNgA&#10;AAAKAQAADwAAAAAAAAABACAAAAAiAAAAZHJzL2Rvd25yZXYueG1sUEsBAhQAFAAAAAgAh07iQOGp&#10;kI6tAQAATQMAAA4AAAAAAAAAAQAgAAAAJwEAAGRycy9lMm9Eb2MueG1sUEsFBgAAAAAGAAYAWQEA&#10;AEYFAAAAAA==&#10;">
                <v:fill on="f" focussize="0,0"/>
                <v:stroke on="f"/>
                <v:imagedata o:title=""/>
                <o:lock v:ext="edit" aspectratio="f"/>
                <v:textbox>
                  <w:txbxContent>
                    <w:p>
                      <w:r>
                        <w:rPr>
                          <w:rFonts w:hint="eastAsia"/>
                        </w:rPr>
                        <w:t xml:space="preserve"> </w:t>
                      </w:r>
                    </w:p>
                  </w:txbxContent>
                </v:textbox>
              </v:shape>
            </w:pict>
          </mc:Fallback>
        </mc:AlternateContent>
      </w:r>
      <w:r>
        <w:rPr>
          <w:rFonts w:hint="eastAsia"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83185</wp:posOffset>
                </wp:positionV>
                <wp:extent cx="1303020" cy="415925"/>
                <wp:effectExtent l="0" t="0" r="0" b="0"/>
                <wp:wrapNone/>
                <wp:docPr id="2" name="文本框 3"/>
                <wp:cNvGraphicFramePr/>
                <a:graphic xmlns:a="http://schemas.openxmlformats.org/drawingml/2006/main">
                  <a:graphicData uri="http://schemas.microsoft.com/office/word/2010/wordprocessingShape">
                    <wps:wsp>
                      <wps:cNvSpPr txBox="1"/>
                      <wps:spPr>
                        <a:xfrm>
                          <a:off x="0" y="0"/>
                          <a:ext cx="1303020" cy="415925"/>
                        </a:xfrm>
                        <a:prstGeom prst="rect">
                          <a:avLst/>
                        </a:prstGeom>
                        <a:noFill/>
                        <a:ln>
                          <a:noFill/>
                        </a:ln>
                      </wps:spPr>
                      <wps:txbx>
                        <w:txbxContent>
                          <w:p>
                            <w:pPr>
                              <w:snapToGrid w:val="0"/>
                              <w:jc w:val="center"/>
                              <w:rPr>
                                <w:rFonts w:hint="eastAsia" w:ascii="黑体" w:hAnsi="黑体" w:eastAsia="黑体"/>
                                <w:b/>
                                <w:spacing w:val="48"/>
                                <w:sz w:val="32"/>
                                <w:szCs w:val="32"/>
                              </w:rPr>
                            </w:pPr>
                          </w:p>
                          <w:p/>
                        </w:txbxContent>
                      </wps:txbx>
                      <wps:bodyPr upright="1"/>
                    </wps:wsp>
                  </a:graphicData>
                </a:graphic>
              </wp:anchor>
            </w:drawing>
          </mc:Choice>
          <mc:Fallback>
            <w:pict>
              <v:shape id="文本框 3" o:spid="_x0000_s1026" o:spt="202" type="#_x0000_t202" style="position:absolute;left:0pt;margin-left:307.5pt;margin-top:6.55pt;height:32.75pt;width:102.6pt;z-index:251659264;mso-width-relative:page;mso-height-relative:page;" filled="f" stroked="f" coordsize="21600,21600" o:gfxdata="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5v9DvXAAAA&#10;CQEAAA8AAAAAAAAAAQAgAAAAIgAAAGRycy9kb3ducmV2LnhtbFBLAQIUABQAAAAIAIdO4kCTB0t0&#10;rAEAAE4DAAAOAAAAAAAAAAEAIAAAACYBAABkcnMvZTJvRG9jLnhtbFBLBQYAAAAABgAGAFkBAABE&#10;BQAAAAA=&#10;">
                <v:fill on="f" focussize="0,0"/>
                <v:stroke on="f"/>
                <v:imagedata o:title=""/>
                <o:lock v:ext="edit" aspectratio="f"/>
                <v:textbox>
                  <w:txbxContent>
                    <w:p>
                      <w:pPr>
                        <w:snapToGrid w:val="0"/>
                        <w:jc w:val="center"/>
                        <w:rPr>
                          <w:rFonts w:hint="eastAsia" w:ascii="黑体" w:hAnsi="黑体" w:eastAsia="黑体"/>
                          <w:b/>
                          <w:spacing w:val="48"/>
                          <w:sz w:val="32"/>
                          <w:szCs w:val="32"/>
                        </w:rPr>
                      </w:pPr>
                    </w:p>
                    <w:p/>
                  </w:txbxContent>
                </v:textbox>
              </v:shape>
            </w:pict>
          </mc:Fallback>
        </mc:AlternateContent>
      </w:r>
      <w:r>
        <w:rPr>
          <w:rFonts w:hint="eastAsia" w:ascii="仿宋_GB2312" w:hAnsi="宋体" w:eastAsia="仿宋_GB2312" w:cs="宋体"/>
          <w:color w:val="000000" w:themeColor="text1"/>
          <w:sz w:val="32"/>
          <w:szCs w:val="32"/>
          <w14:textFill>
            <w14:solidFill>
              <w14:schemeClr w14:val="tx1"/>
            </w14:solidFill>
          </w14:textFill>
        </w:rPr>
        <w:t>霍邱县招商引资奖补费用管理办法(试行)</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s="仿宋_GB2312"/>
          <w:color w:val="000000" w:themeColor="text1"/>
          <w:sz w:val="32"/>
          <w:szCs w:val="32"/>
          <w14:textFill>
            <w14:solidFill>
              <w14:schemeClr w14:val="tx1"/>
            </w14:solidFill>
          </w14:textFill>
        </w:rPr>
        <w:t>（邱〔</w:t>
      </w:r>
      <w:r>
        <w:rPr>
          <w:rFonts w:ascii="仿宋_GB2312" w:eastAsia="仿宋_GB2312" w:cs="仿宋_GB2312"/>
          <w:color w:val="000000" w:themeColor="text1"/>
          <w:sz w:val="32"/>
          <w:szCs w:val="32"/>
          <w14:textFill>
            <w14:solidFill>
              <w14:schemeClr w14:val="tx1"/>
            </w14:solidFill>
          </w14:textFill>
        </w:rPr>
        <w:t>2020</w:t>
      </w:r>
      <w:r>
        <w:rPr>
          <w:rFonts w:hint="eastAsia" w:ascii="仿宋_GB2312" w:eastAsia="仿宋_GB2312" w:cs="仿宋_GB2312"/>
          <w:color w:val="000000" w:themeColor="text1"/>
          <w:sz w:val="32"/>
          <w:szCs w:val="32"/>
          <w14:textFill>
            <w14:solidFill>
              <w14:schemeClr w14:val="tx1"/>
            </w14:solidFill>
          </w14:textFill>
        </w:rPr>
        <w:t>〕</w:t>
      </w:r>
      <w:r>
        <w:rPr>
          <w:rFonts w:ascii="仿宋_GB2312" w:eastAsia="仿宋_GB2312" w:cs="仿宋_GB2312"/>
          <w:color w:val="000000" w:themeColor="text1"/>
          <w:sz w:val="32"/>
          <w:szCs w:val="32"/>
          <w14:textFill>
            <w14:solidFill>
              <w14:schemeClr w14:val="tx1"/>
            </w14:solidFill>
          </w14:textFill>
        </w:rPr>
        <w:t>71</w:t>
      </w:r>
      <w:r>
        <w:rPr>
          <w:rFonts w:hint="eastAsia" w:ascii="仿宋_GB2312" w:eastAsia="仿宋_GB2312" w:cs="仿宋_GB2312"/>
          <w:color w:val="000000" w:themeColor="text1"/>
          <w:sz w:val="32"/>
          <w:szCs w:val="32"/>
          <w14:textFill>
            <w14:solidFill>
              <w14:schemeClr w14:val="tx1"/>
            </w14:solidFill>
          </w14:textFill>
        </w:rPr>
        <w:t>号）文件规定奖励。</w:t>
      </w:r>
      <w:r>
        <w:rPr>
          <w:rFonts w:hint="eastAsia" w:ascii="仿宋_GB2312" w:eastAsia="仿宋_GB2312" w:cs="仿宋_GB2312"/>
          <w:color w:val="000000" w:themeColor="text1"/>
          <w:sz w:val="32"/>
          <w:szCs w:val="32"/>
          <w:lang w:eastAsia="zh-CN"/>
          <w14:textFill>
            <w14:solidFill>
              <w14:schemeClr w14:val="tx1"/>
            </w14:solidFill>
          </w14:textFill>
        </w:rPr>
        <w:t>对乡镇、园区、县直单位和驻外招商机构引进项目给予奖补经费，其中奖励单位有功团队和个人部分不低于补助金额的</w:t>
      </w:r>
      <w:r>
        <w:rPr>
          <w:rFonts w:hint="eastAsia" w:ascii="仿宋_GB2312" w:eastAsia="仿宋_GB2312" w:cs="仿宋_GB2312"/>
          <w:color w:val="000000" w:themeColor="text1"/>
          <w:sz w:val="32"/>
          <w:szCs w:val="32"/>
          <w:lang w:val="en-US" w:eastAsia="zh-CN"/>
          <w14:textFill>
            <w14:solidFill>
              <w14:schemeClr w14:val="tx1"/>
            </w14:solidFill>
          </w14:textFill>
        </w:rPr>
        <w:t>80%，剩余部分用于弥补招商工作经费。</w:t>
      </w:r>
      <w:r>
        <w:rPr>
          <w:rFonts w:hint="eastAsia" w:ascii="仿宋_GB2312" w:eastAsia="仿宋_GB2312" w:cs="仿宋_GB2312"/>
          <w:color w:val="000000" w:themeColor="text1"/>
          <w:sz w:val="32"/>
          <w:szCs w:val="32"/>
          <w14:textFill>
            <w14:solidFill>
              <w14:schemeClr w14:val="tx1"/>
            </w14:solidFill>
          </w14:textFill>
        </w:rPr>
        <w:t>凡未能完成年度招商引资任务的单位，在年度目标责任考核中</w:t>
      </w:r>
      <w:r>
        <w:rPr>
          <w:rFonts w:hint="eastAsia" w:ascii="仿宋_GB2312" w:hAnsi="Helvetica" w:eastAsia="仿宋_GB2312" w:cs="仿宋_GB2312"/>
          <w:color w:val="000000" w:themeColor="text1"/>
          <w:kern w:val="0"/>
          <w:sz w:val="32"/>
          <w:szCs w:val="32"/>
          <w14:textFill>
            <w14:solidFill>
              <w14:schemeClr w14:val="tx1"/>
            </w14:solidFill>
          </w14:textFill>
        </w:rPr>
        <w:t>实行“一票降类”</w:t>
      </w:r>
      <w:r>
        <w:rPr>
          <w:rFonts w:hint="eastAsia" w:ascii="仿宋_GB2312" w:eastAsia="仿宋_GB2312" w:cs="仿宋_GB2312"/>
          <w:color w:val="000000" w:themeColor="text1"/>
          <w:sz w:val="32"/>
          <w:szCs w:val="32"/>
          <w14:textFill>
            <w14:solidFill>
              <w14:schemeClr w14:val="tx1"/>
            </w14:solidFill>
          </w14:textFill>
        </w:rPr>
        <w:t>；对乡镇后</w:t>
      </w: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名和县直单位后</w:t>
      </w:r>
      <w:r>
        <w:rPr>
          <w:rFonts w:hint="eastAsia" w:asci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eastAsia="仿宋_GB2312" w:cs="仿宋_GB2312"/>
          <w:color w:val="000000" w:themeColor="text1"/>
          <w:sz w:val="32"/>
          <w:szCs w:val="32"/>
          <w14:textFill>
            <w14:solidFill>
              <w14:schemeClr w14:val="tx1"/>
            </w14:solidFill>
          </w14:textFill>
        </w:rPr>
        <w:t>名的主要负责人进行约谈、通报；对届内未完成任务的驻外招商</w:t>
      </w:r>
      <w:r>
        <w:rPr>
          <w:rFonts w:hint="eastAsia" w:ascii="仿宋_GB2312" w:eastAsia="仿宋_GB2312" w:cs="仿宋_GB2312"/>
          <w:color w:val="000000" w:themeColor="text1"/>
          <w:sz w:val="32"/>
          <w:szCs w:val="32"/>
          <w:lang w:eastAsia="zh-CN"/>
          <w14:textFill>
            <w14:solidFill>
              <w14:schemeClr w14:val="tx1"/>
            </w14:solidFill>
          </w14:textFill>
        </w:rPr>
        <w:t>机构</w:t>
      </w:r>
      <w:r>
        <w:rPr>
          <w:rFonts w:hint="eastAsia" w:ascii="仿宋_GB2312" w:eastAsia="仿宋_GB2312" w:cs="仿宋_GB2312"/>
          <w:color w:val="000000" w:themeColor="text1"/>
          <w:sz w:val="32"/>
          <w:szCs w:val="32"/>
          <w14:textFill>
            <w14:solidFill>
              <w14:schemeClr w14:val="tx1"/>
            </w14:solidFill>
          </w14:textFill>
        </w:rPr>
        <w:t>扣减相应的工作经费，并列入考核调整对象。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eastAsia="仿宋_GB2312" w:cs="仿宋_GB2312"/>
          <w:sz w:val="32"/>
          <w:szCs w:val="32"/>
        </w:rPr>
      </w:pPr>
      <w:r>
        <w:rPr>
          <w:rFonts w:hint="eastAsia" w:ascii="黑体" w:hAnsi="黑体" w:eastAsia="黑体" w:cs="黑体"/>
          <w:sz w:val="32"/>
          <w:szCs w:val="32"/>
        </w:rPr>
        <w:t>十四、建立容错</w:t>
      </w:r>
      <w:r>
        <w:rPr>
          <w:rFonts w:hint="eastAsia" w:ascii="黑体" w:hAnsi="黑体" w:eastAsia="黑体" w:cs="黑体"/>
          <w:sz w:val="32"/>
          <w:szCs w:val="32"/>
          <w:lang w:eastAsia="zh-CN"/>
        </w:rPr>
        <w:t>纠错</w:t>
      </w:r>
      <w:r>
        <w:rPr>
          <w:rFonts w:hint="eastAsia" w:ascii="黑体" w:hAnsi="黑体" w:eastAsia="黑体" w:cs="黑体"/>
          <w:sz w:val="32"/>
          <w:szCs w:val="32"/>
        </w:rPr>
        <w:t>机制。</w:t>
      </w:r>
      <w:r>
        <w:rPr>
          <w:rFonts w:hint="eastAsia" w:ascii="仿宋_GB2312" w:eastAsia="仿宋_GB2312" w:cs="仿宋_GB2312"/>
          <w:sz w:val="32"/>
          <w:szCs w:val="32"/>
        </w:rPr>
        <w:t>加快形成鼓励进取、宽容失误制度体系，营造想招商、敢招商、善招商的良好氛围。建立招商引资工作容错纠错免责机制，</w:t>
      </w:r>
      <w:r>
        <w:rPr>
          <w:rFonts w:hint="eastAsia" w:ascii="仿宋_GB2312" w:eastAsia="仿宋_GB2312" w:cs="仿宋_GB2312"/>
          <w:color w:val="000000" w:themeColor="text1"/>
          <w:sz w:val="32"/>
          <w:szCs w:val="32"/>
          <w14:textFill>
            <w14:solidFill>
              <w14:schemeClr w14:val="tx1"/>
            </w14:solidFill>
          </w14:textFill>
        </w:rPr>
        <w:t>对在招商引资过程中出于公心推进项目速度、没有为个人或他人谋取私利，因法律法规未明令禁止、政策界限不明确及实行简化程序审批项目等情</w:t>
      </w:r>
      <w:r>
        <w:rPr>
          <w:rFonts w:hint="eastAsia" w:ascii="仿宋_GB2312" w:eastAsia="仿宋_GB2312" w:cs="仿宋_GB2312"/>
          <w:sz w:val="32"/>
          <w:szCs w:val="32"/>
        </w:rPr>
        <w:t>形而出现工作失误或过失的，坚持宽严相济原则，给予容错免责。</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本文件自印发之日起执行。</w:t>
      </w:r>
      <w:r>
        <w:rPr>
          <w:rFonts w:hint="eastAsia" w:ascii="仿宋_GB2312" w:eastAsia="仿宋_GB2312" w:cs="仿宋_GB2312"/>
          <w:sz w:val="32"/>
          <w:szCs w:val="32"/>
          <w:lang w:val="en-US" w:eastAsia="zh-CN"/>
        </w:rPr>
        <w:t>2020年以来县有关招商引资的</w:t>
      </w:r>
      <w:r>
        <w:rPr>
          <w:rFonts w:hint="eastAsia" w:ascii="仿宋_GB2312" w:eastAsia="仿宋_GB2312" w:cs="仿宋_GB2312"/>
          <w:sz w:val="32"/>
          <w:szCs w:val="32"/>
        </w:rPr>
        <w:t>文件继续执行，其中与本文件不一致的，以本文件为准。</w:t>
      </w:r>
    </w:p>
    <w:sectPr>
      <w:footerReference r:id="rId3" w:type="default"/>
      <w:pgSz w:w="11906" w:h="16838"/>
      <w:pgMar w:top="2098" w:right="1587" w:bottom="1701" w:left="1587" w:header="851" w:footer="147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- 5 -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S8dcsBAACc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7Ks&#10;Vq9yh/oANSbeBUxNw1s/4N7MfkBnFj6oaPMXJRGMY3/P1/7KIRGRH61X63WFIYGx+YL47OF5iJDe&#10;SW9JNhoacYClr/z0AdKYOqfkas7famPKEI37y4GY2cMy95FjttKwHyZBe9+eUU+Ps2+ow1WnxLx3&#10;2Nq8JrMRZ2M/G8cQ9aFDasvCC8KbY0IShVuuMMJOhXFoRd20YHkr/ryXrI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PUvHXLAQAAnAMAAA4AAAAAAAAAAQAgAAAAHgEAAGRycy9lMm9E&#10;b2MueG1sUEsFBgAAAAAGAAYAWQEAAFsFAAAAAA==&#10;">
              <v:fill on="f" focussize="0,0"/>
              <v:stroke on="f"/>
              <v:imagedata o:title=""/>
              <o:lock v:ext="edit" aspectratio="f"/>
              <v:textbox inset="0mm,0mm,0mm,0mm" style="mso-fit-shape-to-text:t;">
                <w:txbxContent>
                  <w:p>
                    <w:pPr>
                      <w:pStyle w:val="5"/>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- 5 -</w:t>
                    </w:r>
                    <w:r>
                      <w:rPr>
                        <w:rFonts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cs="Times New Roman"/>
                            </w:rP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Sr8sBAACc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Fl&#10;tbrJHeoD1Jh4HzA1DW/9gHsz+wGdWfigos1flEQwjv09X/srh0REfrRerdcVhgTG5gvis4fnIUJ6&#10;J70l2WhoxAGWvvLTB0hj6pySqzl/p40pQzTuLwdiZg/L3EeO2UrDfpgE7X17Rj09zr6hDledEvPe&#10;YWvzmsxGnI39bBxD1IcOqS0LLwhvjglJFG65wgg7FcahFXXTguWteHwvWQ8/1f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Pt0q/LAQAAnAMAAA4AAAAAAAAAAQAgAAAAHgEAAGRycy9lMm9E&#10;b2MueG1sUEsFBgAAAAAGAAYAWQEAAFsFAAAAAA==&#10;">
              <v:fill on="f" focussize="0,0"/>
              <v:stroke on="f"/>
              <v:imagedata o:title=""/>
              <o:lock v:ext="edit" aspectratio="f"/>
              <v:textbox inset="0mm,0mm,0mm,0mm" style="mso-fit-shape-to-text:t;">
                <w:txbxContent>
                  <w:p>
                    <w:pPr>
                      <w:rPr>
                        <w:rFonts w:cs="Times New Roma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A6896"/>
    <w:rsid w:val="0000455C"/>
    <w:rsid w:val="00004DB8"/>
    <w:rsid w:val="00010D30"/>
    <w:rsid w:val="000162E6"/>
    <w:rsid w:val="000314B6"/>
    <w:rsid w:val="00032F1F"/>
    <w:rsid w:val="000332AC"/>
    <w:rsid w:val="00044061"/>
    <w:rsid w:val="0004442B"/>
    <w:rsid w:val="000452ED"/>
    <w:rsid w:val="00047F5A"/>
    <w:rsid w:val="0005051D"/>
    <w:rsid w:val="0005474B"/>
    <w:rsid w:val="00055209"/>
    <w:rsid w:val="000642BD"/>
    <w:rsid w:val="00070DA8"/>
    <w:rsid w:val="00071CB3"/>
    <w:rsid w:val="00072A2F"/>
    <w:rsid w:val="00072A74"/>
    <w:rsid w:val="00072D1F"/>
    <w:rsid w:val="00072E50"/>
    <w:rsid w:val="000747B4"/>
    <w:rsid w:val="000762C9"/>
    <w:rsid w:val="000766B2"/>
    <w:rsid w:val="00076AF9"/>
    <w:rsid w:val="000852F7"/>
    <w:rsid w:val="00090696"/>
    <w:rsid w:val="000907D9"/>
    <w:rsid w:val="000963BD"/>
    <w:rsid w:val="000A230D"/>
    <w:rsid w:val="000A31CD"/>
    <w:rsid w:val="000B0491"/>
    <w:rsid w:val="000B68EC"/>
    <w:rsid w:val="000B7F32"/>
    <w:rsid w:val="000C0E26"/>
    <w:rsid w:val="000C5F2F"/>
    <w:rsid w:val="000C5F90"/>
    <w:rsid w:val="000C6563"/>
    <w:rsid w:val="000D174B"/>
    <w:rsid w:val="000D28DF"/>
    <w:rsid w:val="000F0EE9"/>
    <w:rsid w:val="000F36C7"/>
    <w:rsid w:val="000F69CA"/>
    <w:rsid w:val="00105116"/>
    <w:rsid w:val="0010514C"/>
    <w:rsid w:val="001059EB"/>
    <w:rsid w:val="00106D21"/>
    <w:rsid w:val="001103EF"/>
    <w:rsid w:val="001108B8"/>
    <w:rsid w:val="00112FC6"/>
    <w:rsid w:val="00121BFC"/>
    <w:rsid w:val="0013301E"/>
    <w:rsid w:val="001365CA"/>
    <w:rsid w:val="00142F93"/>
    <w:rsid w:val="00147522"/>
    <w:rsid w:val="001526DA"/>
    <w:rsid w:val="00154F1C"/>
    <w:rsid w:val="00155E74"/>
    <w:rsid w:val="00161D39"/>
    <w:rsid w:val="0017640D"/>
    <w:rsid w:val="00177D86"/>
    <w:rsid w:val="00181C83"/>
    <w:rsid w:val="00185D91"/>
    <w:rsid w:val="001A5248"/>
    <w:rsid w:val="001A565C"/>
    <w:rsid w:val="001A657D"/>
    <w:rsid w:val="001B3283"/>
    <w:rsid w:val="001B4632"/>
    <w:rsid w:val="001C0DBD"/>
    <w:rsid w:val="001C1A8E"/>
    <w:rsid w:val="001E3D0E"/>
    <w:rsid w:val="001E5AF1"/>
    <w:rsid w:val="001E7727"/>
    <w:rsid w:val="001E773E"/>
    <w:rsid w:val="001E7F38"/>
    <w:rsid w:val="001F065B"/>
    <w:rsid w:val="001F4DFB"/>
    <w:rsid w:val="001F553A"/>
    <w:rsid w:val="001F5A2B"/>
    <w:rsid w:val="002004E5"/>
    <w:rsid w:val="00202E94"/>
    <w:rsid w:val="0020558E"/>
    <w:rsid w:val="0020678F"/>
    <w:rsid w:val="0022148B"/>
    <w:rsid w:val="00232924"/>
    <w:rsid w:val="002359D1"/>
    <w:rsid w:val="00236313"/>
    <w:rsid w:val="00236765"/>
    <w:rsid w:val="00236B04"/>
    <w:rsid w:val="002430FF"/>
    <w:rsid w:val="00243150"/>
    <w:rsid w:val="00244178"/>
    <w:rsid w:val="00247823"/>
    <w:rsid w:val="00247B49"/>
    <w:rsid w:val="0026182A"/>
    <w:rsid w:val="00277FFB"/>
    <w:rsid w:val="002866AD"/>
    <w:rsid w:val="00286B04"/>
    <w:rsid w:val="00290E99"/>
    <w:rsid w:val="002A7A11"/>
    <w:rsid w:val="002A7E64"/>
    <w:rsid w:val="002B2B70"/>
    <w:rsid w:val="002B572C"/>
    <w:rsid w:val="002B5CCA"/>
    <w:rsid w:val="002B5F15"/>
    <w:rsid w:val="002C4C3B"/>
    <w:rsid w:val="002D0874"/>
    <w:rsid w:val="002D0B68"/>
    <w:rsid w:val="002D193E"/>
    <w:rsid w:val="002E2517"/>
    <w:rsid w:val="002E27FF"/>
    <w:rsid w:val="002F1D82"/>
    <w:rsid w:val="002F5B91"/>
    <w:rsid w:val="002F7BBB"/>
    <w:rsid w:val="002F7E63"/>
    <w:rsid w:val="00307D37"/>
    <w:rsid w:val="00311D7A"/>
    <w:rsid w:val="00317404"/>
    <w:rsid w:val="00317F40"/>
    <w:rsid w:val="003305F8"/>
    <w:rsid w:val="00333AED"/>
    <w:rsid w:val="00335D0D"/>
    <w:rsid w:val="00340B5B"/>
    <w:rsid w:val="00344C5E"/>
    <w:rsid w:val="00353FF3"/>
    <w:rsid w:val="00356A34"/>
    <w:rsid w:val="00376BBE"/>
    <w:rsid w:val="00380BB4"/>
    <w:rsid w:val="00383404"/>
    <w:rsid w:val="00384AC8"/>
    <w:rsid w:val="00386474"/>
    <w:rsid w:val="00390F7F"/>
    <w:rsid w:val="00393627"/>
    <w:rsid w:val="00394A9D"/>
    <w:rsid w:val="003A0E7C"/>
    <w:rsid w:val="003B37D4"/>
    <w:rsid w:val="003B5CE6"/>
    <w:rsid w:val="003C0D11"/>
    <w:rsid w:val="003C1D44"/>
    <w:rsid w:val="003C20FB"/>
    <w:rsid w:val="003D04E3"/>
    <w:rsid w:val="003D7450"/>
    <w:rsid w:val="003D7AD8"/>
    <w:rsid w:val="003D7F5D"/>
    <w:rsid w:val="003E52FB"/>
    <w:rsid w:val="003E58C3"/>
    <w:rsid w:val="003F7216"/>
    <w:rsid w:val="003F7AF3"/>
    <w:rsid w:val="00401A1D"/>
    <w:rsid w:val="00406335"/>
    <w:rsid w:val="00407EF3"/>
    <w:rsid w:val="00411867"/>
    <w:rsid w:val="00413C5F"/>
    <w:rsid w:val="00413FA9"/>
    <w:rsid w:val="00420361"/>
    <w:rsid w:val="004215ED"/>
    <w:rsid w:val="004248CD"/>
    <w:rsid w:val="00451030"/>
    <w:rsid w:val="00451977"/>
    <w:rsid w:val="00456821"/>
    <w:rsid w:val="00457EB3"/>
    <w:rsid w:val="00460743"/>
    <w:rsid w:val="00471C66"/>
    <w:rsid w:val="00472F46"/>
    <w:rsid w:val="0048337D"/>
    <w:rsid w:val="004836AC"/>
    <w:rsid w:val="00491FB2"/>
    <w:rsid w:val="00496A93"/>
    <w:rsid w:val="004A09BC"/>
    <w:rsid w:val="004A1F67"/>
    <w:rsid w:val="004A2F64"/>
    <w:rsid w:val="004B3D11"/>
    <w:rsid w:val="004B3F0A"/>
    <w:rsid w:val="004B45FC"/>
    <w:rsid w:val="004C2733"/>
    <w:rsid w:val="004C4AC9"/>
    <w:rsid w:val="004D4E04"/>
    <w:rsid w:val="004D6686"/>
    <w:rsid w:val="004D774A"/>
    <w:rsid w:val="004E22A8"/>
    <w:rsid w:val="004E4FD0"/>
    <w:rsid w:val="004E5194"/>
    <w:rsid w:val="004E55EA"/>
    <w:rsid w:val="004E5F86"/>
    <w:rsid w:val="004F6768"/>
    <w:rsid w:val="0050490F"/>
    <w:rsid w:val="005049AD"/>
    <w:rsid w:val="00504AE1"/>
    <w:rsid w:val="0051765A"/>
    <w:rsid w:val="00532839"/>
    <w:rsid w:val="00533107"/>
    <w:rsid w:val="00535A44"/>
    <w:rsid w:val="005455B0"/>
    <w:rsid w:val="00551153"/>
    <w:rsid w:val="00553515"/>
    <w:rsid w:val="0056528F"/>
    <w:rsid w:val="00570B2B"/>
    <w:rsid w:val="005721BA"/>
    <w:rsid w:val="0057334D"/>
    <w:rsid w:val="005734E7"/>
    <w:rsid w:val="005741CD"/>
    <w:rsid w:val="00580941"/>
    <w:rsid w:val="005812FC"/>
    <w:rsid w:val="00581B1A"/>
    <w:rsid w:val="0058483A"/>
    <w:rsid w:val="00585FE2"/>
    <w:rsid w:val="005869DA"/>
    <w:rsid w:val="00586FCC"/>
    <w:rsid w:val="00590137"/>
    <w:rsid w:val="00590272"/>
    <w:rsid w:val="005A1F28"/>
    <w:rsid w:val="005A24DF"/>
    <w:rsid w:val="005A6421"/>
    <w:rsid w:val="005B753D"/>
    <w:rsid w:val="005B7D77"/>
    <w:rsid w:val="005C3F15"/>
    <w:rsid w:val="005C4BFE"/>
    <w:rsid w:val="005C5CE3"/>
    <w:rsid w:val="005D6317"/>
    <w:rsid w:val="005D65EC"/>
    <w:rsid w:val="005D79AC"/>
    <w:rsid w:val="005D7A0A"/>
    <w:rsid w:val="005E40B1"/>
    <w:rsid w:val="005E536C"/>
    <w:rsid w:val="005E54CC"/>
    <w:rsid w:val="005E6775"/>
    <w:rsid w:val="005F059A"/>
    <w:rsid w:val="005F500E"/>
    <w:rsid w:val="00605C05"/>
    <w:rsid w:val="006070A6"/>
    <w:rsid w:val="00610C7C"/>
    <w:rsid w:val="00617BB9"/>
    <w:rsid w:val="00623633"/>
    <w:rsid w:val="00625649"/>
    <w:rsid w:val="00626936"/>
    <w:rsid w:val="006329D0"/>
    <w:rsid w:val="00635603"/>
    <w:rsid w:val="0063759E"/>
    <w:rsid w:val="006375DE"/>
    <w:rsid w:val="006561F6"/>
    <w:rsid w:val="00670772"/>
    <w:rsid w:val="00671A3F"/>
    <w:rsid w:val="00673839"/>
    <w:rsid w:val="00674762"/>
    <w:rsid w:val="00676554"/>
    <w:rsid w:val="00677367"/>
    <w:rsid w:val="0068025B"/>
    <w:rsid w:val="0068610C"/>
    <w:rsid w:val="006870D3"/>
    <w:rsid w:val="00693BF2"/>
    <w:rsid w:val="00696EAF"/>
    <w:rsid w:val="0069747B"/>
    <w:rsid w:val="006A3C56"/>
    <w:rsid w:val="006B17C9"/>
    <w:rsid w:val="006B4191"/>
    <w:rsid w:val="006B6163"/>
    <w:rsid w:val="006B6969"/>
    <w:rsid w:val="006B6FC9"/>
    <w:rsid w:val="006C264C"/>
    <w:rsid w:val="006D0052"/>
    <w:rsid w:val="006D1C52"/>
    <w:rsid w:val="006E1AA7"/>
    <w:rsid w:val="006E455F"/>
    <w:rsid w:val="006E478F"/>
    <w:rsid w:val="006E4884"/>
    <w:rsid w:val="006F09C3"/>
    <w:rsid w:val="006F219C"/>
    <w:rsid w:val="006F510F"/>
    <w:rsid w:val="006F5D40"/>
    <w:rsid w:val="006F692C"/>
    <w:rsid w:val="00701E3C"/>
    <w:rsid w:val="007045BA"/>
    <w:rsid w:val="00706432"/>
    <w:rsid w:val="00710720"/>
    <w:rsid w:val="00715D63"/>
    <w:rsid w:val="00716592"/>
    <w:rsid w:val="00731573"/>
    <w:rsid w:val="007321E0"/>
    <w:rsid w:val="007336A6"/>
    <w:rsid w:val="00741995"/>
    <w:rsid w:val="007429EA"/>
    <w:rsid w:val="00743F98"/>
    <w:rsid w:val="00747090"/>
    <w:rsid w:val="00762772"/>
    <w:rsid w:val="007645E3"/>
    <w:rsid w:val="007717CB"/>
    <w:rsid w:val="00771923"/>
    <w:rsid w:val="007757F3"/>
    <w:rsid w:val="00776DDB"/>
    <w:rsid w:val="00777A88"/>
    <w:rsid w:val="007824CA"/>
    <w:rsid w:val="007A270D"/>
    <w:rsid w:val="007A3CEA"/>
    <w:rsid w:val="007A4BEC"/>
    <w:rsid w:val="007A74B0"/>
    <w:rsid w:val="007B0C10"/>
    <w:rsid w:val="007B14E6"/>
    <w:rsid w:val="007B2773"/>
    <w:rsid w:val="007B4442"/>
    <w:rsid w:val="007C0BA6"/>
    <w:rsid w:val="007C355D"/>
    <w:rsid w:val="007C3681"/>
    <w:rsid w:val="007C41D3"/>
    <w:rsid w:val="007D16C2"/>
    <w:rsid w:val="007D34EF"/>
    <w:rsid w:val="007D6315"/>
    <w:rsid w:val="007E1E12"/>
    <w:rsid w:val="007E5603"/>
    <w:rsid w:val="007E6D84"/>
    <w:rsid w:val="007F2DCA"/>
    <w:rsid w:val="007F6838"/>
    <w:rsid w:val="007F6C05"/>
    <w:rsid w:val="007F738B"/>
    <w:rsid w:val="00804CE3"/>
    <w:rsid w:val="00812D46"/>
    <w:rsid w:val="008130FD"/>
    <w:rsid w:val="008147E6"/>
    <w:rsid w:val="00817C4D"/>
    <w:rsid w:val="00822CED"/>
    <w:rsid w:val="00825E9C"/>
    <w:rsid w:val="00832C16"/>
    <w:rsid w:val="00833204"/>
    <w:rsid w:val="008332CD"/>
    <w:rsid w:val="00836012"/>
    <w:rsid w:val="00847DCE"/>
    <w:rsid w:val="0085198F"/>
    <w:rsid w:val="0085254F"/>
    <w:rsid w:val="008627E0"/>
    <w:rsid w:val="00863CE6"/>
    <w:rsid w:val="008700FB"/>
    <w:rsid w:val="008720C8"/>
    <w:rsid w:val="00872F3D"/>
    <w:rsid w:val="008751B7"/>
    <w:rsid w:val="00875FA5"/>
    <w:rsid w:val="00885D6D"/>
    <w:rsid w:val="0089396C"/>
    <w:rsid w:val="008B1787"/>
    <w:rsid w:val="008B5374"/>
    <w:rsid w:val="008B76C8"/>
    <w:rsid w:val="008C40C9"/>
    <w:rsid w:val="008D0D9E"/>
    <w:rsid w:val="008D1B0B"/>
    <w:rsid w:val="008E1D81"/>
    <w:rsid w:val="008E3529"/>
    <w:rsid w:val="008F7C02"/>
    <w:rsid w:val="00900B42"/>
    <w:rsid w:val="0090204C"/>
    <w:rsid w:val="00903FC6"/>
    <w:rsid w:val="00913178"/>
    <w:rsid w:val="0092103F"/>
    <w:rsid w:val="0092405E"/>
    <w:rsid w:val="00925870"/>
    <w:rsid w:val="00925D66"/>
    <w:rsid w:val="00927CD4"/>
    <w:rsid w:val="00931DFF"/>
    <w:rsid w:val="00932CDD"/>
    <w:rsid w:val="009334A0"/>
    <w:rsid w:val="00933D21"/>
    <w:rsid w:val="00935D76"/>
    <w:rsid w:val="0093637F"/>
    <w:rsid w:val="00941CAB"/>
    <w:rsid w:val="00951F58"/>
    <w:rsid w:val="0095294F"/>
    <w:rsid w:val="0096120A"/>
    <w:rsid w:val="00961350"/>
    <w:rsid w:val="00961AD4"/>
    <w:rsid w:val="00965E7F"/>
    <w:rsid w:val="009671A0"/>
    <w:rsid w:val="0097338B"/>
    <w:rsid w:val="00973B04"/>
    <w:rsid w:val="00980E87"/>
    <w:rsid w:val="00983A85"/>
    <w:rsid w:val="009842B3"/>
    <w:rsid w:val="00987538"/>
    <w:rsid w:val="00992DDF"/>
    <w:rsid w:val="00995060"/>
    <w:rsid w:val="00997668"/>
    <w:rsid w:val="009A0C1F"/>
    <w:rsid w:val="009A2656"/>
    <w:rsid w:val="009A31CB"/>
    <w:rsid w:val="009A625F"/>
    <w:rsid w:val="009A677E"/>
    <w:rsid w:val="009B060A"/>
    <w:rsid w:val="009B6EB1"/>
    <w:rsid w:val="009C0898"/>
    <w:rsid w:val="009C3D64"/>
    <w:rsid w:val="009D012B"/>
    <w:rsid w:val="009D164B"/>
    <w:rsid w:val="009E3A72"/>
    <w:rsid w:val="009F4545"/>
    <w:rsid w:val="009F4D2B"/>
    <w:rsid w:val="00A039EB"/>
    <w:rsid w:val="00A13C04"/>
    <w:rsid w:val="00A16875"/>
    <w:rsid w:val="00A172EF"/>
    <w:rsid w:val="00A17406"/>
    <w:rsid w:val="00A17E0F"/>
    <w:rsid w:val="00A31226"/>
    <w:rsid w:val="00A31550"/>
    <w:rsid w:val="00A35F7A"/>
    <w:rsid w:val="00A37822"/>
    <w:rsid w:val="00A4300B"/>
    <w:rsid w:val="00A43B5A"/>
    <w:rsid w:val="00A43D1A"/>
    <w:rsid w:val="00A45010"/>
    <w:rsid w:val="00A501B0"/>
    <w:rsid w:val="00A50764"/>
    <w:rsid w:val="00A54455"/>
    <w:rsid w:val="00A547FC"/>
    <w:rsid w:val="00A566AE"/>
    <w:rsid w:val="00A603AB"/>
    <w:rsid w:val="00A6131D"/>
    <w:rsid w:val="00A633CC"/>
    <w:rsid w:val="00A63E41"/>
    <w:rsid w:val="00A6408D"/>
    <w:rsid w:val="00A81C5B"/>
    <w:rsid w:val="00A81E34"/>
    <w:rsid w:val="00A916D4"/>
    <w:rsid w:val="00A923EA"/>
    <w:rsid w:val="00AA7892"/>
    <w:rsid w:val="00AB2DF8"/>
    <w:rsid w:val="00AC20AB"/>
    <w:rsid w:val="00AC2F90"/>
    <w:rsid w:val="00AC3522"/>
    <w:rsid w:val="00AC443F"/>
    <w:rsid w:val="00AC535E"/>
    <w:rsid w:val="00AC53F1"/>
    <w:rsid w:val="00AD2301"/>
    <w:rsid w:val="00AD70A0"/>
    <w:rsid w:val="00AD7782"/>
    <w:rsid w:val="00AE30FD"/>
    <w:rsid w:val="00AF0FB1"/>
    <w:rsid w:val="00AF18FD"/>
    <w:rsid w:val="00AF1A24"/>
    <w:rsid w:val="00AF3062"/>
    <w:rsid w:val="00AF3C62"/>
    <w:rsid w:val="00B03CA0"/>
    <w:rsid w:val="00B0730F"/>
    <w:rsid w:val="00B22268"/>
    <w:rsid w:val="00B24DDE"/>
    <w:rsid w:val="00B330E0"/>
    <w:rsid w:val="00B34BDB"/>
    <w:rsid w:val="00B433B5"/>
    <w:rsid w:val="00B46C9E"/>
    <w:rsid w:val="00B51A87"/>
    <w:rsid w:val="00B55915"/>
    <w:rsid w:val="00B62FAB"/>
    <w:rsid w:val="00B7025A"/>
    <w:rsid w:val="00B709B3"/>
    <w:rsid w:val="00B71095"/>
    <w:rsid w:val="00B81962"/>
    <w:rsid w:val="00B91C1C"/>
    <w:rsid w:val="00B91F2F"/>
    <w:rsid w:val="00B93A8A"/>
    <w:rsid w:val="00B97D72"/>
    <w:rsid w:val="00BA37B9"/>
    <w:rsid w:val="00BB1C31"/>
    <w:rsid w:val="00BB2148"/>
    <w:rsid w:val="00BB6E6E"/>
    <w:rsid w:val="00BC0364"/>
    <w:rsid w:val="00BC7A35"/>
    <w:rsid w:val="00BD0590"/>
    <w:rsid w:val="00BD6487"/>
    <w:rsid w:val="00BE0D9F"/>
    <w:rsid w:val="00BE3198"/>
    <w:rsid w:val="00BE3FC2"/>
    <w:rsid w:val="00BE7095"/>
    <w:rsid w:val="00BF184C"/>
    <w:rsid w:val="00C00D99"/>
    <w:rsid w:val="00C0148D"/>
    <w:rsid w:val="00C0708D"/>
    <w:rsid w:val="00C10C9E"/>
    <w:rsid w:val="00C13A97"/>
    <w:rsid w:val="00C1799F"/>
    <w:rsid w:val="00C22500"/>
    <w:rsid w:val="00C23904"/>
    <w:rsid w:val="00C25F31"/>
    <w:rsid w:val="00C26550"/>
    <w:rsid w:val="00C2793F"/>
    <w:rsid w:val="00C45A20"/>
    <w:rsid w:val="00C46562"/>
    <w:rsid w:val="00C47939"/>
    <w:rsid w:val="00C54926"/>
    <w:rsid w:val="00C54A5B"/>
    <w:rsid w:val="00C55B99"/>
    <w:rsid w:val="00C57A90"/>
    <w:rsid w:val="00C64584"/>
    <w:rsid w:val="00C66B42"/>
    <w:rsid w:val="00C66DB8"/>
    <w:rsid w:val="00C7435B"/>
    <w:rsid w:val="00C81E42"/>
    <w:rsid w:val="00C829A2"/>
    <w:rsid w:val="00C85CDF"/>
    <w:rsid w:val="00C86575"/>
    <w:rsid w:val="00C87E88"/>
    <w:rsid w:val="00C9007D"/>
    <w:rsid w:val="00C911A1"/>
    <w:rsid w:val="00C94542"/>
    <w:rsid w:val="00C97E30"/>
    <w:rsid w:val="00CA1CE7"/>
    <w:rsid w:val="00CA4CD2"/>
    <w:rsid w:val="00CA630E"/>
    <w:rsid w:val="00CB1100"/>
    <w:rsid w:val="00CB379F"/>
    <w:rsid w:val="00CB5F7B"/>
    <w:rsid w:val="00CB643F"/>
    <w:rsid w:val="00CB7116"/>
    <w:rsid w:val="00CC0538"/>
    <w:rsid w:val="00CC42C6"/>
    <w:rsid w:val="00CD02C7"/>
    <w:rsid w:val="00CD07EE"/>
    <w:rsid w:val="00CE156C"/>
    <w:rsid w:val="00CE3CC9"/>
    <w:rsid w:val="00CE4628"/>
    <w:rsid w:val="00D01C0F"/>
    <w:rsid w:val="00D0718F"/>
    <w:rsid w:val="00D13B0B"/>
    <w:rsid w:val="00D23E58"/>
    <w:rsid w:val="00D2578B"/>
    <w:rsid w:val="00D27D80"/>
    <w:rsid w:val="00D3181C"/>
    <w:rsid w:val="00D346AF"/>
    <w:rsid w:val="00D43C88"/>
    <w:rsid w:val="00D43DC4"/>
    <w:rsid w:val="00D460C1"/>
    <w:rsid w:val="00D5298D"/>
    <w:rsid w:val="00D53949"/>
    <w:rsid w:val="00D5566D"/>
    <w:rsid w:val="00D62C95"/>
    <w:rsid w:val="00D64BAA"/>
    <w:rsid w:val="00D7257E"/>
    <w:rsid w:val="00D80FFC"/>
    <w:rsid w:val="00D81F63"/>
    <w:rsid w:val="00D84F71"/>
    <w:rsid w:val="00D967AC"/>
    <w:rsid w:val="00D96C09"/>
    <w:rsid w:val="00DA0E43"/>
    <w:rsid w:val="00DA16C4"/>
    <w:rsid w:val="00DA1F47"/>
    <w:rsid w:val="00DA675A"/>
    <w:rsid w:val="00DB0406"/>
    <w:rsid w:val="00DB198D"/>
    <w:rsid w:val="00DB58EC"/>
    <w:rsid w:val="00DB6A6D"/>
    <w:rsid w:val="00DD0985"/>
    <w:rsid w:val="00DD4121"/>
    <w:rsid w:val="00DE2043"/>
    <w:rsid w:val="00DF077E"/>
    <w:rsid w:val="00DF228F"/>
    <w:rsid w:val="00DF342F"/>
    <w:rsid w:val="00DF66D2"/>
    <w:rsid w:val="00DF67CB"/>
    <w:rsid w:val="00E0056F"/>
    <w:rsid w:val="00E01C8F"/>
    <w:rsid w:val="00E0241D"/>
    <w:rsid w:val="00E0456E"/>
    <w:rsid w:val="00E076FA"/>
    <w:rsid w:val="00E16940"/>
    <w:rsid w:val="00E25C4D"/>
    <w:rsid w:val="00E4282B"/>
    <w:rsid w:val="00E4384B"/>
    <w:rsid w:val="00E532FD"/>
    <w:rsid w:val="00E5465D"/>
    <w:rsid w:val="00E6008C"/>
    <w:rsid w:val="00E6721F"/>
    <w:rsid w:val="00E71466"/>
    <w:rsid w:val="00E751D0"/>
    <w:rsid w:val="00E77CE0"/>
    <w:rsid w:val="00E8034E"/>
    <w:rsid w:val="00E86A11"/>
    <w:rsid w:val="00E91357"/>
    <w:rsid w:val="00E9286C"/>
    <w:rsid w:val="00E96A76"/>
    <w:rsid w:val="00E979D8"/>
    <w:rsid w:val="00EA0051"/>
    <w:rsid w:val="00EA0136"/>
    <w:rsid w:val="00EA1746"/>
    <w:rsid w:val="00EA1F85"/>
    <w:rsid w:val="00EA3D4A"/>
    <w:rsid w:val="00EB140A"/>
    <w:rsid w:val="00EC5C43"/>
    <w:rsid w:val="00EE03AD"/>
    <w:rsid w:val="00EE189B"/>
    <w:rsid w:val="00EE74B3"/>
    <w:rsid w:val="00EF12B2"/>
    <w:rsid w:val="00EF634B"/>
    <w:rsid w:val="00F0272B"/>
    <w:rsid w:val="00F04A9A"/>
    <w:rsid w:val="00F10663"/>
    <w:rsid w:val="00F108E8"/>
    <w:rsid w:val="00F16818"/>
    <w:rsid w:val="00F2146F"/>
    <w:rsid w:val="00F23044"/>
    <w:rsid w:val="00F3076E"/>
    <w:rsid w:val="00F30C48"/>
    <w:rsid w:val="00F35D12"/>
    <w:rsid w:val="00F37B0F"/>
    <w:rsid w:val="00F4290E"/>
    <w:rsid w:val="00F43595"/>
    <w:rsid w:val="00F46014"/>
    <w:rsid w:val="00F46D5D"/>
    <w:rsid w:val="00F547E9"/>
    <w:rsid w:val="00F623E6"/>
    <w:rsid w:val="00F62963"/>
    <w:rsid w:val="00F660CE"/>
    <w:rsid w:val="00F735A1"/>
    <w:rsid w:val="00F75124"/>
    <w:rsid w:val="00F819A4"/>
    <w:rsid w:val="00F850D6"/>
    <w:rsid w:val="00F90037"/>
    <w:rsid w:val="00F93BB4"/>
    <w:rsid w:val="00F94731"/>
    <w:rsid w:val="00F9533F"/>
    <w:rsid w:val="00FA1FC0"/>
    <w:rsid w:val="00FA3B52"/>
    <w:rsid w:val="00FB0C18"/>
    <w:rsid w:val="00FB165B"/>
    <w:rsid w:val="00FB6323"/>
    <w:rsid w:val="00FC25DE"/>
    <w:rsid w:val="00FC6C18"/>
    <w:rsid w:val="00FD6D2A"/>
    <w:rsid w:val="00FE3503"/>
    <w:rsid w:val="00FE3B58"/>
    <w:rsid w:val="00FF21DB"/>
    <w:rsid w:val="00FF3545"/>
    <w:rsid w:val="00FF617E"/>
    <w:rsid w:val="00FF6BA0"/>
    <w:rsid w:val="05F60E36"/>
    <w:rsid w:val="09E44B99"/>
    <w:rsid w:val="0C5F63D1"/>
    <w:rsid w:val="0C6A6896"/>
    <w:rsid w:val="12CA0898"/>
    <w:rsid w:val="14D4053F"/>
    <w:rsid w:val="183E74A1"/>
    <w:rsid w:val="18D26050"/>
    <w:rsid w:val="19DA5F81"/>
    <w:rsid w:val="1C5C4EDD"/>
    <w:rsid w:val="1E4C4D10"/>
    <w:rsid w:val="1E6258AD"/>
    <w:rsid w:val="25F60E68"/>
    <w:rsid w:val="290014A7"/>
    <w:rsid w:val="29544B6B"/>
    <w:rsid w:val="2A4B5A9C"/>
    <w:rsid w:val="2EC90E3E"/>
    <w:rsid w:val="307228FC"/>
    <w:rsid w:val="320275DE"/>
    <w:rsid w:val="3B402218"/>
    <w:rsid w:val="3C3E795A"/>
    <w:rsid w:val="3C6B6708"/>
    <w:rsid w:val="415614B6"/>
    <w:rsid w:val="43906EF8"/>
    <w:rsid w:val="464963DD"/>
    <w:rsid w:val="498A3EDE"/>
    <w:rsid w:val="4E6F3057"/>
    <w:rsid w:val="4E715A03"/>
    <w:rsid w:val="53BA45DC"/>
    <w:rsid w:val="5454623F"/>
    <w:rsid w:val="5D112393"/>
    <w:rsid w:val="628F78F4"/>
    <w:rsid w:val="635A4AC9"/>
    <w:rsid w:val="651062F4"/>
    <w:rsid w:val="67292E55"/>
    <w:rsid w:val="6A297A30"/>
    <w:rsid w:val="6B2E3F8A"/>
    <w:rsid w:val="6BA60BCF"/>
    <w:rsid w:val="6BE047E8"/>
    <w:rsid w:val="6C7768D5"/>
    <w:rsid w:val="6C7A72F9"/>
    <w:rsid w:val="72CB3D6C"/>
    <w:rsid w:val="73881E3C"/>
    <w:rsid w:val="797877B9"/>
    <w:rsid w:val="7ABF7116"/>
    <w:rsid w:val="7B1E23B3"/>
    <w:rsid w:val="7BA10EDB"/>
    <w:rsid w:val="7CD81A55"/>
    <w:rsid w:val="7CE001CE"/>
    <w:rsid w:val="7FEE70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locked/>
    <w:uiPriority w:val="0"/>
    <w:pPr>
      <w:keepNext/>
      <w:keepLines/>
      <w:spacing w:before="340" w:after="330" w:line="576" w:lineRule="auto"/>
      <w:outlineLvl w:val="0"/>
    </w:pPr>
    <w:rPr>
      <w:rFonts w:ascii="Times New Roman" w:hAnsi="Times New Roman" w:cs="Times New Roman"/>
      <w:b/>
      <w:kern w:val="44"/>
      <w:sz w:val="44"/>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9"/>
    <w:qFormat/>
    <w:uiPriority w:val="99"/>
    <w:pPr>
      <w:spacing w:after="120" w:line="480" w:lineRule="auto"/>
      <w:ind w:left="420" w:leftChars="200"/>
    </w:pPr>
  </w:style>
  <w:style w:type="paragraph" w:styleId="4">
    <w:name w:val="Balloon Text"/>
    <w:basedOn w:val="1"/>
    <w:link w:val="10"/>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缩进 2 Char"/>
    <w:basedOn w:val="8"/>
    <w:link w:val="3"/>
    <w:semiHidden/>
    <w:qFormat/>
    <w:locked/>
    <w:uiPriority w:val="99"/>
    <w:rPr>
      <w:rFonts w:eastAsia="宋体"/>
      <w:sz w:val="21"/>
      <w:szCs w:val="21"/>
    </w:rPr>
  </w:style>
  <w:style w:type="character" w:customStyle="1" w:styleId="10">
    <w:name w:val="批注框文本 Char"/>
    <w:basedOn w:val="8"/>
    <w:link w:val="4"/>
    <w:qFormat/>
    <w:locked/>
    <w:uiPriority w:val="99"/>
    <w:rPr>
      <w:rFonts w:ascii="Calibri" w:hAnsi="Calibri" w:eastAsia="宋体" w:cs="Calibri"/>
      <w:kern w:val="2"/>
      <w:sz w:val="18"/>
      <w:szCs w:val="18"/>
    </w:rPr>
  </w:style>
  <w:style w:type="character" w:customStyle="1" w:styleId="11">
    <w:name w:val="页脚 Char"/>
    <w:basedOn w:val="8"/>
    <w:link w:val="5"/>
    <w:qFormat/>
    <w:locked/>
    <w:uiPriority w:val="99"/>
    <w:rPr>
      <w:kern w:val="2"/>
      <w:sz w:val="18"/>
      <w:szCs w:val="18"/>
    </w:rPr>
  </w:style>
  <w:style w:type="character" w:customStyle="1" w:styleId="12">
    <w:name w:val="页眉 Char"/>
    <w:basedOn w:val="8"/>
    <w:link w:val="6"/>
    <w:qFormat/>
    <w:locked/>
    <w:uiPriority w:val="99"/>
    <w:rPr>
      <w:kern w:val="2"/>
      <w:sz w:val="18"/>
      <w:szCs w:val="18"/>
    </w:rPr>
  </w:style>
  <w:style w:type="paragraph" w:styleId="13">
    <w:name w:val="List Paragraph"/>
    <w:basedOn w:val="1"/>
    <w:qFormat/>
    <w:uiPriority w:val="99"/>
    <w:pPr>
      <w:ind w:firstLine="420" w:firstLineChars="200"/>
    </w:pPr>
  </w:style>
  <w:style w:type="character" w:customStyle="1" w:styleId="14">
    <w:name w:val="标题 1 Char"/>
    <w:basedOn w:val="8"/>
    <w:link w:val="2"/>
    <w:qFormat/>
    <w:uiPriority w:val="0"/>
    <w:rPr>
      <w:rFonts w:ascii="Times New Roman" w:hAnsi="Times New Roman" w:eastAsia="宋体"/>
      <w:b/>
      <w:kern w:val="44"/>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974</Words>
  <Characters>5555</Characters>
  <Lines>46</Lines>
  <Paragraphs>13</Paragraphs>
  <TotalTime>121</TotalTime>
  <ScaleCrop>false</ScaleCrop>
  <LinksUpToDate>false</LinksUpToDate>
  <CharactersWithSpaces>6516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2021-01-28T10:05:00Z</dcterms:created>
  <dc:creator>suit</dc:creator>
  <cp:lastModifiedBy>Administrator</cp:lastModifiedBy>
  <cp:lastPrinted>2021-03-22T02:54:00Z</cp:lastPrinted>
  <dcterms:modified xsi:type="dcterms:W3CDTF">2022-02-28T03:01:25Z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9AC2FA23AB8640F3B4815473F4221A36</vt:lpwstr>
  </property>
</Properties>
</file>