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霍邱县城市社区医疗卫生机构和村卫生室标准化建设民生工程绩效评价指标表</w:t>
      </w:r>
    </w:p>
    <w:tbl>
      <w:tblPr>
        <w:tblStyle w:val="3"/>
        <w:tblW w:w="15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00"/>
        <w:gridCol w:w="1210"/>
        <w:gridCol w:w="1550"/>
        <w:gridCol w:w="1275"/>
        <w:gridCol w:w="3090"/>
        <w:gridCol w:w="50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755"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序号</w:t>
            </w:r>
          </w:p>
        </w:tc>
        <w:tc>
          <w:tcPr>
            <w:tcW w:w="120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一级指标</w:t>
            </w:r>
          </w:p>
        </w:tc>
        <w:tc>
          <w:tcPr>
            <w:tcW w:w="121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二级指标</w:t>
            </w:r>
          </w:p>
        </w:tc>
        <w:tc>
          <w:tcPr>
            <w:tcW w:w="155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三级指标</w:t>
            </w:r>
          </w:p>
        </w:tc>
        <w:tc>
          <w:tcPr>
            <w:tcW w:w="1275"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指标分值</w:t>
            </w:r>
          </w:p>
        </w:tc>
        <w:tc>
          <w:tcPr>
            <w:tcW w:w="3090"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指标解释说明</w:t>
            </w:r>
          </w:p>
        </w:tc>
        <w:tc>
          <w:tcPr>
            <w:tcW w:w="5055" w:type="dxa"/>
            <w:vAlign w:val="center"/>
          </w:tcPr>
          <w:p>
            <w:pPr>
              <w:keepNext w:val="0"/>
              <w:keepLines w:val="0"/>
              <w:widowControl/>
              <w:suppressLineNumbers w:val="0"/>
              <w:jc w:val="center"/>
              <w:rPr>
                <w:rFonts w:ascii="方正小标宋简体" w:hAnsi="方正小标宋简体" w:eastAsia="方正小标宋简体" w:cs="方正小标宋简体"/>
                <w:color w:val="000000"/>
                <w:kern w:val="0"/>
                <w:sz w:val="24"/>
                <w:szCs w:val="24"/>
                <w:vertAlign w:val="baseline"/>
                <w:lang w:val="en-US" w:eastAsia="zh-CN" w:bidi="ar"/>
              </w:rPr>
            </w:pPr>
            <w:r>
              <w:rPr>
                <w:rFonts w:ascii="黑体" w:hAnsi="宋体" w:eastAsia="黑体" w:cs="黑体"/>
                <w:color w:val="000000"/>
                <w:kern w:val="0"/>
                <w:sz w:val="24"/>
                <w:szCs w:val="24"/>
                <w:lang w:val="en-US" w:eastAsia="zh-CN" w:bidi="ar"/>
              </w:rPr>
              <w:t>评分标准</w:t>
            </w:r>
          </w:p>
        </w:tc>
        <w:tc>
          <w:tcPr>
            <w:tcW w:w="1170" w:type="dxa"/>
            <w:vAlign w:val="center"/>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24"/>
                <w:szCs w:val="24"/>
                <w:vertAlign w:val="baseline"/>
                <w:lang w:val="en-US" w:eastAsia="zh-CN" w:bidi="ar"/>
              </w:rPr>
            </w:pPr>
            <w:r>
              <w:rPr>
                <w:rFonts w:hint="eastAsia" w:ascii="黑体" w:hAnsi="宋体" w:eastAsia="黑体" w:cs="黑体"/>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2"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20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预算</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执行率</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（10分）</w:t>
            </w:r>
          </w:p>
        </w:tc>
        <w:tc>
          <w:tcPr>
            <w:tcW w:w="121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项目立项</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（5分）</w:t>
            </w: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项目立项</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依据</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考核项目立项是否符合国家和我省的法规政策文件要求。</w:t>
            </w:r>
          </w:p>
        </w:tc>
        <w:tc>
          <w:tcPr>
            <w:tcW w:w="5055"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1、项目立项符合《安徽省人民政府关于2021年实 施33项民生工程的通知》的规定，得0.5分； </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2、项目立项符合《安徽省“十四五”卫生与健康 规划》的要求，得0.5分。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绩效目标</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编制</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bookmarkStart w:id="0" w:name="_GoBack"/>
            <w:bookmarkEnd w:id="0"/>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考核是否制定中长期目标，是否制定年度绩效目标，绩效目标是否符合“指向明确、细化量化、合理可行、相应匹配”相关要求。</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制定了中长期绩效目标得0.5分，制定年度绩效目标、年度绩效目标符合“指向明确、细化量化、合理可行、相应匹配”十六字方针四项规定相关要求得1.5分，每一项不符合要求口0.5分，扣完为止。</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绩效指标</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合理</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考核是否根据项目绩效目标设定考核的绩效指标，绩效指标是否科学合理。</w:t>
            </w:r>
          </w:p>
        </w:tc>
        <w:tc>
          <w:tcPr>
            <w:tcW w:w="5055"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1、设定了全面、具体、量化的绩效指标，得1分； </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2、绩效指标有合理性，得1分。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资金</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落实</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（5分）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资金筹措</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机制</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考核当地政府是否建立城市社区医疗卫生机构和村卫生室标准化建设民生工程筹资机制和长期投入机制。</w:t>
            </w:r>
          </w:p>
        </w:tc>
        <w:tc>
          <w:tcPr>
            <w:tcW w:w="5055"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1、建立民生工程筹资机制，得1分； </w:t>
            </w:r>
          </w:p>
          <w:p>
            <w:pPr>
              <w:keepNext w:val="0"/>
              <w:keepLines w:val="0"/>
              <w:widowControl/>
              <w:suppressLineNumbers w:val="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2、建立长期投入机制，得1分。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序号</w:t>
            </w:r>
          </w:p>
        </w:tc>
        <w:tc>
          <w:tcPr>
            <w:tcW w:w="120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一级指标</w:t>
            </w:r>
          </w:p>
        </w:tc>
        <w:tc>
          <w:tcPr>
            <w:tcW w:w="121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二级指标</w:t>
            </w:r>
          </w:p>
        </w:tc>
        <w:tc>
          <w:tcPr>
            <w:tcW w:w="155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三级指标</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指标分值</w:t>
            </w:r>
          </w:p>
        </w:tc>
        <w:tc>
          <w:tcPr>
            <w:tcW w:w="309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指标解释说明</w:t>
            </w:r>
          </w:p>
        </w:tc>
        <w:tc>
          <w:tcPr>
            <w:tcW w:w="50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评分标准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w:t>
            </w:r>
          </w:p>
        </w:tc>
        <w:tc>
          <w:tcPr>
            <w:tcW w:w="120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预算</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执行率</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（10分）</w:t>
            </w:r>
          </w:p>
        </w:tc>
        <w:tc>
          <w:tcPr>
            <w:tcW w:w="121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资金</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落实</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（5分）</w:t>
            </w: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资金</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到位率</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3090"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考核年度省级奖补资金是 </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否及时足额落实到位。</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省级奖补资金足额落实到位得3分，未到位不得分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4"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120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过程</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（10分）</w:t>
            </w:r>
          </w:p>
        </w:tc>
        <w:tc>
          <w:tcPr>
            <w:tcW w:w="121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日常管理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（5分）</w:t>
            </w: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日常管理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制度</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考核当地党委、政府是否对项目高度重视，建立了多部门协作的项目分工、协调机制。考核是否实施了对城市社区医疗卫生机构和村卫生室检查验收机制，对项目信息报告进行了管理。 </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建立了多部门协作的项目分工、协调机制得1分；</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建立并实施了对城市社区医疗卫生机构和村卫生室开展检查验收的报告和反馈机制，对项目信息报告及时反馈得1分。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考核结果</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运用</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考核是否对辖区内各级项目实施单位进行考核，是否运用了考核结果。</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对辖区内各级项目实施单位进行考核，并根据考核结果核拨项目资金，得2分。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资料报送</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情况</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考核有关单位提供资料是否及时、齐全、真实、准确。</w:t>
            </w:r>
          </w:p>
        </w:tc>
        <w:tc>
          <w:tcPr>
            <w:tcW w:w="5055"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1.资料提供及时得0.5分； </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2.资料齐全、真实、准确得0.5分。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财务管理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（5分）</w:t>
            </w: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财务管理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规范</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考核项目实施单位财务制度是否健全，是否按照制度执行。</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单位财务管理制度健全得1分，执行规范得1分。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资金使用</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合规</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考核项目资金使用是否符合项目资金管理制度的相关规定，做的专款专用。</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项目资金不存在截留、挤占、挪用、虚列支出等情况，得3分，否则得0分。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序号</w:t>
            </w:r>
          </w:p>
        </w:tc>
        <w:tc>
          <w:tcPr>
            <w:tcW w:w="120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一级指标</w:t>
            </w:r>
          </w:p>
        </w:tc>
        <w:tc>
          <w:tcPr>
            <w:tcW w:w="121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二级指标</w:t>
            </w:r>
          </w:p>
        </w:tc>
        <w:tc>
          <w:tcPr>
            <w:tcW w:w="155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三级指标</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指标分值</w:t>
            </w:r>
          </w:p>
        </w:tc>
        <w:tc>
          <w:tcPr>
            <w:tcW w:w="309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指标解释说明</w:t>
            </w:r>
          </w:p>
        </w:tc>
        <w:tc>
          <w:tcPr>
            <w:tcW w:w="50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评分标准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120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产出</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（50分）</w:t>
            </w:r>
          </w:p>
        </w:tc>
        <w:tc>
          <w:tcPr>
            <w:tcW w:w="1210" w:type="dxa"/>
            <w:vMerge w:val="restart"/>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项目产出</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（50分）</w:t>
            </w:r>
          </w:p>
        </w:tc>
        <w:tc>
          <w:tcPr>
            <w:tcW w:w="155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40%的城市社区医疗卫生机构和村卫生室达到民生工程标准</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考核是否完成2021年度城市社区医疗卫生机构和村卫生室标准化建设任务。</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完成得10分，未完成得0分。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乡村医生</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岗位培训</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考核是否完成乡村医生岗位培训任务。</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按完成比例得分，最多得10分。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乡村医生</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进修培训</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考核是否完成乡村医生中执业（助理）医师进修培训任务。</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按完成比例得分，最多得10分。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政府办社</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区卫生服</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务中心医</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务人员进</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修培训</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考核是否完成政府办社区卫生服务中心医务人员进修培训任务。</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按完成比例得分，最多10分。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p>
        </w:tc>
        <w:tc>
          <w:tcPr>
            <w:tcW w:w="120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基层门诊</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人次占比</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考核基层门诊人次占比是否达到60%。</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基层门诊人次达到60%及以上，得10分；未达到 60%，按比例得分。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6"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120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效果</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（30分）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1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项目效益</w:t>
            </w: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（30分）</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社会效益</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w:t>
            </w:r>
          </w:p>
        </w:tc>
        <w:tc>
          <w:tcPr>
            <w:tcW w:w="3090"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考核通过项目实施，对当 </w:t>
            </w:r>
          </w:p>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地社会发展和医疗卫生服 </w:t>
            </w:r>
          </w:p>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务所带来的直接或间接影 </w:t>
            </w:r>
          </w:p>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响。</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p>
        </w:tc>
        <w:tc>
          <w:tcPr>
            <w:tcW w:w="5055" w:type="dxa"/>
            <w:vAlign w:val="center"/>
          </w:tcPr>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1、基层医疗卫生机构的从业人数较上年上升，得5分；</w:t>
            </w:r>
          </w:p>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2、基层医疗卫生机构诊疗人次较上年上升，得 5分； </w:t>
            </w:r>
          </w:p>
          <w:p>
            <w:pPr>
              <w:keepNext w:val="0"/>
              <w:keepLines w:val="0"/>
              <w:widowControl/>
              <w:suppressLineNumbers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3、基层医疗卫生机构人均收入较上年上升状况， 根据各市、省管县基层医疗卫生服务机构上涨幅度排序后打分，共5分； </w:t>
            </w:r>
          </w:p>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4、分级诊疗效果上升，得5分。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序号</w:t>
            </w:r>
          </w:p>
        </w:tc>
        <w:tc>
          <w:tcPr>
            <w:tcW w:w="120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一级指标</w:t>
            </w:r>
          </w:p>
        </w:tc>
        <w:tc>
          <w:tcPr>
            <w:tcW w:w="121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二级指标</w:t>
            </w:r>
          </w:p>
        </w:tc>
        <w:tc>
          <w:tcPr>
            <w:tcW w:w="155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三级指标</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指标分值</w:t>
            </w:r>
          </w:p>
        </w:tc>
        <w:tc>
          <w:tcPr>
            <w:tcW w:w="309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指标解释说明</w:t>
            </w:r>
          </w:p>
        </w:tc>
        <w:tc>
          <w:tcPr>
            <w:tcW w:w="50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评分标准</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17</w:t>
            </w:r>
          </w:p>
        </w:tc>
        <w:tc>
          <w:tcPr>
            <w:tcW w:w="120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效果</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（30分）</w:t>
            </w:r>
          </w:p>
        </w:tc>
        <w:tc>
          <w:tcPr>
            <w:tcW w:w="121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项目效益</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（30分）</w:t>
            </w:r>
          </w:p>
        </w:tc>
        <w:tc>
          <w:tcPr>
            <w:tcW w:w="1550" w:type="dxa"/>
            <w:vAlign w:val="center"/>
          </w:tcPr>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社会满意</w:t>
            </w:r>
          </w:p>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度</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w:t>
            </w:r>
          </w:p>
        </w:tc>
        <w:tc>
          <w:tcPr>
            <w:tcW w:w="3090"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 xml:space="preserve">考核社会公众或受益对象 对项目实施效果的满意程 度。满意度=回答满意的人 数/实际调查人员总数 *100%。 </w:t>
            </w:r>
          </w:p>
        </w:tc>
        <w:tc>
          <w:tcPr>
            <w:tcW w:w="5055" w:type="dxa"/>
            <w:vAlign w:val="center"/>
          </w:tcPr>
          <w:p>
            <w:pPr>
              <w:keepNext w:val="0"/>
              <w:keepLines w:val="0"/>
              <w:widowControl/>
              <w:suppressLineNumbers w:val="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 xml:space="preserve">通过随机问卷调查、电话访问、现场走访等形式，对社会公众、受益对象满意度进行调查，达到90%为满分，每降低一个百分点扣0.2分，扣完10分止。 </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合计</w:t>
            </w:r>
          </w:p>
        </w:tc>
        <w:tc>
          <w:tcPr>
            <w:tcW w:w="120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121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155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127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fldChar w:fldCharType="begin"/>
            </w:r>
            <w:r>
              <w:rPr>
                <w:rFonts w:hint="eastAsia" w:ascii="仿宋_GB2312" w:hAnsi="仿宋_GB2312" w:eastAsia="仿宋_GB2312" w:cs="仿宋_GB2312"/>
                <w:color w:val="000000"/>
                <w:kern w:val="0"/>
                <w:sz w:val="24"/>
                <w:szCs w:val="24"/>
                <w:lang w:val="en-US" w:eastAsia="zh-CN" w:bidi="ar"/>
              </w:rPr>
              <w:instrText xml:space="preserve"> = sum(E2:E21) \* MERGEFORMAT </w:instrText>
            </w:r>
            <w:r>
              <w:rPr>
                <w:rFonts w:hint="eastAsia" w:ascii="仿宋_GB2312" w:hAnsi="仿宋_GB2312" w:eastAsia="仿宋_GB2312" w:cs="仿宋_GB2312"/>
                <w:color w:val="000000"/>
                <w:kern w:val="0"/>
                <w:sz w:val="24"/>
                <w:szCs w:val="24"/>
                <w:lang w:val="en-US" w:eastAsia="zh-CN" w:bidi="ar"/>
              </w:rPr>
              <w:fldChar w:fldCharType="separate"/>
            </w:r>
            <w:r>
              <w:rPr>
                <w:rFonts w:hint="eastAsia" w:ascii="仿宋_GB2312" w:hAnsi="仿宋_GB2312" w:eastAsia="仿宋_GB2312" w:cs="仿宋_GB2312"/>
                <w:color w:val="000000"/>
                <w:kern w:val="0"/>
                <w:sz w:val="24"/>
                <w:szCs w:val="24"/>
                <w:lang w:val="en-US" w:eastAsia="zh-CN" w:bidi="ar"/>
              </w:rPr>
              <w:t>100</w:t>
            </w:r>
            <w:r>
              <w:rPr>
                <w:rFonts w:hint="eastAsia" w:ascii="仿宋_GB2312" w:hAnsi="仿宋_GB2312" w:eastAsia="仿宋_GB2312" w:cs="仿宋_GB2312"/>
                <w:color w:val="000000"/>
                <w:kern w:val="0"/>
                <w:sz w:val="24"/>
                <w:szCs w:val="24"/>
                <w:lang w:val="en-US" w:eastAsia="zh-CN" w:bidi="ar"/>
              </w:rPr>
              <w:fldChar w:fldCharType="end"/>
            </w:r>
          </w:p>
        </w:tc>
        <w:tc>
          <w:tcPr>
            <w:tcW w:w="309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5055"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170"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w:t>
            </w:r>
          </w:p>
        </w:tc>
      </w:tr>
    </w:tbl>
    <w:p>
      <w:pPr>
        <w:keepNext w:val="0"/>
        <w:keepLines w:val="0"/>
        <w:widowControl/>
        <w:suppressLineNumbers w:val="0"/>
        <w:jc w:val="center"/>
        <w:rPr>
          <w:rFonts w:hint="eastAsia" w:ascii="仿宋_GB2312" w:hAnsi="仿宋_GB2312" w:eastAsia="仿宋_GB2312" w:cs="仿宋_GB2312"/>
          <w:color w:val="000000"/>
          <w:kern w:val="0"/>
          <w:sz w:val="40"/>
          <w:szCs w:val="40"/>
          <w:lang w:val="en-US" w:eastAsia="zh-CN" w:bidi="ar"/>
        </w:rPr>
      </w:pPr>
    </w:p>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仿宋_GB2312"/>
    <w:panose1 w:val="00000600000000000000"/>
    <w:charset w:val="86"/>
    <w:family w:val="auto"/>
    <w:pitch w:val="default"/>
    <w:sig w:usb0="00000000" w:usb1="00000000"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85155"/>
    <w:rsid w:val="20607C81"/>
    <w:rsid w:val="27F522BB"/>
    <w:rsid w:val="36647FAB"/>
    <w:rsid w:val="38681187"/>
    <w:rsid w:val="42F824F4"/>
    <w:rsid w:val="47325DCE"/>
    <w:rsid w:val="491B4B84"/>
    <w:rsid w:val="4C7628E1"/>
    <w:rsid w:val="50792360"/>
    <w:rsid w:val="5BA00D8A"/>
    <w:rsid w:val="67521E5A"/>
    <w:rsid w:val="687F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2022-01-07T02:05:00Z</dcterms:created>
  <dc:creator>Administrator</dc:creator>
  <cp:lastModifiedBy>Administrator</cp:lastModifiedBy>
  <dcterms:modified xsi:type="dcterms:W3CDTF">2022-01-07T07:48:39Z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B6D180AFFE6C4DF8AA1D34D2EF202615</vt:lpwstr>
  </property>
</Properties>
</file>