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both"/>
        <w:rPr>
          <w:rFonts w:ascii="Times New Roman" w:hAnsi="Times New Roman" w:eastAsia="方正小标宋简体" w:cs="Times New Roman"/>
          <w:sz w:val="40"/>
          <w:szCs w:val="40"/>
          <w:lang w:eastAsia="zh-CN"/>
        </w:rPr>
      </w:pPr>
    </w:p>
    <w:p>
      <w:pPr>
        <w:spacing w:after="0"/>
        <w:jc w:val="center"/>
        <w:rPr>
          <w:rFonts w:ascii="Times New Roman" w:hAnsi="Times New Roman" w:eastAsia="方正小标宋简体" w:cs="Times New Roman"/>
          <w:sz w:val="40"/>
          <w:szCs w:val="40"/>
          <w:lang w:val="en-US" w:eastAsia="zh-CN"/>
        </w:rPr>
      </w:pPr>
      <w:r>
        <w:rPr>
          <w:rFonts w:ascii="Times New Roman" w:hAnsi="Times New Roman" w:eastAsia="方正小标宋简体" w:cs="Times New Roman"/>
          <w:sz w:val="40"/>
          <w:szCs w:val="40"/>
          <w:lang w:eastAsia="zh-CN"/>
        </w:rPr>
        <w:t>霍邱县</w:t>
      </w:r>
      <w:r>
        <w:rPr>
          <w:rFonts w:hint="eastAsia" w:ascii="Times New Roman" w:hAnsi="Times New Roman" w:eastAsia="方正小标宋简体" w:cs="Times New Roman"/>
          <w:sz w:val="40"/>
          <w:szCs w:val="40"/>
          <w:lang w:val="en-US" w:eastAsia="zh-CN"/>
        </w:rPr>
        <w:t>城乡</w:t>
      </w:r>
      <w:r>
        <w:rPr>
          <w:rFonts w:ascii="Times New Roman" w:hAnsi="Times New Roman" w:eastAsia="方正小标宋简体" w:cs="Times New Roman"/>
          <w:sz w:val="40"/>
          <w:szCs w:val="40"/>
          <w:lang w:eastAsia="zh-CN"/>
        </w:rPr>
        <w:t>道路绿化</w:t>
      </w:r>
      <w:r>
        <w:rPr>
          <w:rFonts w:hint="eastAsia" w:ascii="Times New Roman" w:hAnsi="Times New Roman" w:eastAsia="方正小标宋简体" w:cs="Times New Roman"/>
          <w:sz w:val="40"/>
          <w:szCs w:val="40"/>
          <w:lang w:val="en-US" w:eastAsia="zh-CN"/>
        </w:rPr>
        <w:t>技术导则</w:t>
      </w:r>
    </w:p>
    <w:p>
      <w:pPr>
        <w:spacing w:after="0"/>
        <w:jc w:val="both"/>
        <w:rPr>
          <w:rFonts w:ascii="Times New Roman" w:hAnsi="Times New Roman" w:eastAsia="方正小标宋简体" w:cs="Times New Roman"/>
          <w:sz w:val="30"/>
          <w:szCs w:val="30"/>
          <w:lang w:eastAsia="zh-CN"/>
        </w:rPr>
      </w:pPr>
    </w:p>
    <w:p>
      <w:pPr>
        <w:pStyle w:val="3"/>
        <w:spacing w:before="0" w:after="0" w:line="520" w:lineRule="exact"/>
        <w:jc w:val="both"/>
        <w:rPr>
          <w:rFonts w:ascii="Times New Roman" w:hAnsi="Times New Roman" w:eastAsia="仿宋_GB2312" w:cs="Times New Roman"/>
          <w:sz w:val="30"/>
          <w:szCs w:val="30"/>
          <w:lang w:val="en-US" w:eastAsia="zh-CN"/>
        </w:rPr>
      </w:pPr>
      <w:r>
        <w:rPr>
          <w:rFonts w:hint="eastAsia" w:ascii="黑体" w:hAnsi="黑体" w:eastAsia="黑体" w:cs="黑体"/>
          <w:sz w:val="30"/>
          <w:szCs w:val="30"/>
          <w:lang w:val="en-US" w:eastAsia="zh-CN"/>
        </w:rPr>
        <w:t>1  总则</w:t>
      </w:r>
    </w:p>
    <w:p>
      <w:pPr>
        <w:pStyle w:val="3"/>
        <w:spacing w:before="0" w:after="0" w:line="520" w:lineRule="exact"/>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　　1.1编制目的</w:t>
      </w:r>
    </w:p>
    <w:p>
      <w:pPr>
        <w:pStyle w:val="3"/>
        <w:spacing w:before="0" w:after="0" w:line="520" w:lineRule="exact"/>
        <w:jc w:val="both"/>
        <w:rPr>
          <w:rFonts w:ascii="宋体" w:hAnsi="宋体" w:eastAsia="宋体" w:cs="宋体"/>
          <w:sz w:val="30"/>
          <w:szCs w:val="30"/>
          <w:lang w:val="en-US" w:eastAsia="zh-CN"/>
        </w:rPr>
      </w:pPr>
      <w:r>
        <w:rPr>
          <w:rFonts w:hint="eastAsia" w:ascii="宋体" w:hAnsi="宋体" w:eastAsia="宋体" w:cs="宋体"/>
          <w:sz w:val="30"/>
          <w:szCs w:val="30"/>
          <w:lang w:eastAsia="zh-CN"/>
        </w:rPr>
        <w:t>　　为深入贯彻习近平生态文明思想，科学规范指导霍邱县城乡道路绿化建设，提高城乡道路绿化水平和建设成效，</w:t>
      </w:r>
      <w:r>
        <w:rPr>
          <w:rFonts w:hint="eastAsia" w:ascii="宋体" w:hAnsi="宋体" w:eastAsia="宋体" w:cs="宋体"/>
          <w:sz w:val="30"/>
          <w:szCs w:val="30"/>
          <w:lang w:val="en-US" w:eastAsia="zh-CN"/>
        </w:rPr>
        <w:t>全面推进国土绿化质量提升</w:t>
      </w:r>
      <w:r>
        <w:rPr>
          <w:rFonts w:hint="eastAsia" w:ascii="宋体" w:hAnsi="宋体" w:eastAsia="宋体" w:cs="宋体"/>
          <w:sz w:val="30"/>
          <w:szCs w:val="30"/>
          <w:lang w:eastAsia="zh-CN"/>
        </w:rPr>
        <w:t>，充分发挥其经济、生态和社会效益，结合本县实际，制定</w:t>
      </w:r>
      <w:r>
        <w:rPr>
          <w:rFonts w:hint="eastAsia" w:ascii="宋体" w:hAnsi="宋体" w:eastAsia="宋体" w:cs="宋体"/>
          <w:sz w:val="30"/>
          <w:szCs w:val="30"/>
          <w:lang w:val="en-US" w:eastAsia="zh-CN"/>
        </w:rPr>
        <w:t>本技术导则</w:t>
      </w:r>
      <w:r>
        <w:rPr>
          <w:rFonts w:hint="eastAsia" w:ascii="宋体" w:hAnsi="宋体" w:eastAsia="宋体" w:cs="宋体"/>
          <w:sz w:val="30"/>
          <w:szCs w:val="30"/>
          <w:lang w:eastAsia="zh-CN"/>
        </w:rPr>
        <w:t>。</w:t>
      </w:r>
    </w:p>
    <w:p>
      <w:pPr>
        <w:pStyle w:val="3"/>
        <w:spacing w:before="0" w:after="0" w:line="520" w:lineRule="exact"/>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　　1.2适用范围</w:t>
      </w:r>
    </w:p>
    <w:p>
      <w:pPr>
        <w:pStyle w:val="3"/>
        <w:spacing w:before="0" w:after="0" w:line="520" w:lineRule="exact"/>
        <w:jc w:val="both"/>
        <w:rPr>
          <w:rFonts w:ascii="宋体" w:hAnsi="宋体" w:eastAsia="宋体" w:cs="宋体"/>
          <w:sz w:val="30"/>
          <w:szCs w:val="30"/>
          <w:lang w:eastAsia="zh-CN"/>
        </w:rPr>
      </w:pPr>
      <w:r>
        <w:rPr>
          <w:rFonts w:hint="eastAsia" w:ascii="宋体" w:hAnsi="宋体" w:eastAsia="宋体" w:cs="宋体"/>
          <w:sz w:val="30"/>
          <w:szCs w:val="30"/>
          <w:lang w:eastAsia="zh-CN"/>
        </w:rPr>
        <w:t>　　本导则适用于</w:t>
      </w:r>
      <w:r>
        <w:rPr>
          <w:rFonts w:hint="eastAsia" w:ascii="宋体" w:hAnsi="宋体" w:eastAsia="宋体" w:cs="宋体"/>
          <w:sz w:val="30"/>
          <w:szCs w:val="30"/>
          <w:lang w:val="en-US" w:eastAsia="zh-CN"/>
        </w:rPr>
        <w:t>霍邱</w:t>
      </w:r>
      <w:r>
        <w:rPr>
          <w:rFonts w:hint="eastAsia" w:ascii="宋体" w:hAnsi="宋体" w:eastAsia="宋体" w:cs="宋体"/>
          <w:sz w:val="30"/>
          <w:szCs w:val="30"/>
          <w:lang w:eastAsia="zh-CN"/>
        </w:rPr>
        <w:t>县所有城区道路、集镇道路、县乡</w:t>
      </w:r>
      <w:r>
        <w:rPr>
          <w:rFonts w:hint="eastAsia" w:ascii="宋体" w:hAnsi="宋体" w:eastAsia="宋体" w:cs="宋体"/>
          <w:sz w:val="30"/>
          <w:szCs w:val="30"/>
          <w:lang w:val="en-US" w:eastAsia="zh-CN"/>
        </w:rPr>
        <w:t>道路以及</w:t>
      </w:r>
      <w:r>
        <w:rPr>
          <w:rFonts w:hint="eastAsia" w:ascii="宋体" w:hAnsi="宋体" w:eastAsia="宋体" w:cs="宋体"/>
          <w:sz w:val="30"/>
          <w:szCs w:val="30"/>
          <w:lang w:eastAsia="zh-CN"/>
        </w:rPr>
        <w:t>高速公路、铁路、国省道和河渠堤坝等线性干道绿化</w:t>
      </w:r>
      <w:r>
        <w:rPr>
          <w:rFonts w:hint="eastAsia" w:ascii="宋体" w:hAnsi="宋体" w:eastAsia="宋体" w:cs="宋体"/>
          <w:sz w:val="30"/>
          <w:szCs w:val="30"/>
          <w:lang w:val="en-US" w:eastAsia="zh-CN"/>
        </w:rPr>
        <w:t>美化建设（上级部门已对途经境内的高速公路、铁路、国省道路绿化有专门规划建设的除外）</w:t>
      </w:r>
      <w:r>
        <w:rPr>
          <w:rFonts w:hint="eastAsia" w:ascii="宋体" w:hAnsi="宋体" w:eastAsia="宋体" w:cs="宋体"/>
          <w:sz w:val="30"/>
          <w:szCs w:val="30"/>
          <w:lang w:eastAsia="zh-CN"/>
        </w:rPr>
        <w:t>。</w:t>
      </w:r>
    </w:p>
    <w:p>
      <w:pPr>
        <w:pStyle w:val="3"/>
        <w:spacing w:before="0" w:after="0" w:line="520" w:lineRule="exact"/>
        <w:jc w:val="both"/>
        <w:rPr>
          <w:rFonts w:ascii="黑体" w:hAnsi="黑体" w:eastAsia="黑体" w:cs="黑体"/>
          <w:sz w:val="30"/>
          <w:szCs w:val="30"/>
          <w:lang w:eastAsia="zh-CN"/>
        </w:rPr>
      </w:pPr>
      <w:r>
        <w:rPr>
          <w:rFonts w:hint="eastAsia" w:ascii="宋体" w:hAnsi="宋体" w:eastAsia="宋体" w:cs="宋体"/>
          <w:sz w:val="30"/>
          <w:szCs w:val="30"/>
          <w:lang w:val="en-US" w:eastAsia="zh-CN"/>
        </w:rPr>
        <w:t>　　1.3建设原则</w:t>
      </w:r>
    </w:p>
    <w:p>
      <w:pPr>
        <w:pStyle w:val="3"/>
        <w:spacing w:before="0" w:after="0" w:line="520" w:lineRule="exact"/>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　　1.3.1</w:t>
      </w:r>
      <w:r>
        <w:rPr>
          <w:rFonts w:hint="eastAsia" w:ascii="宋体" w:hAnsi="宋体" w:eastAsia="宋体" w:cs="宋体"/>
          <w:sz w:val="30"/>
          <w:szCs w:val="30"/>
          <w:lang w:eastAsia="zh-CN"/>
        </w:rPr>
        <w:t>三个同步原则。新建、改建、扩建道路，绿化应与道路同步规划设计、同步施工、同步验收，确保落实道路绿化指标和功能效益</w:t>
      </w:r>
      <w:r>
        <w:rPr>
          <w:rFonts w:hint="eastAsia" w:ascii="宋体" w:hAnsi="宋体" w:eastAsia="宋体" w:cs="宋体"/>
          <w:sz w:val="30"/>
          <w:szCs w:val="30"/>
          <w:lang w:val="en-US" w:eastAsia="zh-CN"/>
        </w:rPr>
        <w:t xml:space="preserve"> 。</w:t>
      </w:r>
    </w:p>
    <w:p>
      <w:pPr>
        <w:pStyle w:val="3"/>
        <w:spacing w:before="0" w:after="0" w:line="520" w:lineRule="exact"/>
        <w:jc w:val="both"/>
        <w:rPr>
          <w:rFonts w:ascii="宋体" w:hAnsi="宋体" w:eastAsia="宋体" w:cs="宋体"/>
          <w:sz w:val="30"/>
          <w:szCs w:val="30"/>
          <w:lang w:eastAsia="zh-CN"/>
        </w:rPr>
      </w:pPr>
      <w:r>
        <w:rPr>
          <w:rFonts w:hint="eastAsia" w:ascii="宋体" w:hAnsi="宋体" w:eastAsia="宋体" w:cs="宋体"/>
          <w:sz w:val="30"/>
          <w:szCs w:val="30"/>
          <w:lang w:val="en-US" w:eastAsia="zh-CN"/>
        </w:rPr>
        <w:t>　　1.3.2</w:t>
      </w:r>
      <w:r>
        <w:rPr>
          <w:rFonts w:hint="eastAsia" w:ascii="宋体" w:hAnsi="宋体" w:eastAsia="宋体" w:cs="宋体"/>
          <w:sz w:val="30"/>
          <w:szCs w:val="30"/>
          <w:lang w:eastAsia="zh-CN"/>
        </w:rPr>
        <w:t>以人为本原则。道路绿化应</w:t>
      </w:r>
      <w:r>
        <w:rPr>
          <w:rFonts w:hint="eastAsia" w:ascii="宋体" w:hAnsi="宋体" w:eastAsia="宋体" w:cs="宋体"/>
          <w:sz w:val="30"/>
          <w:szCs w:val="30"/>
          <w:lang w:val="en-US" w:eastAsia="zh-CN"/>
        </w:rPr>
        <w:t>符合行车</w:t>
      </w:r>
      <w:r>
        <w:rPr>
          <w:rFonts w:hint="eastAsia" w:ascii="宋体" w:hAnsi="宋体" w:eastAsia="宋体" w:cs="宋体"/>
          <w:sz w:val="30"/>
          <w:szCs w:val="30"/>
          <w:lang w:eastAsia="zh-CN"/>
        </w:rPr>
        <w:t>和行人安全通行的要求。不同类型的道路沿线，应最大限度营造功能完善、生态良好、景观优美的绿化景观带。</w:t>
      </w:r>
    </w:p>
    <w:p>
      <w:pPr>
        <w:pStyle w:val="3"/>
        <w:spacing w:before="0" w:after="0" w:line="520" w:lineRule="exact"/>
        <w:jc w:val="both"/>
        <w:rPr>
          <w:rFonts w:ascii="宋体" w:hAnsi="宋体" w:eastAsia="宋体" w:cs="宋体"/>
          <w:sz w:val="30"/>
          <w:szCs w:val="30"/>
          <w:lang w:eastAsia="zh-CN"/>
        </w:rPr>
      </w:pPr>
      <w:r>
        <w:rPr>
          <w:rFonts w:hint="eastAsia" w:ascii="宋体" w:hAnsi="宋体" w:eastAsia="宋体" w:cs="宋体"/>
          <w:sz w:val="30"/>
          <w:szCs w:val="30"/>
          <w:lang w:val="en-US" w:eastAsia="zh-CN"/>
        </w:rPr>
        <w:t>　　1.3.3</w:t>
      </w:r>
      <w:r>
        <w:rPr>
          <w:rFonts w:hint="eastAsia" w:ascii="宋体" w:hAnsi="宋体" w:eastAsia="宋体" w:cs="宋体"/>
          <w:sz w:val="30"/>
          <w:szCs w:val="30"/>
          <w:lang w:eastAsia="zh-CN"/>
        </w:rPr>
        <w:t>地方特色原则。注重以乡土树种为主，结合本地实际，</w:t>
      </w:r>
      <w:r>
        <w:rPr>
          <w:rFonts w:hint="eastAsia" w:ascii="宋体" w:hAnsi="宋体" w:eastAsia="宋体" w:cs="宋体"/>
          <w:sz w:val="30"/>
          <w:szCs w:val="30"/>
          <w:lang w:val="en-US" w:eastAsia="zh-CN"/>
        </w:rPr>
        <w:t>力争做到</w:t>
      </w:r>
      <w:r>
        <w:rPr>
          <w:rFonts w:hint="eastAsia" w:ascii="宋体" w:hAnsi="宋体" w:eastAsia="宋体" w:cs="宋体"/>
          <w:sz w:val="30"/>
          <w:szCs w:val="30"/>
          <w:lang w:eastAsia="zh-CN"/>
        </w:rPr>
        <w:t>一路一景，体现本地区人文历史、文化时尚、和谐宜居的地方特色。</w:t>
      </w:r>
    </w:p>
    <w:p>
      <w:pPr>
        <w:pStyle w:val="3"/>
        <w:spacing w:before="0" w:after="0" w:line="520" w:lineRule="exact"/>
        <w:jc w:val="both"/>
        <w:rPr>
          <w:rFonts w:ascii="宋体" w:hAnsi="宋体" w:eastAsia="宋体" w:cs="宋体"/>
          <w:sz w:val="30"/>
          <w:szCs w:val="30"/>
          <w:lang w:eastAsia="zh-CN"/>
        </w:rPr>
      </w:pPr>
      <w:r>
        <w:rPr>
          <w:rFonts w:hint="eastAsia" w:ascii="宋体" w:hAnsi="宋体" w:eastAsia="宋体" w:cs="宋体"/>
          <w:sz w:val="30"/>
          <w:szCs w:val="30"/>
          <w:lang w:val="en-US" w:eastAsia="zh-CN"/>
        </w:rPr>
        <w:t>　　1.3.4</w:t>
      </w:r>
      <w:r>
        <w:rPr>
          <w:rFonts w:hint="eastAsia" w:ascii="宋体" w:hAnsi="宋体" w:eastAsia="宋体" w:cs="宋体"/>
          <w:sz w:val="30"/>
          <w:szCs w:val="30"/>
          <w:lang w:eastAsia="zh-CN"/>
        </w:rPr>
        <w:t>科学造景原则。以种植冠大叶浓乔木为主，科学搭配灌木、攀藤、地被植物，疏密有致，形成层次；以彩叶、开花植物，常绿与落叶植物，速生与慢生植物相结合，形成四季有景、突出植物的季相变化。禁止</w:t>
      </w:r>
      <w:r>
        <w:rPr>
          <w:rFonts w:hint="eastAsia" w:ascii="宋体" w:hAnsi="宋体" w:eastAsia="宋体" w:cs="宋体"/>
          <w:sz w:val="30"/>
          <w:szCs w:val="30"/>
          <w:lang w:val="en-US" w:eastAsia="zh-CN"/>
        </w:rPr>
        <w:t>使用</w:t>
      </w:r>
      <w:r>
        <w:rPr>
          <w:rFonts w:hint="eastAsia" w:ascii="宋体" w:hAnsi="宋体" w:eastAsia="宋体" w:cs="宋体"/>
          <w:sz w:val="30"/>
          <w:szCs w:val="30"/>
          <w:lang w:eastAsia="zh-CN"/>
        </w:rPr>
        <w:t>截干</w:t>
      </w:r>
      <w:r>
        <w:rPr>
          <w:rFonts w:hint="eastAsia" w:ascii="宋体" w:hAnsi="宋体" w:eastAsia="宋体" w:cs="宋体"/>
          <w:sz w:val="30"/>
          <w:szCs w:val="30"/>
          <w:lang w:val="en-US" w:eastAsia="zh-CN"/>
        </w:rPr>
        <w:t>苗</w:t>
      </w:r>
      <w:r>
        <w:rPr>
          <w:rFonts w:hint="eastAsia" w:ascii="宋体" w:hAnsi="宋体" w:eastAsia="宋体" w:cs="宋体"/>
          <w:sz w:val="30"/>
          <w:szCs w:val="30"/>
          <w:lang w:eastAsia="zh-CN"/>
        </w:rPr>
        <w:t>，力促道路绿化“速成林、快浓荫、景观美、生态优”。</w:t>
      </w:r>
    </w:p>
    <w:p>
      <w:pPr>
        <w:pStyle w:val="3"/>
        <w:spacing w:before="0" w:after="0" w:line="520" w:lineRule="exact"/>
        <w:jc w:val="both"/>
        <w:rPr>
          <w:rFonts w:ascii="宋体" w:hAnsi="宋体" w:eastAsia="宋体" w:cs="宋体"/>
          <w:sz w:val="30"/>
          <w:szCs w:val="30"/>
          <w:lang w:eastAsia="zh-CN"/>
        </w:rPr>
      </w:pPr>
      <w:r>
        <w:rPr>
          <w:rFonts w:hint="eastAsia" w:ascii="宋体" w:hAnsi="宋体" w:eastAsia="宋体" w:cs="宋体"/>
          <w:sz w:val="30"/>
          <w:szCs w:val="30"/>
          <w:lang w:val="en-US" w:eastAsia="zh-CN"/>
        </w:rPr>
        <w:t>　　1.3.5</w:t>
      </w:r>
      <w:r>
        <w:rPr>
          <w:rFonts w:hint="eastAsia" w:ascii="宋体" w:hAnsi="宋体" w:eastAsia="宋体" w:cs="宋体"/>
          <w:sz w:val="30"/>
          <w:szCs w:val="30"/>
          <w:lang w:eastAsia="zh-CN"/>
        </w:rPr>
        <w:t>因地制宜原则。植物选择应</w:t>
      </w:r>
      <w:r>
        <w:rPr>
          <w:rFonts w:hint="eastAsia" w:ascii="宋体" w:hAnsi="宋体" w:eastAsia="宋体" w:cs="宋体"/>
          <w:sz w:val="30"/>
          <w:szCs w:val="30"/>
          <w:lang w:val="en-US" w:eastAsia="zh-CN"/>
        </w:rPr>
        <w:t>因地制宜</w:t>
      </w:r>
      <w:r>
        <w:rPr>
          <w:rFonts w:hint="eastAsia" w:ascii="宋体" w:hAnsi="宋体" w:eastAsia="宋体" w:cs="宋体"/>
          <w:sz w:val="30"/>
          <w:szCs w:val="30"/>
          <w:lang w:eastAsia="zh-CN"/>
        </w:rPr>
        <w:t>，土壤和土层厚度必须满足植物长期正常生长需求。做到宜树种树、宜花栽花、宜草铺草、宜藤植藤。</w:t>
      </w:r>
    </w:p>
    <w:p>
      <w:pPr>
        <w:pStyle w:val="3"/>
        <w:spacing w:before="0" w:after="0" w:line="520" w:lineRule="exact"/>
        <w:jc w:val="both"/>
        <w:rPr>
          <w:rFonts w:ascii="宋体" w:hAnsi="宋体" w:eastAsia="宋体" w:cs="宋体"/>
          <w:sz w:val="30"/>
          <w:szCs w:val="30"/>
          <w:lang w:eastAsia="zh-CN"/>
        </w:rPr>
      </w:pPr>
      <w:r>
        <w:rPr>
          <w:rFonts w:hint="eastAsia" w:ascii="宋体" w:hAnsi="宋体" w:eastAsia="宋体" w:cs="宋体"/>
          <w:sz w:val="30"/>
          <w:szCs w:val="30"/>
          <w:lang w:val="en-US" w:eastAsia="zh-CN"/>
        </w:rPr>
        <w:t>　　1.3.6</w:t>
      </w:r>
      <w:r>
        <w:rPr>
          <w:rFonts w:hint="eastAsia" w:ascii="宋体" w:hAnsi="宋体" w:eastAsia="宋体" w:cs="宋体"/>
          <w:sz w:val="30"/>
          <w:szCs w:val="30"/>
          <w:lang w:eastAsia="zh-CN"/>
        </w:rPr>
        <w:t>资源集约原则。遵循节地、节水、节能理念，提高绿化效能。</w:t>
      </w:r>
      <w:r>
        <w:rPr>
          <w:rFonts w:ascii="宋体" w:hAnsi="宋体" w:eastAsia="宋体" w:cs="宋体"/>
          <w:sz w:val="30"/>
          <w:szCs w:val="30"/>
          <w:lang w:val="en-US" w:eastAsia="zh-CN"/>
        </w:rPr>
        <w:t>应慎用模纹灌木、整形树桩、移栽大树等</w:t>
      </w:r>
      <w:r>
        <w:rPr>
          <w:rFonts w:hint="eastAsia" w:ascii="宋体" w:hAnsi="宋体" w:eastAsia="宋体" w:cs="宋体"/>
          <w:sz w:val="30"/>
          <w:szCs w:val="30"/>
          <w:lang w:eastAsia="zh-CN"/>
        </w:rPr>
        <w:t>，降低养护成本</w:t>
      </w:r>
      <w:r>
        <w:rPr>
          <w:rFonts w:ascii="宋体" w:hAnsi="宋体" w:eastAsia="宋体" w:cs="宋体"/>
          <w:sz w:val="30"/>
          <w:szCs w:val="30"/>
          <w:lang w:val="en-US" w:eastAsia="zh-CN"/>
        </w:rPr>
        <w:t>。</w:t>
      </w:r>
      <w:r>
        <w:rPr>
          <w:rFonts w:hint="eastAsia" w:ascii="宋体" w:hAnsi="宋体" w:eastAsia="宋体" w:cs="宋体"/>
          <w:sz w:val="30"/>
          <w:szCs w:val="30"/>
          <w:lang w:eastAsia="zh-CN"/>
        </w:rPr>
        <w:t>严防林带（绿地）积水和水土流失。</w:t>
      </w:r>
    </w:p>
    <w:p>
      <w:pPr>
        <w:pStyle w:val="3"/>
        <w:spacing w:before="0" w:after="0" w:line="520" w:lineRule="exact"/>
        <w:jc w:val="both"/>
        <w:rPr>
          <w:rFonts w:ascii="宋体" w:hAnsi="宋体" w:eastAsia="宋体" w:cs="宋体"/>
          <w:sz w:val="30"/>
          <w:szCs w:val="30"/>
          <w:lang w:eastAsia="zh-CN"/>
        </w:rPr>
      </w:pPr>
      <w:r>
        <w:rPr>
          <w:rFonts w:hint="eastAsia" w:ascii="宋体" w:hAnsi="宋体" w:eastAsia="宋体" w:cs="宋体"/>
          <w:sz w:val="30"/>
          <w:szCs w:val="30"/>
          <w:lang w:val="en-US" w:eastAsia="zh-CN"/>
        </w:rPr>
        <w:t>　　1.3.7</w:t>
      </w:r>
      <w:r>
        <w:rPr>
          <w:rFonts w:hint="eastAsia" w:ascii="宋体" w:hAnsi="宋体" w:eastAsia="宋体" w:cs="宋体"/>
          <w:sz w:val="30"/>
          <w:szCs w:val="30"/>
          <w:lang w:eastAsia="zh-CN"/>
        </w:rPr>
        <w:t>保护优先原则。新建、改建、扩建道路和道路绿化提质改造时，应最大限度保留原有植物（特别是乔木），对古树名木应依法无条件原地保护，对于树龄在20年以上的乔、灌木，应严格实施原地保护。</w:t>
      </w:r>
    </w:p>
    <w:p>
      <w:pPr>
        <w:pStyle w:val="3"/>
        <w:spacing w:before="0" w:after="0" w:line="520" w:lineRule="exact"/>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　　1.3.8社会评价原则。实行道路绿化设计专家评审和工程验收专家评估制度。由涉及部门专家与当地政府、人大、政协等人员参与。</w:t>
      </w:r>
    </w:p>
    <w:p>
      <w:pPr>
        <w:pStyle w:val="3"/>
        <w:spacing w:before="0" w:after="0" w:line="520" w:lineRule="exact"/>
        <w:jc w:val="both"/>
        <w:rPr>
          <w:rFonts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 xml:space="preserve">2    </w:t>
      </w:r>
      <w:r>
        <w:rPr>
          <w:rFonts w:ascii="Times New Roman" w:hAnsi="Times New Roman" w:eastAsia="黑体" w:cs="Times New Roman"/>
          <w:sz w:val="30"/>
          <w:szCs w:val="30"/>
          <w:lang w:val="en-US" w:eastAsia="zh-CN"/>
        </w:rPr>
        <w:t>主要依据</w:t>
      </w:r>
    </w:p>
    <w:p>
      <w:pPr>
        <w:pStyle w:val="3"/>
        <w:spacing w:before="0" w:after="0" w:line="520" w:lineRule="exact"/>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　　2.1《国务院办公厅关于坚决制止耕地“非农化”行为的通知》（国办发明电〔2020〕24号）</w:t>
      </w:r>
    </w:p>
    <w:p>
      <w:pPr>
        <w:pStyle w:val="3"/>
        <w:spacing w:before="0" w:after="0" w:line="520" w:lineRule="exact"/>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　　2.2园林绿化类：《城市绿化管理条例》《城市绿地规划标准》（GB/T51346）《城市绿地设计规范》（GB50420）《绿化种植土壤》（ CJ/T340）《城市绿化和园林绿地用植物材料  木本苗》（CJ/T24）《园林绿化工程施工及验收规范》（CJJ82）《安徽省城市绿道设计导则》《安徽省城镇园林绿化设计导则》等。</w:t>
      </w:r>
    </w:p>
    <w:p>
      <w:pPr>
        <w:pStyle w:val="3"/>
        <w:spacing w:before="0" w:after="0" w:line="520" w:lineRule="exact"/>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　　2.3公路绿化类：《公路绿化工程质量检验评定规范》（DB34/T 1741-2012)《高速公路绿化养护管理技术规程》（DB34/T2394-2015）等。</w:t>
      </w:r>
    </w:p>
    <w:p>
      <w:pPr>
        <w:pStyle w:val="3"/>
        <w:spacing w:before="0" w:after="0" w:line="520" w:lineRule="exact"/>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　　2.4林业类：《中华人民共和国森林法》《主要造林树种苗木质量分级》（GB6000）《容器育苗技术》（LY/T1000）《安徽省造林技术规程》（DB34/1267）《安徽省森林长廊建设技术导则》等。</w:t>
      </w:r>
    </w:p>
    <w:p>
      <w:pPr>
        <w:pStyle w:val="3"/>
        <w:spacing w:before="0" w:after="0" w:line="520" w:lineRule="exact"/>
        <w:jc w:val="both"/>
        <w:rPr>
          <w:rFonts w:ascii="黑体" w:hAnsi="黑体" w:eastAsia="黑体" w:cs="黑体"/>
          <w:sz w:val="30"/>
          <w:szCs w:val="30"/>
          <w:lang w:val="en-US" w:eastAsia="zh-CN"/>
        </w:rPr>
      </w:pPr>
      <w:r>
        <w:rPr>
          <w:rFonts w:hint="eastAsia" w:ascii="黑体" w:hAnsi="黑体" w:eastAsia="黑体" w:cs="黑体"/>
          <w:sz w:val="30"/>
          <w:szCs w:val="30"/>
          <w:lang w:val="en-US" w:eastAsia="zh-CN"/>
        </w:rPr>
        <w:t>3  主要类型绿化设计</w:t>
      </w:r>
    </w:p>
    <w:p>
      <w:pPr>
        <w:pStyle w:val="3"/>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3.1城镇道路</w:t>
      </w:r>
    </w:p>
    <w:p>
      <w:pPr>
        <w:pStyle w:val="3"/>
        <w:spacing w:before="0" w:after="0" w:line="520" w:lineRule="exact"/>
        <w:ind w:firstLine="600" w:firstLineChars="2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依据城镇道路分级和不同道路绿地的绿化特征，城镇道路绿地可分为出入口与快速路、主次干路、支路、道路交叉口等四种类型。就其功能布局可分为行道树、中央分车绿带、两侧分车绿带、路侧绿带和道路交叉口等五部分。</w:t>
      </w:r>
    </w:p>
    <w:p>
      <w:pPr>
        <w:pStyle w:val="3"/>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3.1.1行道树</w:t>
      </w:r>
    </w:p>
    <w:p>
      <w:pPr>
        <w:pStyle w:val="3"/>
        <w:spacing w:before="0" w:after="0" w:line="520" w:lineRule="exact"/>
        <w:ind w:firstLine="600" w:firstLineChars="2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(1)树种选择。宜选择干直、分枝点高、冠大荫浓、生长期长、耐修剪、抗倒伏少病虫害的乡土树种。为防止冬季人行道积雪，东西向道路慎用常绿树种。</w:t>
      </w:r>
    </w:p>
    <w:p>
      <w:pPr>
        <w:pStyle w:val="3"/>
        <w:topLinePunct/>
        <w:adjustRightInd w:val="0"/>
        <w:snapToGrid w:val="0"/>
        <w:spacing w:before="0" w:after="0" w:line="520" w:lineRule="exact"/>
        <w:ind w:firstLine="600" w:firstLineChars="2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(2)苗木规格。乔木胸径以8-12cm为宜，主干道种植乔木分枝点高度应达到3m以上，次干道种植乔木分枝点高度应达到2.5m以上，景观乔木因地而异。栽植后，一级分枝分布均匀且不少于3根，尽可能保留二、三级分枝，确保冠形圆满、早日成型。</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种植配置。同一道路应按照同树种、同规格（胸径、分枝点、树高、冠幅）等距离连续栽植，确保整齐美观，株距应根据树冠特性和景观要求，宜为4m-8m（若双行栽植行距宜在2米以上）。行道树树池内宜采用灌木、地被或架空隔栅加以覆盖，避免黄土裸露。</w:t>
      </w:r>
    </w:p>
    <w:p>
      <w:pPr>
        <w:pStyle w:val="3"/>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(4)主要推荐树种。国槐、银杏、悬铃木、白玉兰、栾树、榉树、朴树、无患子、水杉、女贞、枇杷、香樟、广玉兰等。</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3.1.2道路分车绿带</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(1)绿带宽度。根据道路设计，分车绿带指中央分车绿带和两侧分车绿带，一般带宽不得小于1.5m。</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(2)植物配置。对带宽大于3m的，宜采用植物群落式栽植方式，注重乔、灌、草相结合；带宽大于或等于1.5m的，应以种植乔木为主，灌木、地被植物相结合；带宽小于1.5m的，应以种植灌木为主，地被植物相结合。中央分车绿带应考虑阻挡相向行驶车辆的眩光，在距相邻机动车道路面高度0.6m至1.5m之间的范围内,配置植物的树冠应常年枝叶茂密,其株距不得大于冠幅的5倍。</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(3)苗木规格。乔木类胸径不低于8cm，树冠二级以上分枝且树形优美的乡土树种；灌木类：一般地径不低于5cm、树形圆满，若丛生应7头以上、生长健壮的乡土树种；地被及花草类以本地植物为主。特殊情况除外。</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w:t>
      </w:r>
      <w:r>
        <w:rPr>
          <w:rFonts w:ascii="宋体" w:hAnsi="宋体" w:eastAsia="宋体" w:cs="宋体"/>
          <w:sz w:val="30"/>
          <w:szCs w:val="30"/>
          <w:lang w:val="en-US" w:eastAsia="zh-CN"/>
        </w:rPr>
        <w:t>主要推荐植物。乔木类：雪松、桂花、石楠、榉树、国槐、悬铃木、三角枫、黄连木、梧桐(青桐)、银杏、无患子、重阳木、乌桕、白蜡、枫杨、合欢、白玉兰、紫玉兰、榆树、木瓜、紫叶李、日本樱花、日本晚樱等；灌木类：棕榈、李、紫薇、梅花、十大功劳、南天竹、海桐、红叶石楠、木槿、夹竹桃、火棘、无刺枸骨等；藤本类：凌霄、爬山虎、常春藤、紫藤、金银花、藤本月季等；地被类：大叶黄杨、金森女贞、美人蕉、葱兰、红花草等“乔-灌一藤一地被”优质道路绿化植物品种。</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3.1.3道路路侧绿带</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(1)依据实地情况，有条件的尽可能留足路侧绿带空间，提升城镇绿量。</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(2)城镇主、次干路路侧绿带宜推广植物群落式栽植方式。城镇出入口、快速路路侧绿带宜推广混交林栽植方式。</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(3)路侧绿带较宽的区域可结合绿道的设计手法，可因地制宜布设休闲慢道。</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(4)快速道路两侧较宽的路侧绿带应尽可能利用原有地形，就地平衡土方，采取混交林栽植方式。</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(5)主要推荐植物及苗木规格同4.1.2。</w:t>
      </w:r>
    </w:p>
    <w:p>
      <w:pPr>
        <w:pStyle w:val="3"/>
        <w:topLinePunct/>
        <w:adjustRightInd w:val="0"/>
        <w:snapToGrid w:val="0"/>
        <w:spacing w:before="0" w:after="0" w:line="520" w:lineRule="exact"/>
        <w:ind w:firstLine="600"/>
        <w:jc w:val="both"/>
        <w:rPr>
          <w:rFonts w:ascii="Times New Roman" w:hAnsi="Times New Roman" w:eastAsia="仿宋_GB2312" w:cs="Times New Roman"/>
          <w:sz w:val="30"/>
          <w:szCs w:val="30"/>
          <w:lang w:val="en-US" w:eastAsia="zh-CN"/>
        </w:rPr>
      </w:pPr>
      <w:r>
        <w:rPr>
          <w:rFonts w:hint="eastAsia" w:ascii="宋体" w:hAnsi="宋体" w:eastAsia="宋体" w:cs="宋体"/>
          <w:sz w:val="30"/>
          <w:szCs w:val="30"/>
          <w:lang w:val="en-US" w:eastAsia="zh-CN"/>
        </w:rPr>
        <w:t>3.1.4道路出入口及景观节点绿化</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(1)</w:t>
      </w:r>
      <w:r>
        <w:rPr>
          <w:rFonts w:ascii="宋体" w:hAnsi="宋体" w:eastAsia="宋体" w:cs="宋体"/>
          <w:sz w:val="30"/>
          <w:szCs w:val="30"/>
          <w:lang w:val="en-US" w:eastAsia="zh-CN"/>
        </w:rPr>
        <w:t>植物配置</w:t>
      </w:r>
      <w:r>
        <w:rPr>
          <w:rFonts w:hint="eastAsia" w:ascii="宋体" w:hAnsi="宋体" w:eastAsia="宋体" w:cs="宋体"/>
          <w:sz w:val="30"/>
          <w:szCs w:val="30"/>
          <w:lang w:val="en-US" w:eastAsia="zh-CN"/>
        </w:rPr>
        <w:t>。</w:t>
      </w:r>
      <w:r>
        <w:rPr>
          <w:rFonts w:ascii="宋体" w:hAnsi="宋体" w:eastAsia="宋体" w:cs="宋体"/>
          <w:sz w:val="30"/>
          <w:szCs w:val="30"/>
          <w:lang w:val="en-US" w:eastAsia="zh-CN"/>
        </w:rPr>
        <w:t>应注重远景观赏效果，提倡以植物造景为主，不宜考虑行人停留的空间与设施。</w:t>
      </w:r>
      <w:r>
        <w:rPr>
          <w:rFonts w:hint="eastAsia" w:ascii="宋体" w:hAnsi="宋体" w:eastAsia="宋体" w:cs="宋体"/>
          <w:sz w:val="30"/>
          <w:szCs w:val="30"/>
          <w:lang w:val="en-US" w:eastAsia="zh-CN"/>
        </w:rPr>
        <w:t>绿化设计</w:t>
      </w:r>
      <w:r>
        <w:rPr>
          <w:rFonts w:ascii="宋体" w:hAnsi="宋体" w:eastAsia="宋体" w:cs="宋体"/>
          <w:sz w:val="30"/>
          <w:szCs w:val="30"/>
          <w:lang w:val="en-US" w:eastAsia="zh-CN"/>
        </w:rPr>
        <w:t>宜采取混交林、植物群落式的栽植手法。</w:t>
      </w:r>
      <w:r>
        <w:rPr>
          <w:rFonts w:hint="eastAsia" w:ascii="宋体" w:hAnsi="宋体" w:eastAsia="宋体" w:cs="宋体"/>
          <w:sz w:val="30"/>
          <w:szCs w:val="30"/>
          <w:lang w:val="en-US" w:eastAsia="zh-CN"/>
        </w:rPr>
        <w:t>采用</w:t>
      </w:r>
      <w:r>
        <w:rPr>
          <w:rFonts w:ascii="宋体" w:hAnsi="宋体" w:eastAsia="宋体" w:cs="宋体"/>
          <w:sz w:val="30"/>
          <w:szCs w:val="30"/>
          <w:lang w:val="en-US" w:eastAsia="zh-CN"/>
        </w:rPr>
        <w:t>乡土乔木树种为主，以落叶与常绿自然混栽;群落式以地被植物、多年生宿根花卉、灌木及群植乔木为主</w:t>
      </w:r>
      <w:r>
        <w:rPr>
          <w:rFonts w:hint="eastAsia" w:ascii="宋体" w:hAnsi="宋体" w:eastAsia="宋体" w:cs="宋体"/>
          <w:sz w:val="30"/>
          <w:szCs w:val="30"/>
          <w:lang w:val="en-US" w:eastAsia="zh-CN"/>
        </w:rPr>
        <w:t>，形成宜密则密，疏密结合，错落有致，三季有花的植物景观</w:t>
      </w:r>
      <w:r>
        <w:rPr>
          <w:rFonts w:ascii="宋体" w:hAnsi="宋体" w:eastAsia="宋体" w:cs="宋体"/>
          <w:sz w:val="30"/>
          <w:szCs w:val="30"/>
          <w:lang w:val="en-US" w:eastAsia="zh-CN"/>
        </w:rPr>
        <w:t>，突出城镇特色</w:t>
      </w:r>
      <w:r>
        <w:rPr>
          <w:rFonts w:hint="eastAsia" w:ascii="宋体" w:hAnsi="宋体" w:eastAsia="宋体" w:cs="宋体"/>
          <w:sz w:val="30"/>
          <w:szCs w:val="30"/>
          <w:lang w:val="en-US" w:eastAsia="zh-CN"/>
        </w:rPr>
        <w:t>。</w:t>
      </w:r>
    </w:p>
    <w:p>
      <w:pPr>
        <w:pStyle w:val="3"/>
        <w:spacing w:before="0" w:after="0" w:line="520" w:lineRule="exact"/>
        <w:ind w:firstLine="600" w:firstLineChars="200"/>
        <w:jc w:val="both"/>
        <w:rPr>
          <w:rFonts w:ascii="Times New Roman" w:hAnsi="Times New Roman" w:eastAsia="宋体" w:cs="Times New Roman"/>
          <w:sz w:val="30"/>
          <w:szCs w:val="30"/>
          <w:lang w:val="en-US" w:eastAsia="zh-CN"/>
        </w:rPr>
      </w:pPr>
      <w:r>
        <w:rPr>
          <w:rFonts w:hint="eastAsia" w:ascii="宋体" w:hAnsi="宋体" w:eastAsia="宋体" w:cs="宋体"/>
          <w:sz w:val="30"/>
          <w:szCs w:val="30"/>
          <w:lang w:val="en-US" w:eastAsia="zh-CN"/>
        </w:rPr>
        <w:t>(2)主要推荐植物及苗木规格同4.1.2。</w:t>
      </w:r>
      <w:r>
        <w:rPr>
          <w:rFonts w:hint="eastAsia" w:ascii="Times New Roman" w:hAnsi="Times New Roman" w:eastAsia="宋体" w:cs="Times New Roman"/>
          <w:sz w:val="30"/>
          <w:szCs w:val="30"/>
          <w:lang w:val="en-US" w:eastAsia="zh-CN"/>
        </w:rPr>
        <w:t>　</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3.2城镇规划区以外道路</w:t>
      </w:r>
    </w:p>
    <w:p>
      <w:pPr>
        <w:pStyle w:val="3"/>
        <w:topLinePunct/>
        <w:adjustRightInd w:val="0"/>
        <w:snapToGrid w:val="0"/>
        <w:spacing w:before="0" w:after="0" w:line="520" w:lineRule="exact"/>
        <w:ind w:firstLine="600"/>
        <w:jc w:val="both"/>
        <w:rPr>
          <w:rFonts w:ascii="Times New Roman" w:hAnsi="Times New Roman" w:eastAsia="宋体" w:cs="Times New Roman"/>
          <w:sz w:val="30"/>
          <w:szCs w:val="30"/>
          <w:lang w:val="en-US" w:eastAsia="zh-CN"/>
        </w:rPr>
      </w:pPr>
      <w:r>
        <w:rPr>
          <w:rFonts w:hint="eastAsia" w:ascii="宋体" w:hAnsi="宋体" w:eastAsia="宋体" w:cs="宋体"/>
          <w:sz w:val="30"/>
          <w:szCs w:val="30"/>
          <w:lang w:val="en-US" w:eastAsia="zh-CN"/>
        </w:rPr>
        <w:t>主要指高速公路、铁路、国省道、县乡道及河渠堤坝沿线两侧以营造</w:t>
      </w:r>
      <w:r>
        <w:rPr>
          <w:rFonts w:ascii="宋体" w:hAnsi="宋体" w:eastAsia="宋体" w:cs="宋体"/>
          <w:sz w:val="30"/>
          <w:szCs w:val="30"/>
          <w:lang w:val="en-US" w:eastAsia="zh-CN"/>
        </w:rPr>
        <w:t>防风固土</w:t>
      </w:r>
      <w:r>
        <w:rPr>
          <w:rFonts w:hint="eastAsia" w:ascii="宋体" w:hAnsi="宋体" w:eastAsia="宋体" w:cs="宋体"/>
          <w:sz w:val="30"/>
          <w:szCs w:val="30"/>
          <w:lang w:val="en-US" w:eastAsia="zh-CN"/>
        </w:rPr>
        <w:t>、</w:t>
      </w:r>
      <w:r>
        <w:rPr>
          <w:rFonts w:ascii="宋体" w:hAnsi="宋体" w:eastAsia="宋体" w:cs="宋体"/>
          <w:sz w:val="30"/>
          <w:szCs w:val="30"/>
          <w:lang w:val="en-US" w:eastAsia="zh-CN"/>
        </w:rPr>
        <w:t>护坡护岸、涵养水源</w:t>
      </w:r>
      <w:r>
        <w:rPr>
          <w:rFonts w:hint="eastAsia" w:ascii="宋体" w:hAnsi="宋体" w:eastAsia="宋体" w:cs="宋体"/>
          <w:sz w:val="30"/>
          <w:szCs w:val="30"/>
          <w:lang w:val="en-US" w:eastAsia="zh-CN"/>
        </w:rPr>
        <w:t>、</w:t>
      </w:r>
      <w:r>
        <w:rPr>
          <w:rFonts w:ascii="宋体" w:hAnsi="宋体" w:eastAsia="宋体" w:cs="宋体"/>
          <w:sz w:val="30"/>
          <w:szCs w:val="30"/>
          <w:lang w:val="en-US" w:eastAsia="zh-CN"/>
        </w:rPr>
        <w:t>美化环境为主要功能</w:t>
      </w:r>
      <w:r>
        <w:rPr>
          <w:rFonts w:hint="eastAsia" w:ascii="宋体" w:hAnsi="宋体" w:eastAsia="宋体" w:cs="宋体"/>
          <w:sz w:val="30"/>
          <w:szCs w:val="30"/>
          <w:lang w:val="en-US" w:eastAsia="zh-CN"/>
        </w:rPr>
        <w:t>的生态防护林带</w:t>
      </w:r>
      <w:r>
        <w:rPr>
          <w:rFonts w:ascii="宋体" w:hAnsi="宋体" w:eastAsia="宋体" w:cs="宋体"/>
          <w:color w:val="000000" w:themeColor="text1"/>
          <w:sz w:val="30"/>
          <w:szCs w:val="30"/>
          <w:lang w:val="en-US" w:eastAsia="zh-CN"/>
          <w14:textFill>
            <w14:solidFill>
              <w14:schemeClr w14:val="tx1"/>
            </w14:solidFill>
          </w14:textFill>
        </w:rPr>
        <w:t>。</w:t>
      </w:r>
      <w:r>
        <w:rPr>
          <w:rFonts w:hint="eastAsia" w:ascii="宋体" w:hAnsi="宋体" w:eastAsia="宋体" w:cs="宋体"/>
          <w:color w:val="000000" w:themeColor="text1"/>
          <w:sz w:val="30"/>
          <w:szCs w:val="30"/>
          <w:lang w:val="en-US" w:eastAsia="zh-CN"/>
          <w14:textFill>
            <w14:solidFill>
              <w14:schemeClr w14:val="tx1"/>
            </w14:solidFill>
          </w14:textFill>
        </w:rPr>
        <w:t>为保障道路交通安全，原则上路肩上严禁栽树。</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3.2.1</w:t>
      </w:r>
      <w:r>
        <w:rPr>
          <w:rFonts w:ascii="宋体" w:hAnsi="宋体" w:eastAsia="宋体" w:cs="宋体"/>
          <w:sz w:val="30"/>
          <w:szCs w:val="30"/>
          <w:lang w:val="en-US" w:eastAsia="zh-CN"/>
        </w:rPr>
        <w:t>林带建设宽度</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w:t>
      </w:r>
      <w:r>
        <w:rPr>
          <w:rFonts w:hint="eastAsia" w:ascii="宋体" w:hAnsi="宋体" w:eastAsia="宋体" w:cs="宋体"/>
          <w:color w:val="000000" w:themeColor="text1"/>
          <w:sz w:val="30"/>
          <w:szCs w:val="30"/>
          <w:lang w:val="en-US" w:eastAsia="zh-CN"/>
          <w14:textFill>
            <w14:solidFill>
              <w14:schemeClr w14:val="tx1"/>
            </w14:solidFill>
          </w14:textFill>
        </w:rPr>
        <w:t>1)</w:t>
      </w:r>
      <w:r>
        <w:rPr>
          <w:rFonts w:ascii="宋体" w:hAnsi="宋体" w:eastAsia="宋体" w:cs="宋体"/>
          <w:color w:val="000000" w:themeColor="text1"/>
          <w:sz w:val="30"/>
          <w:szCs w:val="30"/>
          <w:lang w:val="en-US" w:eastAsia="zh-CN"/>
          <w14:textFill>
            <w14:solidFill>
              <w14:schemeClr w14:val="tx1"/>
            </w14:solidFill>
          </w14:textFill>
        </w:rPr>
        <w:t>高速公路</w:t>
      </w:r>
      <w:r>
        <w:rPr>
          <w:rFonts w:hint="eastAsia" w:ascii="宋体" w:hAnsi="宋体" w:eastAsia="宋体" w:cs="宋体"/>
          <w:color w:val="000000" w:themeColor="text1"/>
          <w:sz w:val="30"/>
          <w:szCs w:val="30"/>
          <w:lang w:val="en-US" w:eastAsia="zh-CN"/>
          <w14:textFill>
            <w14:solidFill>
              <w14:schemeClr w14:val="tx1"/>
            </w14:solidFill>
          </w14:textFill>
        </w:rPr>
        <w:t>、</w:t>
      </w:r>
      <w:r>
        <w:rPr>
          <w:rFonts w:ascii="宋体" w:hAnsi="宋体" w:eastAsia="宋体" w:cs="宋体"/>
          <w:color w:val="000000" w:themeColor="text1"/>
          <w:sz w:val="30"/>
          <w:szCs w:val="30"/>
          <w:lang w:val="en-US" w:eastAsia="zh-CN"/>
          <w14:textFill>
            <w14:solidFill>
              <w14:schemeClr w14:val="tx1"/>
            </w14:solidFill>
          </w14:textFill>
        </w:rPr>
        <w:t>铁路</w:t>
      </w:r>
      <w:r>
        <w:rPr>
          <w:rFonts w:hint="eastAsia" w:ascii="宋体" w:hAnsi="宋体" w:eastAsia="宋体" w:cs="宋体"/>
          <w:color w:val="000000" w:themeColor="text1"/>
          <w:sz w:val="30"/>
          <w:szCs w:val="30"/>
          <w:lang w:val="en-US" w:eastAsia="zh-CN"/>
          <w14:textFill>
            <w14:solidFill>
              <w14:schemeClr w14:val="tx1"/>
            </w14:solidFill>
          </w14:textFill>
        </w:rPr>
        <w:t>、国省道路</w:t>
      </w:r>
      <w:r>
        <w:rPr>
          <w:rFonts w:ascii="宋体" w:hAnsi="宋体" w:eastAsia="宋体" w:cs="宋体"/>
          <w:color w:val="000000" w:themeColor="text1"/>
          <w:sz w:val="30"/>
          <w:szCs w:val="30"/>
          <w:lang w:val="en-US" w:eastAsia="zh-CN"/>
          <w14:textFill>
            <w14:solidFill>
              <w14:schemeClr w14:val="tx1"/>
            </w14:solidFill>
          </w14:textFill>
        </w:rPr>
        <w:t>。新建道路沿线绿化每侧林带宽度</w:t>
      </w:r>
      <w:r>
        <w:rPr>
          <w:rFonts w:hint="eastAsia" w:ascii="宋体" w:hAnsi="宋体" w:eastAsia="宋体" w:cs="宋体"/>
          <w:color w:val="000000" w:themeColor="text1"/>
          <w:sz w:val="30"/>
          <w:szCs w:val="30"/>
          <w:lang w:val="en-US" w:eastAsia="zh-CN"/>
          <w14:textFill>
            <w14:solidFill>
              <w14:schemeClr w14:val="tx1"/>
            </w14:solidFill>
          </w14:textFill>
        </w:rPr>
        <w:t>（不含已批道路用地）</w:t>
      </w:r>
      <w:r>
        <w:rPr>
          <w:rFonts w:ascii="宋体" w:hAnsi="宋体" w:eastAsia="宋体" w:cs="宋体"/>
          <w:sz w:val="30"/>
          <w:szCs w:val="30"/>
          <w:lang w:val="en-US" w:eastAsia="zh-CN"/>
        </w:rPr>
        <w:t>不得超过5米</w:t>
      </w:r>
      <w:r>
        <w:rPr>
          <w:rFonts w:hint="eastAsia" w:ascii="宋体" w:hAnsi="宋体" w:eastAsia="宋体" w:cs="宋体"/>
          <w:sz w:val="30"/>
          <w:szCs w:val="30"/>
          <w:lang w:val="en-US" w:eastAsia="zh-CN"/>
        </w:rPr>
        <w:t>，</w:t>
      </w:r>
      <w:r>
        <w:rPr>
          <w:rFonts w:ascii="宋体" w:hAnsi="宋体" w:eastAsia="宋体" w:cs="宋体"/>
          <w:sz w:val="30"/>
          <w:szCs w:val="30"/>
          <w:lang w:val="en-US" w:eastAsia="zh-CN"/>
        </w:rPr>
        <w:t>不涉及占用耕地且有条件的地段可加宽到</w:t>
      </w:r>
      <w:r>
        <w:rPr>
          <w:rFonts w:hint="eastAsia" w:ascii="宋体" w:hAnsi="宋体" w:eastAsia="宋体" w:cs="宋体"/>
          <w:sz w:val="30"/>
          <w:szCs w:val="30"/>
          <w:lang w:val="en-US" w:eastAsia="zh-CN"/>
        </w:rPr>
        <w:t>10</w:t>
      </w:r>
      <w:r>
        <w:rPr>
          <w:rFonts w:ascii="宋体" w:hAnsi="宋体" w:eastAsia="宋体" w:cs="宋体"/>
          <w:sz w:val="30"/>
          <w:szCs w:val="30"/>
          <w:lang w:val="en-US" w:eastAsia="zh-CN"/>
        </w:rPr>
        <w:t xml:space="preserve"> 米。应注重线路绿化与林带建设同步推进。</w:t>
      </w:r>
      <w:r>
        <w:rPr>
          <w:rFonts w:hint="eastAsia" w:ascii="宋体" w:hAnsi="宋体" w:eastAsia="宋体" w:cs="宋体"/>
          <w:sz w:val="30"/>
          <w:szCs w:val="30"/>
          <w:lang w:val="en-US" w:eastAsia="zh-CN"/>
        </w:rPr>
        <w:t>对</w:t>
      </w:r>
      <w:r>
        <w:rPr>
          <w:rFonts w:ascii="宋体" w:hAnsi="宋体" w:eastAsia="宋体" w:cs="宋体"/>
          <w:sz w:val="30"/>
          <w:szCs w:val="30"/>
          <w:lang w:val="en-US" w:eastAsia="zh-CN"/>
        </w:rPr>
        <w:t>绿化提质改造和扩建、改建路段</w:t>
      </w:r>
      <w:r>
        <w:rPr>
          <w:rFonts w:hint="eastAsia" w:ascii="宋体" w:hAnsi="宋体" w:eastAsia="宋体" w:cs="宋体"/>
          <w:sz w:val="30"/>
          <w:szCs w:val="30"/>
          <w:lang w:val="en-US" w:eastAsia="zh-CN"/>
        </w:rPr>
        <w:t>，</w:t>
      </w:r>
      <w:r>
        <w:rPr>
          <w:rFonts w:ascii="宋体" w:hAnsi="宋体" w:eastAsia="宋体" w:cs="宋体"/>
          <w:sz w:val="30"/>
          <w:szCs w:val="30"/>
          <w:lang w:val="en-US" w:eastAsia="zh-CN"/>
        </w:rPr>
        <w:t>原林带宽度保持不变。</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(2)</w:t>
      </w:r>
      <w:r>
        <w:rPr>
          <w:rFonts w:ascii="宋体" w:hAnsi="宋体" w:eastAsia="宋体" w:cs="宋体"/>
          <w:sz w:val="30"/>
          <w:szCs w:val="30"/>
          <w:lang w:val="en-US" w:eastAsia="zh-CN"/>
        </w:rPr>
        <w:t>县、乡道路。新建、改建、扩建道路沿线绿化每侧林带宽度不</w:t>
      </w:r>
      <w:r>
        <w:rPr>
          <w:rFonts w:hint="eastAsia" w:ascii="宋体" w:hAnsi="宋体" w:eastAsia="宋体" w:cs="宋体"/>
          <w:sz w:val="30"/>
          <w:szCs w:val="30"/>
          <w:lang w:val="en-US" w:eastAsia="zh-CN"/>
        </w:rPr>
        <w:t>超</w:t>
      </w:r>
      <w:r>
        <w:rPr>
          <w:rFonts w:ascii="宋体" w:hAnsi="宋体" w:eastAsia="宋体" w:cs="宋体"/>
          <w:sz w:val="30"/>
          <w:szCs w:val="30"/>
          <w:lang w:val="en-US" w:eastAsia="zh-CN"/>
        </w:rPr>
        <w:t>过3米，不涉及占用耕地且有条件的地段可加宽到</w:t>
      </w:r>
      <w:r>
        <w:rPr>
          <w:rFonts w:hint="eastAsia" w:ascii="宋体" w:hAnsi="宋体" w:eastAsia="宋体" w:cs="宋体"/>
          <w:sz w:val="30"/>
          <w:szCs w:val="30"/>
          <w:lang w:val="en-US" w:eastAsia="zh-CN"/>
        </w:rPr>
        <w:t>5</w:t>
      </w:r>
      <w:r>
        <w:rPr>
          <w:rFonts w:ascii="宋体" w:hAnsi="宋体" w:eastAsia="宋体" w:cs="宋体"/>
          <w:sz w:val="30"/>
          <w:szCs w:val="30"/>
          <w:lang w:val="en-US" w:eastAsia="zh-CN"/>
        </w:rPr>
        <w:t>米。</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w:t>
      </w:r>
      <w:r>
        <w:rPr>
          <w:rFonts w:ascii="宋体" w:hAnsi="宋体" w:eastAsia="宋体" w:cs="宋体"/>
          <w:sz w:val="30"/>
          <w:szCs w:val="30"/>
          <w:lang w:val="en-US" w:eastAsia="zh-CN"/>
        </w:rPr>
        <w:t>路渠、堤坝。</w:t>
      </w:r>
      <w:r>
        <w:rPr>
          <w:rFonts w:hint="eastAsia" w:ascii="宋体" w:hAnsi="宋体" w:eastAsia="宋体" w:cs="宋体"/>
          <w:sz w:val="30"/>
          <w:szCs w:val="30"/>
          <w:lang w:val="en-US" w:eastAsia="zh-CN"/>
        </w:rPr>
        <w:t>对</w:t>
      </w:r>
      <w:r>
        <w:rPr>
          <w:rFonts w:ascii="宋体" w:hAnsi="宋体" w:eastAsia="宋体" w:cs="宋体"/>
          <w:sz w:val="30"/>
          <w:szCs w:val="30"/>
          <w:lang w:val="en-US" w:eastAsia="zh-CN"/>
        </w:rPr>
        <w:t>尚未绿化的河渠、堤坝要</w:t>
      </w:r>
      <w:r>
        <w:rPr>
          <w:rFonts w:hint="eastAsia" w:ascii="宋体" w:hAnsi="宋体" w:eastAsia="宋体" w:cs="宋体"/>
          <w:sz w:val="30"/>
          <w:szCs w:val="30"/>
          <w:lang w:val="en-US" w:eastAsia="zh-CN"/>
        </w:rPr>
        <w:t>宜绿尽绿</w:t>
      </w:r>
      <w:r>
        <w:rPr>
          <w:rFonts w:ascii="宋体" w:hAnsi="宋体" w:eastAsia="宋体" w:cs="宋体"/>
          <w:sz w:val="30"/>
          <w:szCs w:val="30"/>
          <w:lang w:val="en-US" w:eastAsia="zh-CN"/>
        </w:rPr>
        <w:t>，有条件的地区要提高绿化标准。河渠、堤坝</w:t>
      </w:r>
      <w:r>
        <w:rPr>
          <w:rFonts w:hint="eastAsia" w:ascii="宋体" w:hAnsi="宋体" w:eastAsia="宋体" w:cs="宋体"/>
          <w:sz w:val="30"/>
          <w:szCs w:val="30"/>
          <w:lang w:val="en-US" w:eastAsia="zh-CN"/>
        </w:rPr>
        <w:t>林带</w:t>
      </w:r>
      <w:r>
        <w:rPr>
          <w:rFonts w:ascii="宋体" w:hAnsi="宋体" w:eastAsia="宋体" w:cs="宋体"/>
          <w:sz w:val="30"/>
          <w:szCs w:val="30"/>
          <w:lang w:val="en-US" w:eastAsia="zh-CN"/>
        </w:rPr>
        <w:t>建设树种选择根据护堤（坝）和绿化美化要求确定，要充分利用河渠、堤坝等周边土地资源，林带建设应与林业产业有机结合。</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w:t>
      </w:r>
      <w:r>
        <w:rPr>
          <w:rFonts w:ascii="宋体" w:hAnsi="宋体" w:eastAsia="宋体" w:cs="宋体"/>
          <w:sz w:val="30"/>
          <w:szCs w:val="30"/>
          <w:lang w:val="en-US" w:eastAsia="zh-CN"/>
        </w:rPr>
        <w:t>2.</w:t>
      </w:r>
      <w:r>
        <w:rPr>
          <w:rFonts w:hint="eastAsia" w:ascii="宋体" w:hAnsi="宋体" w:eastAsia="宋体" w:cs="宋体"/>
          <w:sz w:val="30"/>
          <w:szCs w:val="30"/>
          <w:lang w:val="en-US" w:eastAsia="zh-CN"/>
        </w:rPr>
        <w:t>2</w:t>
      </w:r>
      <w:r>
        <w:rPr>
          <w:rFonts w:ascii="宋体" w:hAnsi="宋体" w:eastAsia="宋体" w:cs="宋体"/>
          <w:sz w:val="30"/>
          <w:szCs w:val="30"/>
          <w:lang w:val="en-US" w:eastAsia="zh-CN"/>
        </w:rPr>
        <w:t>树种选择与配置</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(1)</w:t>
      </w:r>
      <w:r>
        <w:rPr>
          <w:rFonts w:ascii="宋体" w:hAnsi="宋体" w:eastAsia="宋体" w:cs="宋体"/>
          <w:sz w:val="30"/>
          <w:szCs w:val="30"/>
          <w:lang w:val="en-US" w:eastAsia="zh-CN"/>
        </w:rPr>
        <w:t>树种选择。乔木类：雪松、桂花、石楠、榉树、国槐、悬铃木、水冬瓜、</w:t>
      </w:r>
      <w:r>
        <w:rPr>
          <w:rFonts w:hint="eastAsia" w:ascii="宋体" w:hAnsi="宋体" w:eastAsia="宋体" w:cs="宋体"/>
          <w:sz w:val="30"/>
          <w:szCs w:val="30"/>
          <w:lang w:val="en-US" w:eastAsia="zh-CN"/>
        </w:rPr>
        <w:t>银杏</w:t>
      </w:r>
      <w:r>
        <w:rPr>
          <w:rFonts w:ascii="宋体" w:hAnsi="宋体" w:eastAsia="宋体" w:cs="宋体"/>
          <w:sz w:val="30"/>
          <w:szCs w:val="30"/>
          <w:lang w:val="en-US" w:eastAsia="zh-CN"/>
        </w:rPr>
        <w:t>、梧桐(青桐)、无患子、乌桕、白蜡、枫杨、</w:t>
      </w:r>
      <w:r>
        <w:rPr>
          <w:rFonts w:hint="eastAsia" w:ascii="宋体" w:hAnsi="宋体" w:eastAsia="宋体" w:cs="宋体"/>
          <w:sz w:val="30"/>
          <w:szCs w:val="30"/>
          <w:lang w:val="en-US" w:eastAsia="zh-CN"/>
        </w:rPr>
        <w:t>黄连木、</w:t>
      </w:r>
      <w:r>
        <w:rPr>
          <w:rFonts w:ascii="宋体" w:hAnsi="宋体" w:eastAsia="宋体" w:cs="宋体"/>
          <w:sz w:val="30"/>
          <w:szCs w:val="30"/>
          <w:lang w:val="en-US" w:eastAsia="zh-CN"/>
        </w:rPr>
        <w:t>白玉兰、紫玉兰、榆树、木瓜、樱花等；灌木类：棕榈、紫薇、紫叶李、梅花、十大功劳、南天竹、海桐、红叶石楠、木槿、夹竹桃、火棘、无刺枸骨等优质</w:t>
      </w:r>
      <w:r>
        <w:rPr>
          <w:rFonts w:hint="eastAsia" w:ascii="宋体" w:hAnsi="宋体" w:eastAsia="宋体" w:cs="宋体"/>
          <w:sz w:val="30"/>
          <w:szCs w:val="30"/>
          <w:lang w:val="en-US" w:eastAsia="zh-CN"/>
        </w:rPr>
        <w:t>乡土</w:t>
      </w:r>
      <w:r>
        <w:rPr>
          <w:rFonts w:ascii="宋体" w:hAnsi="宋体" w:eastAsia="宋体" w:cs="宋体"/>
          <w:sz w:val="30"/>
          <w:szCs w:val="30"/>
          <w:lang w:val="en-US" w:eastAsia="zh-CN"/>
        </w:rPr>
        <w:t>绿化树种。</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(2)配置模式</w:t>
      </w:r>
      <w:r>
        <w:rPr>
          <w:rFonts w:ascii="宋体" w:hAnsi="宋体" w:eastAsia="宋体" w:cs="宋体"/>
          <w:sz w:val="30"/>
          <w:szCs w:val="30"/>
          <w:lang w:val="en-US" w:eastAsia="zh-CN"/>
        </w:rPr>
        <w:t>。林带提倡混交造林模式。树种应常绿与落叶相互搭配，乔、灌结合，体现当地特色。营造混交林应根据树种特性、立地条件和</w:t>
      </w:r>
      <w:r>
        <w:rPr>
          <w:rFonts w:hint="eastAsia" w:ascii="宋体" w:hAnsi="宋体" w:eastAsia="宋体" w:cs="宋体"/>
          <w:sz w:val="30"/>
          <w:szCs w:val="30"/>
          <w:lang w:val="en-US" w:eastAsia="zh-CN"/>
        </w:rPr>
        <w:t>建设</w:t>
      </w:r>
      <w:r>
        <w:rPr>
          <w:rFonts w:ascii="宋体" w:hAnsi="宋体" w:eastAsia="宋体" w:cs="宋体"/>
          <w:sz w:val="30"/>
          <w:szCs w:val="30"/>
          <w:lang w:val="en-US" w:eastAsia="zh-CN"/>
        </w:rPr>
        <w:t>目的选择</w:t>
      </w:r>
      <w:r>
        <w:rPr>
          <w:rFonts w:hint="eastAsia" w:ascii="宋体" w:hAnsi="宋体" w:eastAsia="宋体" w:cs="宋体"/>
          <w:sz w:val="30"/>
          <w:szCs w:val="30"/>
          <w:lang w:val="en-US" w:eastAsia="zh-CN"/>
        </w:rPr>
        <w:t>绿化</w:t>
      </w:r>
      <w:r>
        <w:rPr>
          <w:rFonts w:ascii="宋体" w:hAnsi="宋体" w:eastAsia="宋体" w:cs="宋体"/>
          <w:sz w:val="30"/>
          <w:szCs w:val="30"/>
          <w:lang w:val="en-US" w:eastAsia="zh-CN"/>
        </w:rPr>
        <w:t>树种，确定合理的</w:t>
      </w:r>
      <w:r>
        <w:rPr>
          <w:rFonts w:hint="eastAsia" w:ascii="宋体" w:hAnsi="宋体" w:eastAsia="宋体" w:cs="宋体"/>
          <w:sz w:val="30"/>
          <w:szCs w:val="30"/>
          <w:lang w:val="en-US" w:eastAsia="zh-CN"/>
        </w:rPr>
        <w:t>绿化</w:t>
      </w:r>
      <w:r>
        <w:rPr>
          <w:rFonts w:ascii="宋体" w:hAnsi="宋体" w:eastAsia="宋体" w:cs="宋体"/>
          <w:sz w:val="30"/>
          <w:szCs w:val="30"/>
          <w:lang w:val="en-US" w:eastAsia="zh-CN"/>
        </w:rPr>
        <w:t>类型。（参考模式附后）</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3.2.3苗木规格</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乔木类一般选用胸径6cm、枝下高2.5m以上，二级以上分枝有冠苗；灌木类：一般地径不低于3cm、树高1.5m以上，若丛生应5头以上、高度1.2m以上；地被及花草类以本地植物为主。特殊情况除外。</w:t>
      </w:r>
    </w:p>
    <w:p>
      <w:pPr>
        <w:pStyle w:val="3"/>
        <w:topLinePunct/>
        <w:adjustRightInd w:val="0"/>
        <w:snapToGrid w:val="0"/>
        <w:spacing w:before="0" w:after="0" w:line="520" w:lineRule="exact"/>
        <w:jc w:val="both"/>
        <w:rPr>
          <w:rFonts w:ascii="黑体" w:hAnsi="黑体" w:eastAsia="黑体" w:cs="黑体"/>
          <w:sz w:val="30"/>
          <w:szCs w:val="30"/>
          <w:lang w:val="en-US" w:eastAsia="zh-CN"/>
        </w:rPr>
      </w:pPr>
      <w:r>
        <w:rPr>
          <w:rFonts w:hint="eastAsia" w:ascii="黑体" w:hAnsi="黑体" w:eastAsia="黑体" w:cs="黑体"/>
          <w:sz w:val="30"/>
          <w:szCs w:val="30"/>
          <w:lang w:val="en-US" w:eastAsia="zh-CN"/>
        </w:rPr>
        <w:t>4  绿化质量</w:t>
      </w:r>
    </w:p>
    <w:p>
      <w:pPr>
        <w:pStyle w:val="3"/>
        <w:topLinePunct/>
        <w:adjustRightInd w:val="0"/>
        <w:snapToGrid w:val="0"/>
        <w:spacing w:before="0" w:after="0" w:line="38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4.1</w:t>
      </w:r>
      <w:r>
        <w:rPr>
          <w:rFonts w:ascii="宋体" w:hAnsi="宋体" w:eastAsia="宋体" w:cs="宋体"/>
          <w:sz w:val="30"/>
          <w:szCs w:val="30"/>
          <w:lang w:val="en-US" w:eastAsia="zh-CN"/>
        </w:rPr>
        <w:t>种植地整理</w:t>
      </w:r>
      <w:r>
        <w:rPr>
          <w:rFonts w:hint="eastAsia" w:ascii="宋体" w:hAnsi="宋体" w:eastAsia="宋体" w:cs="宋体"/>
          <w:sz w:val="30"/>
          <w:szCs w:val="30"/>
          <w:lang w:val="en-US" w:eastAsia="zh-CN"/>
        </w:rPr>
        <w:t>。</w:t>
      </w:r>
      <w:r>
        <w:rPr>
          <w:rFonts w:ascii="宋体" w:hAnsi="宋体" w:eastAsia="宋体" w:cs="宋体"/>
          <w:sz w:val="30"/>
          <w:szCs w:val="30"/>
          <w:lang w:val="en-US" w:eastAsia="zh-CN"/>
        </w:rPr>
        <w:t>按设计要求回填种植土</w:t>
      </w:r>
      <w:r>
        <w:rPr>
          <w:rFonts w:hint="eastAsia" w:ascii="宋体" w:hAnsi="宋体" w:eastAsia="宋体" w:cs="宋体"/>
          <w:sz w:val="30"/>
          <w:szCs w:val="30"/>
          <w:lang w:val="en-US" w:eastAsia="zh-CN"/>
        </w:rPr>
        <w:t>，确保排灌畅通。</w:t>
      </w:r>
      <w:r>
        <w:rPr>
          <w:rFonts w:ascii="宋体" w:hAnsi="宋体" w:eastAsia="宋体" w:cs="宋体"/>
          <w:sz w:val="30"/>
          <w:szCs w:val="30"/>
          <w:lang w:val="en-US" w:eastAsia="zh-CN"/>
        </w:rPr>
        <w:t>种植土壤含有建筑废土及其他有害成分，</w:t>
      </w:r>
      <w:r>
        <w:rPr>
          <w:rFonts w:hint="eastAsia" w:ascii="宋体" w:hAnsi="宋体" w:eastAsia="宋体" w:cs="宋体"/>
          <w:sz w:val="30"/>
          <w:szCs w:val="30"/>
          <w:lang w:val="en-US" w:eastAsia="zh-CN"/>
        </w:rPr>
        <w:t>如</w:t>
      </w:r>
      <w:r>
        <w:rPr>
          <w:rFonts w:ascii="宋体" w:hAnsi="宋体" w:eastAsia="宋体" w:cs="宋体"/>
          <w:sz w:val="30"/>
          <w:szCs w:val="30"/>
          <w:lang w:val="en-US" w:eastAsia="zh-CN"/>
        </w:rPr>
        <w:t>强酸性土、强碱性土、重粘土、沙土等</w:t>
      </w:r>
      <w:r>
        <w:rPr>
          <w:rFonts w:hint="eastAsia" w:ascii="宋体" w:hAnsi="宋体" w:eastAsia="宋体" w:cs="宋体"/>
          <w:sz w:val="30"/>
          <w:szCs w:val="30"/>
          <w:lang w:val="en-US" w:eastAsia="zh-CN"/>
        </w:rPr>
        <w:t>，必须清除外运，同时</w:t>
      </w:r>
      <w:r>
        <w:rPr>
          <w:rFonts w:ascii="宋体" w:hAnsi="宋体" w:eastAsia="宋体" w:cs="宋体"/>
          <w:sz w:val="30"/>
          <w:szCs w:val="30"/>
          <w:lang w:val="en-US" w:eastAsia="zh-CN"/>
        </w:rPr>
        <w:t>应加大加深种植穴尺寸，采用客土</w:t>
      </w:r>
      <w:r>
        <w:rPr>
          <w:rFonts w:hint="eastAsia" w:ascii="宋体" w:hAnsi="宋体" w:eastAsia="宋体" w:cs="宋体"/>
          <w:sz w:val="30"/>
          <w:szCs w:val="30"/>
          <w:lang w:val="en-US" w:eastAsia="zh-CN"/>
        </w:rPr>
        <w:t>（换土）、施肥</w:t>
      </w:r>
      <w:r>
        <w:rPr>
          <w:rFonts w:ascii="宋体" w:hAnsi="宋体" w:eastAsia="宋体" w:cs="宋体"/>
          <w:sz w:val="30"/>
          <w:szCs w:val="30"/>
          <w:lang w:val="en-US" w:eastAsia="zh-CN"/>
        </w:rPr>
        <w:t>等措施改良土壤</w:t>
      </w:r>
      <w:r>
        <w:rPr>
          <w:rFonts w:hint="eastAsia" w:ascii="宋体" w:hAnsi="宋体" w:eastAsia="宋体" w:cs="宋体"/>
          <w:sz w:val="30"/>
          <w:szCs w:val="30"/>
          <w:lang w:val="en-US" w:eastAsia="zh-CN"/>
        </w:rPr>
        <w:t>，保证土壤密实度合理、酸碱性适宜</w:t>
      </w:r>
      <w:r>
        <w:rPr>
          <w:rFonts w:ascii="宋体" w:hAnsi="宋体" w:eastAsia="宋体" w:cs="宋体"/>
          <w:sz w:val="30"/>
          <w:szCs w:val="30"/>
          <w:lang w:val="en-US" w:eastAsia="zh-CN"/>
        </w:rPr>
        <w:t>。</w:t>
      </w:r>
    </w:p>
    <w:p>
      <w:pPr>
        <w:pStyle w:val="3"/>
        <w:topLinePunct/>
        <w:adjustRightInd w:val="0"/>
        <w:snapToGrid w:val="0"/>
        <w:spacing w:before="0" w:after="0" w:line="380" w:lineRule="exact"/>
        <w:ind w:firstLine="600"/>
        <w:jc w:val="both"/>
        <w:rPr>
          <w:rFonts w:ascii="Times New Roman" w:hAnsi="Times New Roman" w:cs="Times New Roman"/>
          <w:sz w:val="30"/>
          <w:szCs w:val="30"/>
          <w:lang w:eastAsia="zh-CN"/>
        </w:rPr>
      </w:pPr>
      <w:r>
        <w:rPr>
          <w:rFonts w:ascii="Times New Roman" w:hAnsi="Times New Roman" w:cs="Times New Roman"/>
          <w:sz w:val="30"/>
          <w:szCs w:val="30"/>
          <w:lang w:eastAsia="zh-CN"/>
        </w:rPr>
        <w:t>植物栽植土层厚度</w:t>
      </w:r>
      <w:r>
        <w:rPr>
          <w:rFonts w:hint="eastAsia" w:ascii="Times New Roman" w:hAnsi="Times New Roman" w:eastAsia="宋体" w:cs="Times New Roman"/>
          <w:sz w:val="30"/>
          <w:szCs w:val="30"/>
          <w:lang w:val="en-US" w:eastAsia="zh-CN"/>
        </w:rPr>
        <w:t>分别如下表：</w:t>
      </w:r>
    </w:p>
    <w:tbl>
      <w:tblPr>
        <w:tblStyle w:val="32"/>
        <w:tblW w:w="4389" w:type="pct"/>
        <w:tblInd w:w="551" w:type="dxa"/>
        <w:tblLayout w:type="autofit"/>
        <w:tblCellMar>
          <w:top w:w="0" w:type="dxa"/>
          <w:left w:w="108" w:type="dxa"/>
          <w:bottom w:w="0" w:type="dxa"/>
          <w:right w:w="108" w:type="dxa"/>
        </w:tblCellMar>
      </w:tblPr>
      <w:tblGrid>
        <w:gridCol w:w="1834"/>
        <w:gridCol w:w="2845"/>
        <w:gridCol w:w="3305"/>
      </w:tblGrid>
      <w:tr>
        <w:tblPrEx>
          <w:tblCellMar>
            <w:top w:w="0" w:type="dxa"/>
            <w:left w:w="108" w:type="dxa"/>
            <w:bottom w:w="0" w:type="dxa"/>
            <w:right w:w="108" w:type="dxa"/>
          </w:tblCellMar>
        </w:tblPrEx>
        <w:trPr>
          <w:trHeight w:val="770" w:hRule="atLeast"/>
        </w:trPr>
        <w:tc>
          <w:tcPr>
            <w:tcW w:w="1148"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植物类型</w:t>
            </w:r>
          </w:p>
        </w:tc>
        <w:tc>
          <w:tcPr>
            <w:tcW w:w="1781" w:type="pct"/>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sz w:val="30"/>
                <w:szCs w:val="30"/>
              </w:rPr>
            </w:pPr>
            <w:r>
              <w:rPr>
                <w:rFonts w:ascii="Times New Roman" w:hAnsi="Times New Roman" w:cs="Times New Roman"/>
                <w:sz w:val="30"/>
                <w:szCs w:val="30"/>
              </w:rPr>
              <w:t>栽植土厚度（ cm ）</w:t>
            </w:r>
          </w:p>
        </w:tc>
        <w:tc>
          <w:tcPr>
            <w:tcW w:w="2069"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lang w:eastAsia="zh-CN"/>
              </w:rPr>
            </w:pPr>
            <w:r>
              <w:rPr>
                <w:rFonts w:ascii="Times New Roman" w:hAnsi="Times New Roman" w:cs="Times New Roman"/>
                <w:sz w:val="30"/>
                <w:szCs w:val="30"/>
                <w:lang w:eastAsia="zh-CN"/>
              </w:rPr>
              <w:t>设排水层厚度（ cm ）</w:t>
            </w:r>
          </w:p>
        </w:tc>
      </w:tr>
      <w:tr>
        <w:tblPrEx>
          <w:tblCellMar>
            <w:top w:w="0" w:type="dxa"/>
            <w:left w:w="108" w:type="dxa"/>
            <w:bottom w:w="0" w:type="dxa"/>
            <w:right w:w="108" w:type="dxa"/>
          </w:tblCellMar>
        </w:tblPrEx>
        <w:trPr>
          <w:trHeight w:val="492" w:hRule="atLeast"/>
        </w:trPr>
        <w:tc>
          <w:tcPr>
            <w:tcW w:w="1148"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草坪</w:t>
            </w:r>
          </w:p>
        </w:tc>
        <w:tc>
          <w:tcPr>
            <w:tcW w:w="178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 30</w:t>
            </w:r>
          </w:p>
        </w:tc>
        <w:tc>
          <w:tcPr>
            <w:tcW w:w="2069"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20</w:t>
            </w:r>
          </w:p>
        </w:tc>
      </w:tr>
      <w:tr>
        <w:tblPrEx>
          <w:tblCellMar>
            <w:top w:w="0" w:type="dxa"/>
            <w:left w:w="108" w:type="dxa"/>
            <w:bottom w:w="0" w:type="dxa"/>
            <w:right w:w="108" w:type="dxa"/>
          </w:tblCellMar>
        </w:tblPrEx>
        <w:trPr>
          <w:trHeight w:val="492" w:hRule="atLeast"/>
        </w:trPr>
        <w:tc>
          <w:tcPr>
            <w:tcW w:w="1148"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小灌木</w:t>
            </w:r>
          </w:p>
        </w:tc>
        <w:tc>
          <w:tcPr>
            <w:tcW w:w="178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 40</w:t>
            </w:r>
          </w:p>
        </w:tc>
        <w:tc>
          <w:tcPr>
            <w:tcW w:w="2069"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30</w:t>
            </w:r>
          </w:p>
        </w:tc>
      </w:tr>
      <w:tr>
        <w:tblPrEx>
          <w:tblCellMar>
            <w:top w:w="0" w:type="dxa"/>
            <w:left w:w="108" w:type="dxa"/>
            <w:bottom w:w="0" w:type="dxa"/>
            <w:right w:w="108" w:type="dxa"/>
          </w:tblCellMar>
        </w:tblPrEx>
        <w:trPr>
          <w:trHeight w:val="492" w:hRule="atLeast"/>
        </w:trPr>
        <w:tc>
          <w:tcPr>
            <w:tcW w:w="1148"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大灌木</w:t>
            </w:r>
          </w:p>
        </w:tc>
        <w:tc>
          <w:tcPr>
            <w:tcW w:w="178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 60</w:t>
            </w:r>
          </w:p>
        </w:tc>
        <w:tc>
          <w:tcPr>
            <w:tcW w:w="2069"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40</w:t>
            </w:r>
          </w:p>
        </w:tc>
      </w:tr>
      <w:tr>
        <w:tblPrEx>
          <w:tblCellMar>
            <w:top w:w="0" w:type="dxa"/>
            <w:left w:w="108" w:type="dxa"/>
            <w:bottom w:w="0" w:type="dxa"/>
            <w:right w:w="108" w:type="dxa"/>
          </w:tblCellMar>
        </w:tblPrEx>
        <w:trPr>
          <w:trHeight w:val="492" w:hRule="atLeast"/>
        </w:trPr>
        <w:tc>
          <w:tcPr>
            <w:tcW w:w="1148"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浅根乔木</w:t>
            </w:r>
          </w:p>
        </w:tc>
        <w:tc>
          <w:tcPr>
            <w:tcW w:w="178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 90</w:t>
            </w:r>
          </w:p>
        </w:tc>
        <w:tc>
          <w:tcPr>
            <w:tcW w:w="2069"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40</w:t>
            </w:r>
          </w:p>
        </w:tc>
      </w:tr>
      <w:tr>
        <w:tblPrEx>
          <w:tblCellMar>
            <w:top w:w="0" w:type="dxa"/>
            <w:left w:w="108" w:type="dxa"/>
            <w:bottom w:w="0" w:type="dxa"/>
            <w:right w:w="108" w:type="dxa"/>
          </w:tblCellMar>
        </w:tblPrEx>
        <w:trPr>
          <w:trHeight w:val="501" w:hRule="atLeast"/>
        </w:trPr>
        <w:tc>
          <w:tcPr>
            <w:tcW w:w="1148"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深根乔木</w:t>
            </w:r>
          </w:p>
        </w:tc>
        <w:tc>
          <w:tcPr>
            <w:tcW w:w="178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 150</w:t>
            </w:r>
          </w:p>
        </w:tc>
        <w:tc>
          <w:tcPr>
            <w:tcW w:w="2069"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40</w:t>
            </w:r>
          </w:p>
        </w:tc>
      </w:tr>
    </w:tbl>
    <w:p>
      <w:pPr>
        <w:pStyle w:val="3"/>
        <w:spacing w:before="0" w:after="0" w:line="520" w:lineRule="exact"/>
        <w:ind w:firstLine="300" w:firstLineChars="100"/>
        <w:jc w:val="both"/>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w:t>
      </w:r>
    </w:p>
    <w:p>
      <w:pPr>
        <w:pStyle w:val="3"/>
        <w:spacing w:before="0" w:after="0" w:line="520" w:lineRule="exact"/>
        <w:ind w:firstLine="600" w:firstLineChars="2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4.2苗木质量。所有绿化苗木全部采用树形优良、无病虫害苗木，确保选用苗木符合设计规格要求，按照绿化树种要求保留土球规格，尽量减少使用外运和长途运输苗木，</w:t>
      </w:r>
      <w:r>
        <w:rPr>
          <w:rFonts w:ascii="宋体" w:hAnsi="宋体" w:eastAsia="宋体" w:cs="宋体"/>
          <w:sz w:val="30"/>
          <w:szCs w:val="30"/>
          <w:lang w:val="en-US" w:eastAsia="zh-CN"/>
        </w:rPr>
        <w:t>严禁栽植截干苗，严禁移栽天然大树。购苗合同要明确苗木种名、数量、质量和来源，苗木调运要附苗木生产经营许可证、植物检疫证和种苗标签，建立种苗档案，实现苗木质量可追溯制度。</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4.3</w:t>
      </w:r>
      <w:r>
        <w:rPr>
          <w:rFonts w:ascii="宋体" w:hAnsi="宋体" w:eastAsia="宋体" w:cs="宋体"/>
          <w:sz w:val="30"/>
          <w:szCs w:val="30"/>
          <w:lang w:val="en-US" w:eastAsia="zh-CN"/>
        </w:rPr>
        <w:t>栽植</w:t>
      </w:r>
      <w:r>
        <w:rPr>
          <w:rFonts w:hint="eastAsia" w:ascii="宋体" w:hAnsi="宋体" w:eastAsia="宋体" w:cs="宋体"/>
          <w:sz w:val="30"/>
          <w:szCs w:val="30"/>
          <w:lang w:val="en-US" w:eastAsia="zh-CN"/>
        </w:rPr>
        <w:t>要求</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4.3.1</w:t>
      </w:r>
      <w:r>
        <w:rPr>
          <w:rFonts w:ascii="宋体" w:hAnsi="宋体" w:eastAsia="宋体" w:cs="宋体"/>
          <w:sz w:val="30"/>
          <w:szCs w:val="30"/>
          <w:lang w:val="en-US" w:eastAsia="zh-CN"/>
        </w:rPr>
        <w:t>根据设计图纸定</w:t>
      </w:r>
      <w:r>
        <w:rPr>
          <w:rFonts w:hint="eastAsia" w:ascii="宋体" w:hAnsi="宋体" w:eastAsia="宋体" w:cs="宋体"/>
          <w:sz w:val="30"/>
          <w:szCs w:val="30"/>
          <w:lang w:val="en-US" w:eastAsia="zh-CN"/>
        </w:rPr>
        <w:t>点</w:t>
      </w:r>
      <w:r>
        <w:rPr>
          <w:rFonts w:ascii="宋体" w:hAnsi="宋体" w:eastAsia="宋体" w:cs="宋体"/>
          <w:sz w:val="30"/>
          <w:szCs w:val="30"/>
          <w:lang w:val="en-US" w:eastAsia="zh-CN"/>
        </w:rPr>
        <w:t>挖穴。灌木类定植穴一般为50cm*50cm*50cm</w:t>
      </w:r>
      <w:r>
        <w:rPr>
          <w:rFonts w:hint="eastAsia" w:ascii="宋体" w:hAnsi="宋体" w:eastAsia="宋体" w:cs="宋体"/>
          <w:sz w:val="30"/>
          <w:szCs w:val="30"/>
          <w:lang w:val="en-US" w:eastAsia="zh-CN"/>
        </w:rPr>
        <w:t>，</w:t>
      </w:r>
      <w:r>
        <w:rPr>
          <w:rFonts w:ascii="宋体" w:hAnsi="宋体" w:eastAsia="宋体" w:cs="宋体"/>
          <w:sz w:val="30"/>
          <w:szCs w:val="30"/>
          <w:lang w:val="en-US" w:eastAsia="zh-CN"/>
        </w:rPr>
        <w:t>乔木类定植穴为80cm*80cm*80cm以上。如遇土壤含有建筑废土及其他有害成分，以及强酸性土、强碱性土、重粘土、沙土等应采用客土等措施改良土壤</w:t>
      </w:r>
      <w:r>
        <w:rPr>
          <w:rFonts w:hint="eastAsia" w:ascii="宋体" w:hAnsi="宋体" w:eastAsia="宋体" w:cs="宋体"/>
          <w:sz w:val="30"/>
          <w:szCs w:val="30"/>
          <w:lang w:val="en-US" w:eastAsia="zh-CN"/>
        </w:rPr>
        <w:t>，适当加大定植穴</w:t>
      </w:r>
      <w:r>
        <w:rPr>
          <w:rFonts w:ascii="宋体" w:hAnsi="宋体" w:eastAsia="宋体" w:cs="宋体"/>
          <w:sz w:val="30"/>
          <w:szCs w:val="30"/>
          <w:lang w:val="en-US" w:eastAsia="zh-CN"/>
        </w:rPr>
        <w:t>。</w:t>
      </w:r>
      <w:r>
        <w:rPr>
          <w:rFonts w:hint="eastAsia" w:ascii="宋体" w:hAnsi="宋体" w:eastAsia="宋体" w:cs="宋体"/>
          <w:sz w:val="30"/>
          <w:szCs w:val="30"/>
          <w:lang w:val="en-US" w:eastAsia="zh-CN"/>
        </w:rPr>
        <w:t>若</w:t>
      </w:r>
      <w:r>
        <w:rPr>
          <w:rFonts w:ascii="宋体" w:hAnsi="宋体" w:eastAsia="宋体" w:cs="宋体"/>
          <w:sz w:val="30"/>
          <w:szCs w:val="30"/>
          <w:lang w:val="en-US" w:eastAsia="zh-CN"/>
        </w:rPr>
        <w:t>涉及地下管线等要及时调整。</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4.3.2</w:t>
      </w:r>
      <w:r>
        <w:rPr>
          <w:rFonts w:ascii="宋体" w:hAnsi="宋体" w:eastAsia="宋体" w:cs="宋体"/>
          <w:sz w:val="30"/>
          <w:szCs w:val="30"/>
          <w:lang w:val="en-US" w:eastAsia="zh-CN"/>
        </w:rPr>
        <w:t>乔木修剪应在栽植前进行剪除根部裂根、病虫根、过长根。树冠修剪，应根据不同种类，不同季节适量修剪，一般为疏枝、短截、摘叶，总体上应保持树冠形状。栽植乔木应放置底肥</w:t>
      </w:r>
      <w:r>
        <w:rPr>
          <w:rFonts w:hint="eastAsia" w:ascii="宋体" w:hAnsi="宋体" w:eastAsia="宋体" w:cs="宋体"/>
          <w:sz w:val="30"/>
          <w:szCs w:val="30"/>
          <w:lang w:val="en-US" w:eastAsia="zh-CN"/>
        </w:rPr>
        <w:t>有机肥</w:t>
      </w:r>
      <w:r>
        <w:rPr>
          <w:rFonts w:ascii="宋体" w:hAnsi="宋体" w:eastAsia="宋体" w:cs="宋体"/>
          <w:sz w:val="30"/>
          <w:szCs w:val="30"/>
          <w:lang w:val="en-US" w:eastAsia="zh-CN"/>
        </w:rPr>
        <w:t>和生根粉，对灌木的修剪主要是短截修剪为主。</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4.3.3栽植株行距根据立地条件、树种特性合理确定，一般情况下：乔木类树种株距为3m-6m，若两行及以上栽植时行距宜2m以上；冠幅小于80cm的灌木株距宜为1.5m-2.5m，冠幅大于或等于80cm的灌木株距宜为2.5m-4.0m。</w:t>
      </w:r>
    </w:p>
    <w:p>
      <w:pPr>
        <w:pStyle w:val="3"/>
        <w:spacing w:before="0" w:after="0" w:line="520" w:lineRule="exact"/>
        <w:ind w:firstLine="600" w:firstLineChars="2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4.3.4苗木栽植一般以冬、春季为好。植物栽植顺序为：乔木、灌木、地被植物。</w:t>
      </w:r>
      <w:r>
        <w:rPr>
          <w:rFonts w:ascii="宋体" w:hAnsi="宋体" w:eastAsia="宋体" w:cs="宋体"/>
          <w:sz w:val="30"/>
          <w:szCs w:val="30"/>
          <w:lang w:val="en-US" w:eastAsia="zh-CN"/>
        </w:rPr>
        <w:t>栽植深度比苗木根颈深2-10cm。栽植时先填表土，后填心土，分层覆土，层层踏实，穴面覆层虚土。</w:t>
      </w:r>
    </w:p>
    <w:p>
      <w:pPr>
        <w:pStyle w:val="3"/>
        <w:spacing w:before="0" w:after="0" w:line="520" w:lineRule="exact"/>
        <w:ind w:firstLine="600" w:firstLineChars="2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4.3.5行道树种植穴应达到1m×1m×1m以上，四周不宜设置立缘石，种植土表面高度宜比人行道低5-10cm，以利地面水直接流入树穴。树穴内可采用栽植地被植物、铺填透水透气材料或用硬质材料透气格栅遮盖，不得黄土露天。树干中心至路缘外侧最小距离0.75m。</w:t>
      </w:r>
    </w:p>
    <w:p>
      <w:pPr>
        <w:pStyle w:val="3"/>
        <w:spacing w:before="0" w:after="0" w:line="520" w:lineRule="exact"/>
        <w:jc w:val="both"/>
        <w:rPr>
          <w:rFonts w:ascii="黑体" w:hAnsi="黑体" w:eastAsia="黑体" w:cs="黑体"/>
          <w:sz w:val="30"/>
          <w:szCs w:val="30"/>
          <w:lang w:val="en-US" w:eastAsia="zh-CN"/>
        </w:rPr>
      </w:pPr>
      <w:r>
        <w:rPr>
          <w:rFonts w:hint="eastAsia" w:ascii="黑体" w:hAnsi="黑体" w:eastAsia="黑体" w:cs="黑体"/>
          <w:sz w:val="30"/>
          <w:szCs w:val="30"/>
          <w:lang w:val="en-US" w:eastAsia="zh-CN"/>
        </w:rPr>
        <w:t>5  养护要求</w:t>
      </w:r>
    </w:p>
    <w:p>
      <w:pPr>
        <w:pStyle w:val="3"/>
        <w:spacing w:before="0" w:after="0" w:line="520" w:lineRule="exact"/>
        <w:ind w:firstLine="600" w:firstLineChars="2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5.1</w:t>
      </w:r>
      <w:r>
        <w:rPr>
          <w:rFonts w:ascii="宋体" w:hAnsi="宋体" w:eastAsia="宋体" w:cs="宋体"/>
          <w:sz w:val="30"/>
          <w:szCs w:val="30"/>
          <w:lang w:val="en-US" w:eastAsia="zh-CN"/>
        </w:rPr>
        <w:t>苗木养护应</w:t>
      </w:r>
      <w:r>
        <w:rPr>
          <w:rFonts w:hint="eastAsia" w:ascii="宋体" w:hAnsi="宋体" w:eastAsia="宋体" w:cs="宋体"/>
          <w:sz w:val="30"/>
          <w:szCs w:val="30"/>
          <w:lang w:val="en-US" w:eastAsia="zh-CN"/>
        </w:rPr>
        <w:t>及时</w:t>
      </w:r>
      <w:r>
        <w:rPr>
          <w:rFonts w:ascii="宋体" w:hAnsi="宋体" w:eastAsia="宋体" w:cs="宋体"/>
          <w:sz w:val="30"/>
          <w:szCs w:val="30"/>
          <w:lang w:val="en-US" w:eastAsia="zh-CN"/>
        </w:rPr>
        <w:t>浇足定根水，</w:t>
      </w:r>
      <w:r>
        <w:rPr>
          <w:rFonts w:hint="eastAsia" w:ascii="宋体" w:hAnsi="宋体" w:eastAsia="宋体" w:cs="宋体"/>
          <w:sz w:val="30"/>
          <w:szCs w:val="30"/>
          <w:lang w:val="en-US" w:eastAsia="zh-CN"/>
        </w:rPr>
        <w:t>踩实</w:t>
      </w:r>
      <w:r>
        <w:rPr>
          <w:rFonts w:ascii="宋体" w:hAnsi="宋体" w:eastAsia="宋体" w:cs="宋体"/>
          <w:sz w:val="30"/>
          <w:szCs w:val="30"/>
          <w:lang w:val="en-US" w:eastAsia="zh-CN"/>
        </w:rPr>
        <w:t>扶正</w:t>
      </w:r>
      <w:r>
        <w:rPr>
          <w:rFonts w:hint="eastAsia" w:ascii="宋体" w:hAnsi="宋体" w:eastAsia="宋体" w:cs="宋体"/>
          <w:sz w:val="30"/>
          <w:szCs w:val="30"/>
          <w:lang w:val="en-US" w:eastAsia="zh-CN"/>
        </w:rPr>
        <w:t>、培土</w:t>
      </w:r>
      <w:r>
        <w:rPr>
          <w:rFonts w:ascii="宋体" w:hAnsi="宋体" w:eastAsia="宋体" w:cs="宋体"/>
          <w:sz w:val="30"/>
          <w:szCs w:val="30"/>
          <w:lang w:val="en-US" w:eastAsia="zh-CN"/>
        </w:rPr>
        <w:t>。</w:t>
      </w:r>
    </w:p>
    <w:p>
      <w:pPr>
        <w:pStyle w:val="3"/>
        <w:spacing w:before="0" w:after="0" w:line="520" w:lineRule="exact"/>
        <w:ind w:firstLine="600" w:firstLineChars="2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5.2做好防护，</w:t>
      </w:r>
      <w:r>
        <w:rPr>
          <w:rFonts w:ascii="宋体" w:hAnsi="宋体" w:eastAsia="宋体" w:cs="宋体"/>
          <w:sz w:val="30"/>
          <w:szCs w:val="30"/>
          <w:lang w:val="en-US" w:eastAsia="zh-CN"/>
        </w:rPr>
        <w:t>给树木</w:t>
      </w:r>
      <w:r>
        <w:rPr>
          <w:rFonts w:hint="eastAsia" w:ascii="宋体" w:hAnsi="宋体" w:eastAsia="宋体" w:cs="宋体"/>
          <w:sz w:val="30"/>
          <w:szCs w:val="30"/>
          <w:lang w:val="en-US" w:eastAsia="zh-CN"/>
        </w:rPr>
        <w:t>搭</w:t>
      </w:r>
      <w:r>
        <w:rPr>
          <w:rFonts w:ascii="宋体" w:hAnsi="宋体" w:eastAsia="宋体" w:cs="宋体"/>
          <w:sz w:val="30"/>
          <w:szCs w:val="30"/>
          <w:lang w:val="en-US" w:eastAsia="zh-CN"/>
        </w:rPr>
        <w:t>支撑，应根据所栽苗木的规格大小选择不同规格大小的支撑，以三根三角或四根四角布置为宜，高度在1-1.8m 之间。</w:t>
      </w:r>
      <w:r>
        <w:rPr>
          <w:rFonts w:hint="eastAsia" w:ascii="宋体" w:hAnsi="宋体" w:eastAsia="宋体" w:cs="宋体"/>
          <w:sz w:val="30"/>
          <w:szCs w:val="30"/>
          <w:lang w:val="en-US" w:eastAsia="zh-CN"/>
        </w:rPr>
        <w:t>部分</w:t>
      </w:r>
      <w:r>
        <w:rPr>
          <w:rFonts w:ascii="宋体" w:hAnsi="宋体" w:eastAsia="宋体" w:cs="宋体"/>
          <w:sz w:val="30"/>
          <w:szCs w:val="30"/>
          <w:lang w:val="en-US" w:eastAsia="zh-CN"/>
        </w:rPr>
        <w:t>乔木树干</w:t>
      </w:r>
      <w:r>
        <w:rPr>
          <w:rFonts w:hint="eastAsia" w:ascii="宋体" w:hAnsi="宋体" w:eastAsia="宋体" w:cs="宋体"/>
          <w:sz w:val="30"/>
          <w:szCs w:val="30"/>
          <w:lang w:val="en-US" w:eastAsia="zh-CN"/>
        </w:rPr>
        <w:t>可</w:t>
      </w:r>
      <w:r>
        <w:rPr>
          <w:rFonts w:ascii="宋体" w:hAnsi="宋体" w:eastAsia="宋体" w:cs="宋体"/>
          <w:sz w:val="30"/>
          <w:szCs w:val="30"/>
          <w:lang w:val="en-US" w:eastAsia="zh-CN"/>
        </w:rPr>
        <w:t>捆绕草绳或植物绷带1-1.5m高，以防树干日晒降低成活率。对反季节栽植的植物，在夏、初秋季节应搭荫棚予以防护。</w:t>
      </w:r>
    </w:p>
    <w:p>
      <w:pPr>
        <w:pStyle w:val="3"/>
        <w:spacing w:before="0" w:after="0" w:line="520" w:lineRule="exact"/>
        <w:ind w:firstLine="618"/>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5.3</w:t>
      </w:r>
      <w:r>
        <w:rPr>
          <w:rFonts w:ascii="宋体" w:hAnsi="宋体" w:eastAsia="宋体" w:cs="宋体"/>
          <w:sz w:val="30"/>
          <w:szCs w:val="30"/>
          <w:lang w:val="en-US" w:eastAsia="zh-CN"/>
        </w:rPr>
        <w:t>建立健全管护机制，落实管护措施，加强养护管理，对造林成活率达不到标准的路段要及时进行补植补造。</w:t>
      </w:r>
    </w:p>
    <w:p>
      <w:pPr>
        <w:pStyle w:val="3"/>
        <w:spacing w:before="0" w:after="0" w:line="520" w:lineRule="exact"/>
        <w:ind w:firstLine="600" w:firstLineChars="200"/>
        <w:jc w:val="both"/>
        <w:rPr>
          <w:rFonts w:ascii="Times New Roman" w:hAnsi="Times New Roman" w:eastAsia="仿宋_GB2312" w:cs="Times New Roman"/>
          <w:sz w:val="30"/>
          <w:szCs w:val="30"/>
          <w:lang w:val="en-US" w:eastAsia="zh-CN"/>
        </w:rPr>
      </w:pPr>
      <w:r>
        <w:rPr>
          <w:rFonts w:hint="eastAsia" w:ascii="宋体" w:hAnsi="宋体" w:eastAsia="宋体" w:cs="宋体"/>
          <w:sz w:val="30"/>
          <w:szCs w:val="30"/>
          <w:lang w:val="en-US" w:eastAsia="zh-CN"/>
        </w:rPr>
        <w:t>5.4做好绿化</w:t>
      </w:r>
      <w:r>
        <w:rPr>
          <w:rFonts w:ascii="宋体" w:hAnsi="宋体" w:eastAsia="宋体" w:cs="宋体"/>
          <w:sz w:val="30"/>
          <w:szCs w:val="30"/>
          <w:lang w:val="en-US" w:eastAsia="zh-CN"/>
        </w:rPr>
        <w:t>养护工作</w:t>
      </w:r>
      <w:r>
        <w:rPr>
          <w:rFonts w:hint="eastAsia" w:ascii="宋体" w:hAnsi="宋体" w:eastAsia="宋体" w:cs="宋体"/>
          <w:sz w:val="30"/>
          <w:szCs w:val="30"/>
          <w:lang w:val="en-US" w:eastAsia="zh-CN"/>
        </w:rPr>
        <w:t>，所有绿化树木要适时进行</w:t>
      </w:r>
      <w:r>
        <w:rPr>
          <w:rFonts w:ascii="宋体" w:hAnsi="宋体" w:eastAsia="宋体" w:cs="宋体"/>
          <w:sz w:val="30"/>
          <w:szCs w:val="30"/>
          <w:lang w:val="en-US" w:eastAsia="zh-CN"/>
        </w:rPr>
        <w:t>修剪整形</w:t>
      </w:r>
      <w:r>
        <w:rPr>
          <w:rFonts w:hint="eastAsia" w:ascii="宋体" w:hAnsi="宋体" w:eastAsia="宋体" w:cs="宋体"/>
          <w:sz w:val="30"/>
          <w:szCs w:val="30"/>
          <w:lang w:val="en-US" w:eastAsia="zh-CN"/>
        </w:rPr>
        <w:t>，浇水施肥，</w:t>
      </w:r>
      <w:r>
        <w:rPr>
          <w:rFonts w:ascii="宋体" w:hAnsi="宋体" w:eastAsia="宋体" w:cs="宋体"/>
          <w:sz w:val="30"/>
          <w:szCs w:val="30"/>
          <w:lang w:val="en-US" w:eastAsia="zh-CN"/>
        </w:rPr>
        <w:t>防治</w:t>
      </w:r>
      <w:r>
        <w:rPr>
          <w:rFonts w:hint="eastAsia" w:ascii="宋体" w:hAnsi="宋体" w:eastAsia="宋体" w:cs="宋体"/>
          <w:sz w:val="30"/>
          <w:szCs w:val="30"/>
          <w:lang w:val="en-US" w:eastAsia="zh-CN"/>
        </w:rPr>
        <w:t>病</w:t>
      </w:r>
      <w:r>
        <w:rPr>
          <w:rFonts w:ascii="宋体" w:hAnsi="宋体" w:eastAsia="宋体" w:cs="宋体"/>
          <w:sz w:val="30"/>
          <w:szCs w:val="30"/>
          <w:lang w:val="en-US" w:eastAsia="zh-CN"/>
        </w:rPr>
        <w:t>虫</w:t>
      </w:r>
      <w:r>
        <w:rPr>
          <w:rFonts w:hint="eastAsia" w:ascii="宋体" w:hAnsi="宋体" w:eastAsia="宋体" w:cs="宋体"/>
          <w:sz w:val="30"/>
          <w:szCs w:val="30"/>
          <w:lang w:val="en-US" w:eastAsia="zh-CN"/>
        </w:rPr>
        <w:t>等，确保景观绿化效果</w:t>
      </w:r>
      <w:r>
        <w:rPr>
          <w:rFonts w:ascii="宋体" w:hAnsi="宋体" w:eastAsia="宋体" w:cs="宋体"/>
          <w:sz w:val="30"/>
          <w:szCs w:val="30"/>
          <w:lang w:val="en-US" w:eastAsia="zh-CN"/>
        </w:rPr>
        <w:t>。</w:t>
      </w:r>
    </w:p>
    <w:p>
      <w:pPr>
        <w:pStyle w:val="3"/>
        <w:spacing w:before="0" w:after="0" w:line="520" w:lineRule="exact"/>
        <w:jc w:val="both"/>
        <w:rPr>
          <w:rFonts w:ascii="黑体" w:hAnsi="黑体" w:eastAsia="黑体" w:cs="黑体"/>
          <w:sz w:val="30"/>
          <w:szCs w:val="30"/>
          <w:lang w:val="en-US" w:eastAsia="zh-CN"/>
        </w:rPr>
      </w:pPr>
      <w:r>
        <w:rPr>
          <w:rFonts w:hint="eastAsia" w:ascii="黑体" w:hAnsi="黑体" w:eastAsia="黑体" w:cs="黑体"/>
          <w:sz w:val="30"/>
          <w:szCs w:val="30"/>
          <w:lang w:val="en-US" w:eastAsia="zh-CN"/>
        </w:rPr>
        <w:t xml:space="preserve">6  附则  </w:t>
      </w:r>
    </w:p>
    <w:p>
      <w:pPr>
        <w:pStyle w:val="3"/>
        <w:spacing w:before="0" w:after="0" w:line="520" w:lineRule="exact"/>
        <w:ind w:firstLine="600" w:firstLineChars="200"/>
        <w:jc w:val="both"/>
        <w:rPr>
          <w:rFonts w:ascii="黑体" w:hAnsi="黑体" w:eastAsia="黑体" w:cs="黑体"/>
          <w:sz w:val="30"/>
          <w:szCs w:val="30"/>
          <w:lang w:val="en-US" w:eastAsia="zh-CN"/>
        </w:rPr>
      </w:pPr>
      <w:r>
        <w:rPr>
          <w:rFonts w:hint="eastAsia" w:ascii="黑体" w:hAnsi="黑体" w:eastAsia="黑体" w:cs="黑体"/>
          <w:sz w:val="30"/>
          <w:szCs w:val="30"/>
          <w:lang w:val="en-US" w:eastAsia="zh-CN"/>
        </w:rPr>
        <w:t>主要术语和释义</w:t>
      </w:r>
    </w:p>
    <w:p>
      <w:pPr>
        <w:pStyle w:val="3"/>
        <w:spacing w:before="0" w:after="0" w:line="520" w:lineRule="exact"/>
        <w:jc w:val="both"/>
        <w:rPr>
          <w:sz w:val="30"/>
          <w:szCs w:val="30"/>
          <w:lang w:eastAsia="zh-CN"/>
        </w:rPr>
      </w:pPr>
      <w:r>
        <w:rPr>
          <w:rFonts w:hint="eastAsia" w:eastAsia="宋体"/>
          <w:sz w:val="30"/>
          <w:szCs w:val="30"/>
          <w:lang w:val="en-US" w:eastAsia="zh-CN"/>
        </w:rPr>
        <w:t>　　6</w:t>
      </w:r>
      <w:r>
        <w:rPr>
          <w:sz w:val="30"/>
          <w:szCs w:val="30"/>
          <w:lang w:eastAsia="zh-CN"/>
        </w:rPr>
        <w:t>.</w:t>
      </w:r>
      <w:r>
        <w:rPr>
          <w:rFonts w:hint="eastAsia" w:eastAsia="宋体"/>
          <w:sz w:val="30"/>
          <w:szCs w:val="30"/>
          <w:lang w:val="en-US" w:eastAsia="zh-CN"/>
        </w:rPr>
        <w:t>1</w:t>
      </w:r>
      <w:r>
        <w:rPr>
          <w:sz w:val="30"/>
          <w:szCs w:val="30"/>
          <w:lang w:eastAsia="zh-CN"/>
        </w:rPr>
        <w:t>道路红线</w:t>
      </w:r>
      <w:r>
        <w:rPr>
          <w:rFonts w:hint="eastAsia" w:eastAsia="宋体"/>
          <w:sz w:val="30"/>
          <w:szCs w:val="30"/>
          <w:lang w:eastAsia="zh-CN"/>
        </w:rPr>
        <w:t>。</w:t>
      </w:r>
      <w:r>
        <w:rPr>
          <w:sz w:val="30"/>
          <w:szCs w:val="30"/>
          <w:lang w:eastAsia="zh-CN"/>
        </w:rPr>
        <w:t>道路用地的规划控制线。</w:t>
      </w:r>
    </w:p>
    <w:p>
      <w:pPr>
        <w:pStyle w:val="3"/>
        <w:spacing w:before="0" w:after="0" w:line="520" w:lineRule="exact"/>
        <w:jc w:val="both"/>
        <w:rPr>
          <w:sz w:val="30"/>
          <w:szCs w:val="30"/>
          <w:lang w:eastAsia="zh-CN"/>
        </w:rPr>
      </w:pPr>
      <w:r>
        <w:rPr>
          <w:rFonts w:hint="eastAsia" w:eastAsia="宋体"/>
          <w:sz w:val="30"/>
          <w:szCs w:val="30"/>
          <w:lang w:val="en-US" w:eastAsia="zh-CN"/>
        </w:rPr>
        <w:t>　　6.2</w:t>
      </w:r>
      <w:r>
        <w:rPr>
          <w:sz w:val="30"/>
          <w:szCs w:val="30"/>
          <w:lang w:eastAsia="zh-CN"/>
        </w:rPr>
        <w:t xml:space="preserve"> 道路绿地率</w:t>
      </w:r>
      <w:r>
        <w:rPr>
          <w:rFonts w:hint="eastAsia" w:eastAsia="宋体"/>
          <w:sz w:val="30"/>
          <w:szCs w:val="30"/>
          <w:lang w:eastAsia="zh-CN"/>
        </w:rPr>
        <w:t>。</w:t>
      </w:r>
      <w:r>
        <w:rPr>
          <w:sz w:val="30"/>
          <w:szCs w:val="30"/>
          <w:lang w:eastAsia="zh-CN"/>
        </w:rPr>
        <w:t>道路红线范围内各种绿带宽度之和占总宽度的百分比。</w:t>
      </w:r>
    </w:p>
    <w:p>
      <w:pPr>
        <w:pStyle w:val="3"/>
        <w:spacing w:before="0" w:after="0" w:line="520" w:lineRule="exact"/>
        <w:jc w:val="both"/>
        <w:rPr>
          <w:sz w:val="30"/>
          <w:szCs w:val="30"/>
          <w:lang w:eastAsia="zh-CN"/>
        </w:rPr>
      </w:pPr>
      <w:r>
        <w:rPr>
          <w:rFonts w:hint="eastAsia" w:eastAsia="宋体"/>
          <w:sz w:val="30"/>
          <w:szCs w:val="30"/>
          <w:lang w:val="en-US" w:eastAsia="zh-CN"/>
        </w:rPr>
        <w:t>　    6</w:t>
      </w:r>
      <w:r>
        <w:rPr>
          <w:sz w:val="30"/>
          <w:szCs w:val="30"/>
          <w:lang w:eastAsia="zh-CN"/>
        </w:rPr>
        <w:t>.3道路绿化覆盖率</w:t>
      </w:r>
      <w:r>
        <w:rPr>
          <w:rFonts w:hint="eastAsia" w:eastAsia="宋体"/>
          <w:sz w:val="30"/>
          <w:szCs w:val="30"/>
          <w:lang w:eastAsia="zh-CN"/>
        </w:rPr>
        <w:t>。</w:t>
      </w:r>
      <w:r>
        <w:rPr>
          <w:sz w:val="30"/>
          <w:szCs w:val="30"/>
          <w:lang w:eastAsia="zh-CN"/>
        </w:rPr>
        <w:t>道路红线范围内所有植物的垂直投影面积占道路总面积的百分比。</w:t>
      </w:r>
    </w:p>
    <w:p>
      <w:pPr>
        <w:pStyle w:val="3"/>
        <w:spacing w:before="0" w:after="0" w:line="520" w:lineRule="exact"/>
        <w:jc w:val="both"/>
        <w:rPr>
          <w:sz w:val="30"/>
          <w:szCs w:val="30"/>
          <w:lang w:eastAsia="zh-CN"/>
        </w:rPr>
      </w:pPr>
      <w:r>
        <w:rPr>
          <w:rFonts w:hint="eastAsia" w:eastAsia="宋体"/>
          <w:sz w:val="30"/>
          <w:szCs w:val="30"/>
          <w:lang w:val="en-US" w:eastAsia="zh-CN"/>
        </w:rPr>
        <w:t>　　6.4</w:t>
      </w:r>
      <w:r>
        <w:rPr>
          <w:sz w:val="30"/>
          <w:szCs w:val="30"/>
          <w:lang w:eastAsia="zh-CN"/>
        </w:rPr>
        <w:t>园林景观路</w:t>
      </w:r>
      <w:r>
        <w:rPr>
          <w:rFonts w:hint="eastAsia" w:eastAsia="宋体"/>
          <w:sz w:val="30"/>
          <w:szCs w:val="30"/>
          <w:lang w:eastAsia="zh-CN"/>
        </w:rPr>
        <w:t>。</w:t>
      </w:r>
      <w:r>
        <w:rPr>
          <w:sz w:val="30"/>
          <w:szCs w:val="30"/>
          <w:lang w:eastAsia="zh-CN"/>
        </w:rPr>
        <w:t>在城市重点路段，强调沿线绿化景观，体现城市风貌、绿化特色的道路。</w:t>
      </w:r>
    </w:p>
    <w:p>
      <w:pPr>
        <w:pStyle w:val="3"/>
        <w:spacing w:before="0" w:after="0" w:line="520" w:lineRule="exact"/>
        <w:jc w:val="both"/>
        <w:rPr>
          <w:sz w:val="30"/>
          <w:szCs w:val="30"/>
          <w:lang w:eastAsia="zh-CN"/>
        </w:rPr>
      </w:pPr>
      <w:r>
        <w:rPr>
          <w:rFonts w:hint="eastAsia" w:eastAsia="宋体"/>
          <w:sz w:val="30"/>
          <w:szCs w:val="30"/>
          <w:lang w:val="en-US" w:eastAsia="zh-CN"/>
        </w:rPr>
        <w:t>　　6.5</w:t>
      </w:r>
      <w:r>
        <w:rPr>
          <w:sz w:val="30"/>
          <w:szCs w:val="30"/>
          <w:lang w:eastAsia="zh-CN"/>
        </w:rPr>
        <w:t>林荫路</w:t>
      </w:r>
      <w:r>
        <w:rPr>
          <w:rFonts w:hint="eastAsia" w:eastAsia="宋体"/>
          <w:sz w:val="30"/>
          <w:szCs w:val="30"/>
          <w:lang w:eastAsia="zh-CN"/>
        </w:rPr>
        <w:t>。</w:t>
      </w:r>
      <w:r>
        <w:rPr>
          <w:sz w:val="30"/>
          <w:szCs w:val="30"/>
          <w:lang w:eastAsia="zh-CN"/>
        </w:rPr>
        <w:t>指树荫能覆盖人行道和非机动车道 90% 面积的城镇道路。</w:t>
      </w:r>
    </w:p>
    <w:p>
      <w:pPr>
        <w:pStyle w:val="3"/>
        <w:spacing w:before="0" w:after="0" w:line="520" w:lineRule="exact"/>
        <w:jc w:val="both"/>
        <w:rPr>
          <w:sz w:val="30"/>
          <w:szCs w:val="30"/>
          <w:lang w:eastAsia="zh-CN"/>
        </w:rPr>
      </w:pPr>
      <w:r>
        <w:rPr>
          <w:rFonts w:hint="eastAsia" w:eastAsia="宋体"/>
          <w:sz w:val="30"/>
          <w:szCs w:val="30"/>
          <w:lang w:val="en-US" w:eastAsia="zh-CN"/>
        </w:rPr>
        <w:t>　　6.6</w:t>
      </w:r>
      <w:r>
        <w:rPr>
          <w:sz w:val="30"/>
          <w:szCs w:val="30"/>
          <w:lang w:eastAsia="zh-CN"/>
        </w:rPr>
        <w:t>道路绿地</w:t>
      </w:r>
      <w:r>
        <w:rPr>
          <w:rFonts w:hint="eastAsia" w:eastAsia="宋体"/>
          <w:sz w:val="30"/>
          <w:szCs w:val="30"/>
          <w:lang w:eastAsia="zh-CN"/>
        </w:rPr>
        <w:t>。</w:t>
      </w:r>
      <w:r>
        <w:rPr>
          <w:sz w:val="30"/>
          <w:szCs w:val="30"/>
          <w:lang w:eastAsia="zh-CN"/>
        </w:rPr>
        <w:t>道路用地范围内的可用绿化用地，道路绿地分为道路绿带、交通岛绿地、广场绿地和停车场绿地。</w:t>
      </w:r>
    </w:p>
    <w:p>
      <w:pPr>
        <w:pStyle w:val="3"/>
        <w:spacing w:before="0" w:after="0" w:line="520" w:lineRule="exact"/>
        <w:jc w:val="both"/>
        <w:rPr>
          <w:sz w:val="30"/>
          <w:szCs w:val="30"/>
          <w:lang w:eastAsia="zh-CN"/>
        </w:rPr>
      </w:pPr>
      <w:r>
        <w:rPr>
          <w:rFonts w:hint="eastAsia" w:eastAsia="宋体"/>
          <w:sz w:val="30"/>
          <w:szCs w:val="30"/>
          <w:lang w:val="en-US" w:eastAsia="zh-CN"/>
        </w:rPr>
        <w:t>　　6.7</w:t>
      </w:r>
      <w:r>
        <w:rPr>
          <w:sz w:val="30"/>
          <w:szCs w:val="30"/>
          <w:lang w:eastAsia="zh-CN"/>
        </w:rPr>
        <w:t>道路绿带</w:t>
      </w:r>
      <w:r>
        <w:rPr>
          <w:rFonts w:hint="eastAsia" w:eastAsia="宋体"/>
          <w:sz w:val="30"/>
          <w:szCs w:val="30"/>
          <w:lang w:eastAsia="zh-CN"/>
        </w:rPr>
        <w:t>。</w:t>
      </w:r>
      <w:r>
        <w:rPr>
          <w:sz w:val="30"/>
          <w:szCs w:val="30"/>
          <w:lang w:eastAsia="zh-CN"/>
        </w:rPr>
        <w:t>道路红线范围内的带状绿地，道路绿带分为分车绿带、行道树绿带和路侧</w:t>
      </w:r>
      <w:r>
        <w:rPr>
          <w:rFonts w:hint="eastAsia" w:eastAsia="宋体"/>
          <w:sz w:val="30"/>
          <w:szCs w:val="30"/>
          <w:lang w:val="en-US" w:eastAsia="zh-CN"/>
        </w:rPr>
        <w:t>绿</w:t>
      </w:r>
      <w:r>
        <w:rPr>
          <w:sz w:val="30"/>
          <w:szCs w:val="30"/>
          <w:lang w:eastAsia="zh-CN"/>
        </w:rPr>
        <w:t>带。</w:t>
      </w:r>
    </w:p>
    <w:p>
      <w:pPr>
        <w:pStyle w:val="3"/>
        <w:spacing w:before="0" w:after="0" w:line="520" w:lineRule="exact"/>
        <w:jc w:val="both"/>
        <w:rPr>
          <w:sz w:val="30"/>
          <w:szCs w:val="30"/>
          <w:lang w:eastAsia="zh-CN"/>
        </w:rPr>
      </w:pPr>
      <w:r>
        <w:rPr>
          <w:rFonts w:hint="eastAsia" w:eastAsia="宋体"/>
          <w:sz w:val="30"/>
          <w:szCs w:val="30"/>
          <w:lang w:val="en-US" w:eastAsia="zh-CN"/>
        </w:rPr>
        <w:t>　　6.8</w:t>
      </w:r>
      <w:r>
        <w:rPr>
          <w:sz w:val="30"/>
          <w:szCs w:val="30"/>
          <w:lang w:eastAsia="zh-CN"/>
        </w:rPr>
        <w:t>分车绿带</w:t>
      </w:r>
      <w:r>
        <w:rPr>
          <w:rFonts w:hint="eastAsia" w:eastAsia="宋体"/>
          <w:sz w:val="30"/>
          <w:szCs w:val="30"/>
          <w:lang w:eastAsia="zh-CN"/>
        </w:rPr>
        <w:t>。</w:t>
      </w:r>
      <w:r>
        <w:rPr>
          <w:sz w:val="30"/>
          <w:szCs w:val="30"/>
          <w:lang w:eastAsia="zh-CN"/>
        </w:rPr>
        <w:t>行车道之间可以绿化的分隔带，其位于上下机动车道之间的为中间分车绿带、位于机动车道与非机动车道之间或同方向机动车之间的为两侧分车绿带。</w:t>
      </w:r>
    </w:p>
    <w:p>
      <w:pPr>
        <w:pStyle w:val="3"/>
        <w:spacing w:before="0" w:after="0" w:line="520" w:lineRule="exact"/>
        <w:jc w:val="both"/>
        <w:rPr>
          <w:sz w:val="30"/>
          <w:szCs w:val="30"/>
          <w:lang w:eastAsia="zh-CN"/>
        </w:rPr>
      </w:pPr>
      <w:r>
        <w:rPr>
          <w:rFonts w:hint="eastAsia" w:eastAsia="宋体"/>
          <w:sz w:val="30"/>
          <w:szCs w:val="30"/>
          <w:lang w:val="en-US" w:eastAsia="zh-CN"/>
        </w:rPr>
        <w:t>　　6.9</w:t>
      </w:r>
      <w:r>
        <w:rPr>
          <w:sz w:val="30"/>
          <w:szCs w:val="30"/>
          <w:lang w:eastAsia="zh-CN"/>
        </w:rPr>
        <w:t>行道树绿带</w:t>
      </w:r>
      <w:r>
        <w:rPr>
          <w:rFonts w:hint="eastAsia" w:eastAsia="宋体"/>
          <w:sz w:val="30"/>
          <w:szCs w:val="30"/>
          <w:lang w:eastAsia="zh-CN"/>
        </w:rPr>
        <w:t>。</w:t>
      </w:r>
      <w:r>
        <w:rPr>
          <w:sz w:val="30"/>
          <w:szCs w:val="30"/>
          <w:lang w:eastAsia="zh-CN"/>
        </w:rPr>
        <w:t>布设在人行道与车行道之间 , 以种植行道树为主的绿</w:t>
      </w:r>
      <w:r>
        <w:rPr>
          <w:rFonts w:hint="eastAsia" w:eastAsia="宋体"/>
          <w:sz w:val="30"/>
          <w:szCs w:val="30"/>
          <w:lang w:val="en-US" w:eastAsia="zh-CN"/>
        </w:rPr>
        <w:t>化</w:t>
      </w:r>
      <w:r>
        <w:rPr>
          <w:sz w:val="30"/>
          <w:szCs w:val="30"/>
          <w:lang w:eastAsia="zh-CN"/>
        </w:rPr>
        <w:t>带。</w:t>
      </w:r>
    </w:p>
    <w:p>
      <w:pPr>
        <w:pStyle w:val="3"/>
        <w:spacing w:before="0" w:after="0" w:line="520" w:lineRule="exact"/>
        <w:jc w:val="both"/>
        <w:rPr>
          <w:sz w:val="30"/>
          <w:szCs w:val="30"/>
          <w:lang w:eastAsia="zh-CN"/>
        </w:rPr>
      </w:pPr>
      <w:r>
        <w:rPr>
          <w:rFonts w:hint="eastAsia" w:eastAsia="宋体"/>
          <w:sz w:val="30"/>
          <w:szCs w:val="30"/>
          <w:lang w:val="en-US" w:eastAsia="zh-CN"/>
        </w:rPr>
        <w:t>　　6.10</w:t>
      </w:r>
      <w:r>
        <w:rPr>
          <w:sz w:val="30"/>
          <w:szCs w:val="30"/>
          <w:lang w:eastAsia="zh-CN"/>
        </w:rPr>
        <w:t xml:space="preserve"> 路侧绿</w:t>
      </w:r>
      <w:r>
        <w:rPr>
          <w:rFonts w:hint="eastAsia" w:eastAsia="宋体"/>
          <w:sz w:val="30"/>
          <w:szCs w:val="30"/>
          <w:lang w:eastAsia="zh-CN"/>
        </w:rPr>
        <w:t>（</w:t>
      </w:r>
      <w:r>
        <w:rPr>
          <w:rFonts w:hint="eastAsia" w:eastAsia="宋体"/>
          <w:sz w:val="30"/>
          <w:szCs w:val="30"/>
          <w:lang w:val="en-US" w:eastAsia="zh-CN"/>
        </w:rPr>
        <w:t>林）</w:t>
      </w:r>
      <w:r>
        <w:rPr>
          <w:sz w:val="30"/>
          <w:szCs w:val="30"/>
          <w:lang w:eastAsia="zh-CN"/>
        </w:rPr>
        <w:t>带</w:t>
      </w:r>
      <w:r>
        <w:rPr>
          <w:rFonts w:hint="eastAsia" w:eastAsia="宋体"/>
          <w:sz w:val="30"/>
          <w:szCs w:val="30"/>
          <w:lang w:eastAsia="zh-CN"/>
        </w:rPr>
        <w:t>。</w:t>
      </w:r>
      <w:r>
        <w:rPr>
          <w:sz w:val="30"/>
          <w:szCs w:val="30"/>
          <w:lang w:eastAsia="zh-CN"/>
        </w:rPr>
        <w:t>布设在人行道边缘</w:t>
      </w:r>
      <w:r>
        <w:rPr>
          <w:rFonts w:hint="eastAsia" w:eastAsia="宋体"/>
          <w:sz w:val="30"/>
          <w:szCs w:val="30"/>
          <w:lang w:eastAsia="zh-CN"/>
        </w:rPr>
        <w:t>（</w:t>
      </w:r>
      <w:r>
        <w:rPr>
          <w:rFonts w:hint="eastAsia" w:eastAsia="宋体"/>
          <w:sz w:val="30"/>
          <w:szCs w:val="30"/>
          <w:lang w:val="en-US" w:eastAsia="zh-CN"/>
        </w:rPr>
        <w:t>路沿）</w:t>
      </w:r>
      <w:r>
        <w:rPr>
          <w:sz w:val="30"/>
          <w:szCs w:val="30"/>
          <w:lang w:eastAsia="zh-CN"/>
        </w:rPr>
        <w:t>至道路红线之间的绿</w:t>
      </w:r>
      <w:r>
        <w:rPr>
          <w:rFonts w:hint="eastAsia" w:eastAsia="宋体"/>
          <w:sz w:val="30"/>
          <w:szCs w:val="30"/>
          <w:lang w:val="en-US" w:eastAsia="zh-CN"/>
        </w:rPr>
        <w:t>化</w:t>
      </w:r>
      <w:r>
        <w:rPr>
          <w:sz w:val="30"/>
          <w:szCs w:val="30"/>
          <w:lang w:eastAsia="zh-CN"/>
        </w:rPr>
        <w:t>带。</w:t>
      </w:r>
    </w:p>
    <w:p>
      <w:pPr>
        <w:pStyle w:val="3"/>
        <w:spacing w:before="0" w:after="0" w:line="520" w:lineRule="exact"/>
        <w:jc w:val="both"/>
        <w:rPr>
          <w:sz w:val="30"/>
          <w:szCs w:val="30"/>
          <w:lang w:eastAsia="zh-CN"/>
        </w:rPr>
      </w:pPr>
      <w:r>
        <w:rPr>
          <w:rFonts w:hint="eastAsia" w:eastAsia="宋体"/>
          <w:sz w:val="30"/>
          <w:szCs w:val="30"/>
          <w:lang w:val="en-US" w:eastAsia="zh-CN"/>
        </w:rPr>
        <w:t>　　6.11</w:t>
      </w:r>
      <w:r>
        <w:rPr>
          <w:rFonts w:hint="eastAsia"/>
          <w:sz w:val="30"/>
          <w:szCs w:val="30"/>
          <w:lang w:eastAsia="zh-CN"/>
        </w:rPr>
        <w:t>乔木</w:t>
      </w:r>
      <w:r>
        <w:rPr>
          <w:rFonts w:hint="eastAsia" w:eastAsia="宋体"/>
          <w:sz w:val="30"/>
          <w:szCs w:val="30"/>
          <w:lang w:eastAsia="zh-CN"/>
        </w:rPr>
        <w:t>。乔木是指具有明显直立的主干，通常高在3米以上</w:t>
      </w:r>
      <w:r>
        <w:rPr>
          <w:rFonts w:hint="eastAsia"/>
          <w:sz w:val="30"/>
          <w:szCs w:val="30"/>
          <w:lang w:eastAsia="zh-CN"/>
        </w:rPr>
        <w:t>的木本植物。</w:t>
      </w:r>
    </w:p>
    <w:p>
      <w:pPr>
        <w:pStyle w:val="3"/>
        <w:spacing w:before="0" w:after="0" w:line="520" w:lineRule="exact"/>
        <w:jc w:val="both"/>
        <w:rPr>
          <w:sz w:val="30"/>
          <w:szCs w:val="30"/>
          <w:lang w:eastAsia="zh-CN"/>
        </w:rPr>
      </w:pPr>
      <w:r>
        <w:rPr>
          <w:rFonts w:hint="eastAsia" w:eastAsia="宋体"/>
          <w:sz w:val="30"/>
          <w:szCs w:val="30"/>
          <w:lang w:val="en-US" w:eastAsia="zh-CN"/>
        </w:rPr>
        <w:t>　　6.</w:t>
      </w:r>
      <w:r>
        <w:rPr>
          <w:sz w:val="30"/>
          <w:szCs w:val="30"/>
          <w:lang w:eastAsia="zh-CN"/>
        </w:rPr>
        <w:t xml:space="preserve">12 </w:t>
      </w:r>
      <w:r>
        <w:rPr>
          <w:rFonts w:hint="eastAsia" w:eastAsia="宋体"/>
          <w:sz w:val="30"/>
          <w:szCs w:val="30"/>
          <w:lang w:val="en-US" w:eastAsia="zh-CN"/>
        </w:rPr>
        <w:t>灌木</w:t>
      </w:r>
      <w:r>
        <w:rPr>
          <w:rFonts w:hint="eastAsia" w:eastAsia="宋体"/>
          <w:sz w:val="30"/>
          <w:szCs w:val="30"/>
          <w:lang w:eastAsia="zh-CN"/>
        </w:rPr>
        <w:t>。</w:t>
      </w:r>
      <w:r>
        <w:rPr>
          <w:rFonts w:hint="eastAsia"/>
          <w:sz w:val="30"/>
          <w:szCs w:val="30"/>
          <w:lang w:eastAsia="zh-CN"/>
        </w:rPr>
        <w:t>指不具主干，由地面分出多数枝条，或虽具主干而其高度不超过3米</w:t>
      </w:r>
      <w:r>
        <w:rPr>
          <w:rFonts w:hint="eastAsia" w:eastAsia="宋体"/>
          <w:sz w:val="30"/>
          <w:szCs w:val="30"/>
          <w:lang w:val="en-US" w:eastAsia="zh-CN"/>
        </w:rPr>
        <w:t>的木本植物</w:t>
      </w:r>
      <w:r>
        <w:rPr>
          <w:rFonts w:hint="eastAsia"/>
          <w:sz w:val="30"/>
          <w:szCs w:val="30"/>
          <w:lang w:eastAsia="zh-CN"/>
        </w:rPr>
        <w:t>，可分为观花、观果、观枝干等。</w:t>
      </w:r>
    </w:p>
    <w:p>
      <w:pPr>
        <w:pStyle w:val="3"/>
        <w:spacing w:before="0" w:after="0" w:line="520" w:lineRule="exact"/>
        <w:jc w:val="both"/>
        <w:rPr>
          <w:sz w:val="30"/>
          <w:szCs w:val="30"/>
          <w:lang w:eastAsia="zh-CN"/>
        </w:rPr>
      </w:pPr>
      <w:r>
        <w:rPr>
          <w:rFonts w:hint="eastAsia" w:eastAsia="宋体"/>
          <w:sz w:val="30"/>
          <w:szCs w:val="30"/>
          <w:lang w:val="en-US" w:eastAsia="zh-CN"/>
        </w:rPr>
        <w:t>　　6</w:t>
      </w:r>
      <w:r>
        <w:rPr>
          <w:sz w:val="30"/>
          <w:szCs w:val="30"/>
          <w:lang w:eastAsia="zh-CN"/>
        </w:rPr>
        <w:t>.13  开放式绿地</w:t>
      </w:r>
      <w:r>
        <w:rPr>
          <w:rFonts w:hint="eastAsia" w:eastAsia="宋体"/>
          <w:sz w:val="30"/>
          <w:szCs w:val="30"/>
          <w:lang w:eastAsia="zh-CN"/>
        </w:rPr>
        <w:t>。</w:t>
      </w:r>
      <w:r>
        <w:rPr>
          <w:sz w:val="30"/>
          <w:szCs w:val="30"/>
          <w:lang w:eastAsia="zh-CN"/>
        </w:rPr>
        <w:t xml:space="preserve"> 绿地中铺设游步道，设置坐凳等，供行人进入游览休息的绿地。</w:t>
      </w:r>
    </w:p>
    <w:p>
      <w:pPr>
        <w:pStyle w:val="3"/>
        <w:spacing w:before="0" w:after="0" w:line="520" w:lineRule="exact"/>
        <w:jc w:val="both"/>
        <w:rPr>
          <w:sz w:val="30"/>
          <w:szCs w:val="30"/>
          <w:lang w:eastAsia="zh-CN"/>
        </w:rPr>
      </w:pPr>
      <w:r>
        <w:rPr>
          <w:rFonts w:hint="eastAsia" w:eastAsia="宋体"/>
          <w:sz w:val="30"/>
          <w:szCs w:val="30"/>
          <w:lang w:val="en-US" w:eastAsia="zh-CN"/>
        </w:rPr>
        <w:t>　　6</w:t>
      </w:r>
      <w:r>
        <w:rPr>
          <w:sz w:val="30"/>
          <w:szCs w:val="30"/>
          <w:lang w:eastAsia="zh-CN"/>
        </w:rPr>
        <w:t>.14  胸径</w:t>
      </w:r>
      <w:r>
        <w:rPr>
          <w:rFonts w:hint="eastAsia" w:eastAsia="宋体"/>
          <w:sz w:val="30"/>
          <w:szCs w:val="30"/>
          <w:lang w:eastAsia="zh-CN"/>
        </w:rPr>
        <w:t>。指</w:t>
      </w:r>
      <w:r>
        <w:rPr>
          <w:sz w:val="30"/>
          <w:szCs w:val="30"/>
          <w:lang w:eastAsia="zh-CN"/>
        </w:rPr>
        <w:t>乔木主干离地表面 1.3 米处的直径。</w:t>
      </w:r>
    </w:p>
    <w:p>
      <w:pPr>
        <w:pStyle w:val="3"/>
        <w:spacing w:before="0" w:after="0" w:line="520" w:lineRule="exact"/>
        <w:jc w:val="both"/>
        <w:rPr>
          <w:sz w:val="30"/>
          <w:szCs w:val="30"/>
          <w:lang w:eastAsia="zh-CN"/>
        </w:rPr>
      </w:pPr>
      <w:r>
        <w:rPr>
          <w:rFonts w:hint="eastAsia" w:eastAsia="宋体"/>
          <w:sz w:val="30"/>
          <w:szCs w:val="30"/>
          <w:lang w:val="en-US" w:eastAsia="zh-CN"/>
        </w:rPr>
        <w:t>　　6.</w:t>
      </w:r>
      <w:r>
        <w:rPr>
          <w:sz w:val="30"/>
          <w:szCs w:val="30"/>
          <w:lang w:eastAsia="zh-CN"/>
        </w:rPr>
        <w:t>15  冠幅</w:t>
      </w:r>
      <w:r>
        <w:rPr>
          <w:rFonts w:hint="eastAsia" w:eastAsia="宋体"/>
          <w:sz w:val="30"/>
          <w:szCs w:val="30"/>
          <w:lang w:eastAsia="zh-CN"/>
        </w:rPr>
        <w:t>。指</w:t>
      </w:r>
      <w:r>
        <w:rPr>
          <w:sz w:val="30"/>
          <w:szCs w:val="30"/>
          <w:lang w:eastAsia="zh-CN"/>
        </w:rPr>
        <w:t>乔、灌木枝叶部分垂直投影的平均直径。</w:t>
      </w:r>
    </w:p>
    <w:p>
      <w:pPr>
        <w:pStyle w:val="3"/>
        <w:spacing w:before="0" w:after="0" w:line="520" w:lineRule="exact"/>
        <w:jc w:val="both"/>
        <w:rPr>
          <w:sz w:val="30"/>
          <w:szCs w:val="30"/>
          <w:lang w:eastAsia="zh-CN"/>
        </w:rPr>
      </w:pPr>
      <w:r>
        <w:rPr>
          <w:rFonts w:hint="eastAsia" w:eastAsia="宋体"/>
          <w:sz w:val="30"/>
          <w:szCs w:val="30"/>
          <w:lang w:val="en-US" w:eastAsia="zh-CN"/>
        </w:rPr>
        <w:t>　　6</w:t>
      </w:r>
      <w:r>
        <w:rPr>
          <w:sz w:val="30"/>
          <w:szCs w:val="30"/>
          <w:lang w:eastAsia="zh-CN"/>
        </w:rPr>
        <w:t>.16  分枝点高</w:t>
      </w:r>
      <w:r>
        <w:rPr>
          <w:rFonts w:hint="eastAsia" w:eastAsia="宋体"/>
          <w:sz w:val="30"/>
          <w:szCs w:val="30"/>
          <w:lang w:eastAsia="zh-CN"/>
        </w:rPr>
        <w:t>。指</w:t>
      </w:r>
      <w:r>
        <w:rPr>
          <w:sz w:val="30"/>
          <w:szCs w:val="30"/>
          <w:lang w:eastAsia="zh-CN"/>
        </w:rPr>
        <w:t>树木到树冠前下枝点</w:t>
      </w:r>
      <w:r>
        <w:rPr>
          <w:rFonts w:hint="eastAsia" w:eastAsia="宋体"/>
          <w:sz w:val="30"/>
          <w:szCs w:val="30"/>
          <w:lang w:val="en-US" w:eastAsia="zh-CN"/>
        </w:rPr>
        <w:t>距</w:t>
      </w:r>
      <w:r>
        <w:rPr>
          <w:sz w:val="30"/>
          <w:szCs w:val="30"/>
          <w:lang w:eastAsia="zh-CN"/>
        </w:rPr>
        <w:t>地面的垂直高度。</w:t>
      </w:r>
    </w:p>
    <w:p>
      <w:pPr>
        <w:pStyle w:val="3"/>
        <w:spacing w:before="0" w:after="0" w:line="520" w:lineRule="exact"/>
        <w:jc w:val="both"/>
        <w:rPr>
          <w:sz w:val="30"/>
          <w:szCs w:val="30"/>
          <w:lang w:eastAsia="zh-CN"/>
        </w:rPr>
      </w:pPr>
      <w:r>
        <w:rPr>
          <w:rFonts w:hint="eastAsia" w:eastAsia="宋体"/>
          <w:sz w:val="30"/>
          <w:szCs w:val="30"/>
          <w:lang w:val="en-US" w:eastAsia="zh-CN"/>
        </w:rPr>
        <w:t>　　6</w:t>
      </w:r>
      <w:r>
        <w:rPr>
          <w:sz w:val="30"/>
          <w:szCs w:val="30"/>
          <w:lang w:eastAsia="zh-CN"/>
        </w:rPr>
        <w:t>.17  通透式配置</w:t>
      </w:r>
      <w:r>
        <w:rPr>
          <w:rFonts w:hint="eastAsia" w:eastAsia="宋体"/>
          <w:sz w:val="30"/>
          <w:szCs w:val="30"/>
          <w:lang w:eastAsia="zh-CN"/>
        </w:rPr>
        <w:t>。</w:t>
      </w:r>
      <w:r>
        <w:rPr>
          <w:sz w:val="30"/>
          <w:szCs w:val="30"/>
          <w:lang w:eastAsia="zh-CN"/>
        </w:rPr>
        <w:t>绿地上配置的树木</w:t>
      </w:r>
      <w:r>
        <w:rPr>
          <w:rFonts w:hint="eastAsia" w:eastAsia="宋体"/>
          <w:sz w:val="30"/>
          <w:szCs w:val="30"/>
          <w:lang w:eastAsia="zh-CN"/>
        </w:rPr>
        <w:t>，</w:t>
      </w:r>
      <w:r>
        <w:rPr>
          <w:sz w:val="30"/>
          <w:szCs w:val="30"/>
          <w:lang w:eastAsia="zh-CN"/>
        </w:rPr>
        <w:t>在距相邻机动车道路面高度 0.9m 至 3.0m 之间的范围。</w:t>
      </w:r>
    </w:p>
    <w:p>
      <w:pPr>
        <w:pStyle w:val="3"/>
        <w:spacing w:before="0" w:after="0" w:line="520" w:lineRule="exact"/>
        <w:jc w:val="both"/>
        <w:rPr>
          <w:sz w:val="30"/>
          <w:szCs w:val="30"/>
          <w:lang w:eastAsia="zh-CN"/>
        </w:rPr>
      </w:pPr>
      <w:r>
        <w:rPr>
          <w:rFonts w:hint="eastAsia" w:eastAsia="宋体"/>
          <w:sz w:val="30"/>
          <w:szCs w:val="30"/>
          <w:lang w:val="en-US" w:eastAsia="zh-CN"/>
        </w:rPr>
        <w:t>　　6</w:t>
      </w:r>
      <w:r>
        <w:rPr>
          <w:sz w:val="30"/>
          <w:szCs w:val="30"/>
          <w:lang w:eastAsia="zh-CN"/>
        </w:rPr>
        <w:t>.18  立缘石</w:t>
      </w:r>
      <w:r>
        <w:rPr>
          <w:rFonts w:hint="eastAsia" w:eastAsia="宋体"/>
          <w:sz w:val="30"/>
          <w:szCs w:val="30"/>
          <w:lang w:eastAsia="zh-CN"/>
        </w:rPr>
        <w:t>。</w:t>
      </w:r>
      <w:r>
        <w:rPr>
          <w:sz w:val="30"/>
          <w:szCs w:val="30"/>
          <w:lang w:eastAsia="zh-CN"/>
        </w:rPr>
        <w:t>顶面高出路面的路缘石。</w:t>
      </w:r>
    </w:p>
    <w:p>
      <w:pPr>
        <w:pStyle w:val="3"/>
        <w:spacing w:before="0" w:after="0" w:line="520" w:lineRule="exact"/>
        <w:jc w:val="both"/>
        <w:rPr>
          <w:rFonts w:eastAsia="宋体"/>
          <w:sz w:val="30"/>
          <w:szCs w:val="30"/>
          <w:lang w:eastAsia="zh-CN"/>
        </w:rPr>
      </w:pPr>
      <w:r>
        <w:rPr>
          <w:rFonts w:hint="eastAsia" w:eastAsia="宋体"/>
          <w:sz w:val="30"/>
          <w:szCs w:val="30"/>
          <w:lang w:val="en-US" w:eastAsia="zh-CN"/>
        </w:rPr>
        <w:t>　　6</w:t>
      </w:r>
      <w:r>
        <w:rPr>
          <w:sz w:val="30"/>
          <w:szCs w:val="30"/>
          <w:lang w:eastAsia="zh-CN"/>
        </w:rPr>
        <w:t>.</w:t>
      </w:r>
      <w:r>
        <w:rPr>
          <w:rFonts w:hint="eastAsia" w:eastAsia="宋体"/>
          <w:sz w:val="30"/>
          <w:szCs w:val="30"/>
          <w:lang w:val="en-US" w:eastAsia="zh-CN"/>
        </w:rPr>
        <w:t>19</w:t>
      </w:r>
      <w:r>
        <w:rPr>
          <w:sz w:val="30"/>
          <w:szCs w:val="30"/>
          <w:lang w:eastAsia="zh-CN"/>
        </w:rPr>
        <w:t xml:space="preserve"> </w:t>
      </w:r>
      <w:r>
        <w:rPr>
          <w:rFonts w:hint="eastAsia" w:eastAsia="宋体"/>
          <w:sz w:val="30"/>
          <w:szCs w:val="30"/>
          <w:lang w:val="en-US" w:eastAsia="zh-CN"/>
        </w:rPr>
        <w:t>乡土树种</w:t>
      </w:r>
      <w:r>
        <w:rPr>
          <w:rFonts w:hint="eastAsia" w:eastAsia="宋体"/>
          <w:sz w:val="30"/>
          <w:szCs w:val="30"/>
          <w:lang w:eastAsia="zh-CN"/>
        </w:rPr>
        <w:t>。指本地区天然分布树种或者已引种多年且在当地一直表现良好的外来树种。</w:t>
      </w:r>
    </w:p>
    <w:p>
      <w:pPr>
        <w:pStyle w:val="3"/>
        <w:spacing w:before="0" w:after="0" w:line="520" w:lineRule="exact"/>
        <w:jc w:val="both"/>
        <w:rPr>
          <w:rFonts w:ascii="Times New Roman" w:hAnsi="Times New Roman" w:eastAsia="仿宋_GB2312" w:cs="Times New Roman"/>
          <w:sz w:val="30"/>
          <w:szCs w:val="30"/>
          <w:lang w:val="en-US" w:eastAsia="zh-CN"/>
        </w:rPr>
      </w:pPr>
      <w:r>
        <w:rPr>
          <w:rFonts w:hint="eastAsia" w:eastAsia="宋体"/>
          <w:sz w:val="30"/>
          <w:szCs w:val="30"/>
          <w:lang w:val="en-US" w:eastAsia="zh-CN"/>
        </w:rPr>
        <w:t>　　6</w:t>
      </w:r>
      <w:r>
        <w:rPr>
          <w:sz w:val="30"/>
          <w:szCs w:val="30"/>
          <w:lang w:eastAsia="zh-CN"/>
        </w:rPr>
        <w:t>.2</w:t>
      </w:r>
      <w:r>
        <w:rPr>
          <w:rFonts w:hint="eastAsia" w:eastAsia="宋体"/>
          <w:sz w:val="30"/>
          <w:szCs w:val="30"/>
          <w:lang w:val="en-US" w:eastAsia="zh-CN"/>
        </w:rPr>
        <w:t>0</w:t>
      </w:r>
      <w:r>
        <w:rPr>
          <w:sz w:val="30"/>
          <w:szCs w:val="30"/>
          <w:lang w:eastAsia="zh-CN"/>
        </w:rPr>
        <w:t xml:space="preserve"> 节约型绿地</w:t>
      </w:r>
      <w:r>
        <w:rPr>
          <w:rFonts w:hint="eastAsia" w:eastAsia="宋体"/>
          <w:sz w:val="30"/>
          <w:szCs w:val="30"/>
          <w:lang w:eastAsia="zh-CN"/>
        </w:rPr>
        <w:t>。</w:t>
      </w:r>
      <w:r>
        <w:rPr>
          <w:sz w:val="30"/>
          <w:szCs w:val="30"/>
          <w:lang w:eastAsia="zh-CN"/>
        </w:rPr>
        <w:t>以最少的用地、最少的用水、最少的资金，选择对周边生态环境最少干扰的绿化模式。</w:t>
      </w:r>
    </w:p>
    <w:p>
      <w:pPr>
        <w:pStyle w:val="3"/>
        <w:spacing w:before="0" w:after="0" w:line="520" w:lineRule="exact"/>
        <w:jc w:val="both"/>
        <w:rPr>
          <w:rFonts w:ascii="Times New Roman" w:hAnsi="Times New Roman" w:eastAsia="仿宋_GB2312" w:cs="Times New Roman"/>
          <w:sz w:val="30"/>
          <w:szCs w:val="30"/>
          <w:lang w:val="en-US" w:eastAsia="zh-CN"/>
        </w:rPr>
      </w:pPr>
    </w:p>
    <w:p>
      <w:pPr>
        <w:pStyle w:val="3"/>
        <w:spacing w:before="0" w:after="0" w:line="520" w:lineRule="exact"/>
        <w:jc w:val="both"/>
        <w:rPr>
          <w:rFonts w:ascii="Times New Roman" w:hAnsi="Times New Roman" w:eastAsia="仿宋_GB2312" w:cs="Times New Roman"/>
          <w:sz w:val="30"/>
          <w:szCs w:val="30"/>
          <w:lang w:val="en-US" w:eastAsia="zh-CN"/>
        </w:rPr>
      </w:pPr>
    </w:p>
    <w:p>
      <w:pPr>
        <w:pStyle w:val="3"/>
        <w:spacing w:before="0" w:after="0" w:line="520" w:lineRule="exact"/>
        <w:jc w:val="both"/>
        <w:rPr>
          <w:rFonts w:ascii="Times New Roman" w:hAnsi="Times New Roman" w:eastAsia="仿宋_GB2312" w:cs="Times New Roman"/>
          <w:sz w:val="30"/>
          <w:szCs w:val="30"/>
          <w:lang w:val="en-US" w:eastAsia="zh-CN"/>
        </w:rPr>
      </w:pPr>
    </w:p>
    <w:p>
      <w:pPr>
        <w:pStyle w:val="3"/>
        <w:spacing w:before="0" w:after="0" w:line="520" w:lineRule="exact"/>
        <w:jc w:val="both"/>
        <w:rPr>
          <w:rFonts w:ascii="Times New Roman" w:hAnsi="Times New Roman" w:eastAsia="仿宋_GB2312" w:cs="Times New Roman"/>
          <w:sz w:val="30"/>
          <w:szCs w:val="30"/>
          <w:lang w:val="en-US" w:eastAsia="zh-CN"/>
        </w:rPr>
      </w:pPr>
    </w:p>
    <w:p>
      <w:pPr>
        <w:pStyle w:val="3"/>
        <w:spacing w:before="0" w:after="0" w:line="520" w:lineRule="exact"/>
        <w:jc w:val="both"/>
        <w:rPr>
          <w:rFonts w:ascii="Times New Roman" w:hAnsi="Times New Roman" w:eastAsia="黑体" w:cs="Times New Roman"/>
          <w:sz w:val="30"/>
          <w:szCs w:val="30"/>
          <w:lang w:val="en-US" w:eastAsia="zh-CN"/>
        </w:rPr>
      </w:pPr>
    </w:p>
    <w:p>
      <w:pPr>
        <w:pStyle w:val="3"/>
        <w:spacing w:before="0" w:after="0" w:line="520" w:lineRule="exact"/>
        <w:jc w:val="both"/>
        <w:rPr>
          <w:rFonts w:ascii="Times New Roman" w:hAnsi="Times New Roman" w:eastAsia="黑体" w:cs="Times New Roman"/>
          <w:sz w:val="30"/>
          <w:szCs w:val="30"/>
          <w:lang w:val="en-US" w:eastAsia="zh-CN"/>
        </w:rPr>
      </w:pPr>
    </w:p>
    <w:p>
      <w:pPr>
        <w:pStyle w:val="3"/>
        <w:spacing w:before="0" w:after="0" w:line="520" w:lineRule="exact"/>
        <w:jc w:val="both"/>
        <w:rPr>
          <w:rFonts w:ascii="Times New Roman" w:hAnsi="Times New Roman" w:eastAsia="黑体" w:cs="Times New Roman"/>
          <w:sz w:val="30"/>
          <w:szCs w:val="30"/>
          <w:lang w:val="en-US" w:eastAsia="zh-CN"/>
        </w:rPr>
      </w:pPr>
    </w:p>
    <w:p>
      <w:pPr>
        <w:pStyle w:val="3"/>
        <w:spacing w:before="0" w:after="0" w:line="520" w:lineRule="exact"/>
        <w:jc w:val="both"/>
        <w:rPr>
          <w:rFonts w:ascii="Times New Roman" w:hAnsi="Times New Roman" w:eastAsia="黑体" w:cs="Times New Roman"/>
          <w:sz w:val="30"/>
          <w:szCs w:val="30"/>
          <w:lang w:val="en-US" w:eastAsia="zh-CN"/>
        </w:rPr>
      </w:pPr>
    </w:p>
    <w:p>
      <w:pPr>
        <w:pStyle w:val="3"/>
        <w:spacing w:before="0" w:after="0" w:line="520" w:lineRule="exact"/>
        <w:jc w:val="both"/>
        <w:rPr>
          <w:rFonts w:ascii="Times New Roman" w:hAnsi="Times New Roman" w:eastAsia="黑体" w:cs="Times New Roman"/>
          <w:sz w:val="30"/>
          <w:szCs w:val="30"/>
          <w:lang w:val="en-US" w:eastAsia="zh-CN"/>
        </w:rPr>
      </w:pPr>
    </w:p>
    <w:p>
      <w:pPr>
        <w:pStyle w:val="3"/>
        <w:spacing w:before="0" w:after="0" w:line="520" w:lineRule="exact"/>
        <w:jc w:val="both"/>
        <w:rPr>
          <w:rFonts w:ascii="Times New Roman" w:hAnsi="Times New Roman" w:eastAsia="仿宋_GB2312" w:cs="Times New Roman"/>
          <w:sz w:val="30"/>
          <w:szCs w:val="30"/>
          <w:lang w:val="en-US" w:eastAsia="zh-CN"/>
        </w:rPr>
      </w:pPr>
      <w:bookmarkStart w:id="0" w:name="_GoBack"/>
      <w:bookmarkEnd w:id="0"/>
      <w:r>
        <w:rPr>
          <w:rFonts w:ascii="Times New Roman" w:hAnsi="Times New Roman" w:eastAsia="黑体" w:cs="Times New Roman"/>
          <w:sz w:val="30"/>
          <w:szCs w:val="30"/>
          <w:lang w:val="en-US" w:eastAsia="zh-CN"/>
        </w:rPr>
        <w:t>附件：</w:t>
      </w:r>
      <w:r>
        <w:rPr>
          <w:rFonts w:hint="eastAsia" w:ascii="楷体_GB2312" w:hAnsi="楷体_GB2312" w:eastAsia="楷体_GB2312" w:cs="楷体_GB2312"/>
          <w:sz w:val="30"/>
          <w:szCs w:val="30"/>
          <w:lang w:val="en-US" w:eastAsia="zh-CN"/>
        </w:rPr>
        <w:t>林带建设参考模式</w:t>
      </w:r>
    </w:p>
    <w:p>
      <w:pPr>
        <w:pStyle w:val="4"/>
        <w:spacing w:before="55"/>
        <w:jc w:val="both"/>
        <w:rPr>
          <w:rFonts w:ascii="Times New Roman" w:hAnsi="Times New Roman" w:eastAsia="宋体" w:cs="Times New Roman"/>
          <w:bCs w:val="0"/>
          <w:color w:val="auto"/>
          <w:sz w:val="30"/>
          <w:szCs w:val="30"/>
          <w:lang w:eastAsia="zh-CN"/>
        </w:rPr>
      </w:pPr>
    </w:p>
    <w:p>
      <w:pPr>
        <w:pStyle w:val="3"/>
        <w:spacing w:before="0" w:after="0" w:line="520" w:lineRule="exact"/>
        <w:jc w:val="both"/>
        <w:rPr>
          <w:rFonts w:ascii="Times New Roman" w:hAnsi="Times New Roman" w:eastAsia="宋体" w:cs="Times New Roman"/>
          <w:b/>
          <w:sz w:val="30"/>
          <w:szCs w:val="30"/>
          <w:lang w:eastAsia="zh-CN"/>
        </w:rPr>
      </w:pPr>
      <w:r>
        <w:rPr>
          <w:rFonts w:ascii="Times New Roman" w:hAnsi="Times New Roman" w:eastAsia="宋体" w:cs="Times New Roman"/>
          <w:b/>
          <w:sz w:val="30"/>
          <w:szCs w:val="30"/>
          <w:lang w:val="en-US" w:eastAsia="zh-CN"/>
        </w:rPr>
        <w:t>1.</w:t>
      </w:r>
      <w:r>
        <w:rPr>
          <w:rFonts w:ascii="Times New Roman" w:hAnsi="Times New Roman" w:eastAsia="宋体" w:cs="Times New Roman"/>
          <w:b/>
          <w:sz w:val="30"/>
          <w:szCs w:val="30"/>
          <w:lang w:eastAsia="zh-CN"/>
        </w:rPr>
        <w:t>高速公路和铁路建设模型</w:t>
      </w:r>
    </w:p>
    <w:p>
      <w:pPr>
        <w:pStyle w:val="3"/>
        <w:spacing w:before="0" w:after="0" w:line="520" w:lineRule="exact"/>
        <w:jc w:val="both"/>
        <w:rPr>
          <w:rFonts w:ascii="Times New Roman" w:hAnsi="Times New Roman" w:cs="Times New Roman"/>
          <w:sz w:val="30"/>
          <w:szCs w:val="30"/>
          <w:lang w:val="en-US" w:eastAsia="zh-CN"/>
        </w:rPr>
      </w:pPr>
      <w:r>
        <w:rPr>
          <w:rFonts w:hint="eastAsia" w:ascii="Times New Roman" w:hAnsi="Times New Roman" w:eastAsia="宋体" w:cs="Times New Roman"/>
          <w:spacing w:val="-1"/>
          <w:sz w:val="30"/>
          <w:szCs w:val="30"/>
          <w:lang w:eastAsia="zh-CN"/>
        </w:rPr>
        <w:t>　　</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1</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平缓路段</w:t>
      </w:r>
      <w:r>
        <w:rPr>
          <w:rFonts w:ascii="Times New Roman" w:hAnsi="Times New Roman" w:cs="Times New Roman"/>
          <w:spacing w:val="-1"/>
          <w:sz w:val="30"/>
          <w:szCs w:val="30"/>
          <w:lang w:eastAsia="zh-CN"/>
        </w:rPr>
        <w:t>配置方式：内侧栽植桂花、</w:t>
      </w:r>
      <w:r>
        <w:rPr>
          <w:rFonts w:ascii="Times New Roman" w:hAnsi="Times New Roman" w:cs="Times New Roman"/>
          <w:spacing w:val="-2"/>
          <w:sz w:val="30"/>
          <w:szCs w:val="30"/>
          <w:lang w:eastAsia="zh-CN"/>
        </w:rPr>
        <w:t>栀子花、</w:t>
      </w:r>
      <w:r>
        <w:rPr>
          <w:rFonts w:ascii="Times New Roman" w:hAnsi="Times New Roman" w:eastAsia="宋体" w:cs="Times New Roman"/>
          <w:spacing w:val="-2"/>
          <w:sz w:val="30"/>
          <w:szCs w:val="30"/>
          <w:lang w:val="en-US" w:eastAsia="zh-CN"/>
        </w:rPr>
        <w:t>红叶</w:t>
      </w:r>
      <w:r>
        <w:rPr>
          <w:rFonts w:ascii="Times New Roman" w:hAnsi="Times New Roman" w:cs="Times New Roman"/>
          <w:spacing w:val="-2"/>
          <w:sz w:val="30"/>
          <w:szCs w:val="30"/>
          <w:lang w:eastAsia="zh-CN"/>
        </w:rPr>
        <w:t>石楠、海桐、木槿、紫荆、紫薇、石榴、紫穗槐等灌木，外侧栽植广玉兰、女贞、水杉、杨</w:t>
      </w:r>
      <w:r>
        <w:rPr>
          <w:rFonts w:ascii="Times New Roman" w:hAnsi="Times New Roman" w:cs="Times New Roman"/>
          <w:spacing w:val="-1"/>
          <w:sz w:val="30"/>
          <w:szCs w:val="30"/>
          <w:lang w:eastAsia="zh-CN"/>
        </w:rPr>
        <w:t>树、朴树、榉树、榆树、臭椿、</w:t>
      </w:r>
      <w:r>
        <w:rPr>
          <w:rFonts w:ascii="Times New Roman" w:hAnsi="Times New Roman" w:cs="Times New Roman"/>
          <w:spacing w:val="-2"/>
          <w:sz w:val="30"/>
          <w:szCs w:val="30"/>
          <w:lang w:eastAsia="zh-CN"/>
        </w:rPr>
        <w:t>无患子、玉兰、国槐、枫杨、梧桐、栾树、楝树、乌桕、樱花、银杏等。实行常绿树</w:t>
      </w:r>
      <w:r>
        <w:rPr>
          <w:rFonts w:ascii="Times New Roman" w:hAnsi="Times New Roman" w:cs="Times New Roman"/>
          <w:sz w:val="30"/>
          <w:szCs w:val="30"/>
          <w:lang w:eastAsia="zh-CN"/>
        </w:rPr>
        <w:t>种与落叶树种带状混交，品字形配置。</w:t>
      </w:r>
      <w:r>
        <w:rPr>
          <w:rFonts w:ascii="Times New Roman" w:hAnsi="Times New Roman" w:eastAsia="宋体" w:cs="Times New Roman"/>
          <w:sz w:val="30"/>
          <w:szCs w:val="30"/>
          <w:lang w:eastAsia="zh-CN"/>
        </w:rPr>
        <w:t>（</w:t>
      </w:r>
      <w:r>
        <w:rPr>
          <w:rFonts w:ascii="Times New Roman" w:hAnsi="Times New Roman" w:eastAsia="宋体" w:cs="Times New Roman"/>
          <w:sz w:val="30"/>
          <w:szCs w:val="30"/>
          <w:lang w:val="en-US" w:eastAsia="zh-CN"/>
        </w:rPr>
        <w:t>如图1</w:t>
      </w:r>
      <w:r>
        <w:rPr>
          <w:rFonts w:ascii="Times New Roman" w:hAnsi="Times New Roman" w:eastAsia="宋体" w:cs="Times New Roman"/>
          <w:sz w:val="30"/>
          <w:szCs w:val="30"/>
          <w:lang w:eastAsia="zh-CN"/>
        </w:rPr>
        <w:t>）</w:t>
      </w:r>
    </w:p>
    <w:p>
      <w:pPr>
        <w:pStyle w:val="3"/>
        <w:spacing w:before="0" w:after="0" w:line="520" w:lineRule="exact"/>
        <w:jc w:val="both"/>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anchor distT="0" distB="0" distL="114300" distR="114300" simplePos="0" relativeHeight="251660288" behindDoc="1" locked="0" layoutInCell="1" allowOverlap="1">
            <wp:simplePos x="0" y="0"/>
            <wp:positionH relativeFrom="page">
              <wp:posOffset>1746885</wp:posOffset>
            </wp:positionH>
            <wp:positionV relativeFrom="paragraph">
              <wp:posOffset>283845</wp:posOffset>
            </wp:positionV>
            <wp:extent cx="4620895" cy="1851660"/>
            <wp:effectExtent l="0" t="0" r="42545" b="7620"/>
            <wp:wrapTight wrapText="bothSides">
              <wp:wrapPolygon>
                <wp:start x="0" y="0"/>
                <wp:lineTo x="0" y="21511"/>
                <wp:lineTo x="21514" y="21511"/>
                <wp:lineTo x="21514" y="0"/>
                <wp:lineTo x="0" y="0"/>
              </wp:wrapPolygon>
            </wp:wrapTight>
            <wp:docPr id="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4.jpeg"/>
                    <pic:cNvPicPr>
                      <a:picLocks noChangeAspect="1"/>
                    </pic:cNvPicPr>
                  </pic:nvPicPr>
                  <pic:blipFill>
                    <a:blip r:embed="rId6" cstate="print"/>
                    <a:stretch>
                      <a:fillRect/>
                    </a:stretch>
                  </pic:blipFill>
                  <pic:spPr>
                    <a:xfrm>
                      <a:off x="0" y="0"/>
                      <a:ext cx="4620895" cy="1851660"/>
                    </a:xfrm>
                    <a:prstGeom prst="rect">
                      <a:avLst/>
                    </a:prstGeom>
                    <a:noFill/>
                    <a:ln>
                      <a:noFill/>
                    </a:ln>
                  </pic:spPr>
                </pic:pic>
              </a:graphicData>
            </a:graphic>
          </wp:anchor>
        </w:drawing>
      </w:r>
    </w:p>
    <w:p>
      <w:pPr>
        <w:pStyle w:val="3"/>
        <w:spacing w:before="0" w:after="0" w:line="520" w:lineRule="exact"/>
        <w:jc w:val="both"/>
        <w:rPr>
          <w:rFonts w:ascii="Times New Roman" w:hAnsi="Times New Roman" w:cs="Times New Roman"/>
          <w:sz w:val="30"/>
          <w:szCs w:val="30"/>
          <w:lang w:val="en-US" w:eastAsia="zh-CN"/>
        </w:rPr>
      </w:pPr>
    </w:p>
    <w:p>
      <w:pPr>
        <w:pStyle w:val="3"/>
        <w:spacing w:before="0" w:after="0" w:line="520" w:lineRule="exact"/>
        <w:jc w:val="both"/>
        <w:rPr>
          <w:rFonts w:ascii="Times New Roman" w:hAnsi="Times New Roman" w:cs="Times New Roman"/>
          <w:sz w:val="30"/>
          <w:szCs w:val="30"/>
          <w:lang w:val="en-US" w:eastAsia="zh-CN"/>
        </w:rPr>
      </w:pPr>
    </w:p>
    <w:p>
      <w:pPr>
        <w:pStyle w:val="3"/>
        <w:spacing w:before="0" w:after="0" w:line="520" w:lineRule="exact"/>
        <w:jc w:val="both"/>
        <w:rPr>
          <w:rFonts w:ascii="Times New Roman" w:hAnsi="Times New Roman" w:cs="Times New Roman"/>
          <w:sz w:val="30"/>
          <w:szCs w:val="30"/>
          <w:lang w:val="en-US" w:eastAsia="zh-CN"/>
        </w:rPr>
      </w:pPr>
    </w:p>
    <w:p>
      <w:pPr>
        <w:pStyle w:val="3"/>
        <w:spacing w:before="0" w:after="0" w:line="520" w:lineRule="exact"/>
        <w:jc w:val="both"/>
        <w:rPr>
          <w:rFonts w:ascii="Times New Roman" w:hAnsi="Times New Roman" w:eastAsia="宋体" w:cs="Times New Roman"/>
          <w:spacing w:val="-1"/>
          <w:sz w:val="30"/>
          <w:szCs w:val="30"/>
          <w:lang w:eastAsia="zh-CN"/>
        </w:rPr>
      </w:pPr>
      <w:r>
        <w:rPr>
          <w:rFonts w:hint="eastAsia" w:ascii="Times New Roman" w:hAnsi="Times New Roman" w:eastAsia="宋体" w:cs="Times New Roman"/>
          <w:spacing w:val="-1"/>
          <w:sz w:val="30"/>
          <w:szCs w:val="30"/>
          <w:lang w:eastAsia="zh-CN"/>
        </w:rPr>
        <w:t>　　</w:t>
      </w:r>
    </w:p>
    <w:p>
      <w:pPr>
        <w:pStyle w:val="3"/>
        <w:spacing w:before="0" w:after="0" w:line="520" w:lineRule="exact"/>
        <w:jc w:val="both"/>
        <w:rPr>
          <w:rFonts w:ascii="Times New Roman" w:hAnsi="Times New Roman" w:eastAsia="宋体" w:cs="Times New Roman"/>
          <w:spacing w:val="-1"/>
          <w:sz w:val="30"/>
          <w:szCs w:val="30"/>
          <w:lang w:eastAsia="zh-CN"/>
        </w:rPr>
      </w:pPr>
      <w:r>
        <w:rPr>
          <w:rFonts w:hint="eastAsia" w:ascii="Times New Roman" w:hAnsi="Times New Roman" w:eastAsia="宋体" w:cs="Times New Roman"/>
          <w:spacing w:val="-1"/>
          <w:sz w:val="30"/>
          <w:szCs w:val="30"/>
          <w:lang w:eastAsia="zh-CN"/>
        </w:rPr>
        <w:t>　　</w:t>
      </w:r>
    </w:p>
    <w:p>
      <w:pPr>
        <w:pStyle w:val="3"/>
        <w:spacing w:before="0" w:after="0" w:line="520" w:lineRule="exact"/>
        <w:jc w:val="center"/>
        <w:rPr>
          <w:rFonts w:ascii="Times New Roman" w:hAnsi="Times New Roman" w:eastAsia="宋体" w:cs="Times New Roman"/>
          <w:spacing w:val="-1"/>
          <w:sz w:val="30"/>
          <w:szCs w:val="30"/>
          <w:lang w:eastAsia="zh-CN"/>
        </w:rPr>
      </w:pPr>
      <w:r>
        <w:rPr>
          <w:rFonts w:hint="eastAsia" w:ascii="Times New Roman" w:hAnsi="Times New Roman" w:eastAsia="宋体" w:cs="Times New Roman"/>
          <w:spacing w:val="-1"/>
          <w:sz w:val="30"/>
          <w:szCs w:val="30"/>
          <w:lang w:val="en-US" w:eastAsia="zh-CN"/>
        </w:rPr>
        <w:t xml:space="preserve">   </w:t>
      </w:r>
      <w:r>
        <w:rPr>
          <w:rFonts w:ascii="Times New Roman" w:hAnsi="Times New Roman" w:eastAsia="宋体" w:cs="Times New Roman"/>
          <w:spacing w:val="-1"/>
          <w:sz w:val="30"/>
          <w:szCs w:val="30"/>
          <w:lang w:val="en-US" w:eastAsia="zh-CN"/>
        </w:rPr>
        <w:t>图1</w:t>
      </w:r>
    </w:p>
    <w:p>
      <w:pPr>
        <w:pStyle w:val="3"/>
        <w:spacing w:before="0" w:after="0" w:line="520" w:lineRule="exact"/>
        <w:jc w:val="both"/>
        <w:rPr>
          <w:rFonts w:ascii="Times New Roman" w:hAnsi="Times New Roman" w:eastAsia="宋体" w:cs="Times New Roman"/>
          <w:sz w:val="30"/>
          <w:szCs w:val="30"/>
          <w:lang w:eastAsia="zh-CN"/>
        </w:rPr>
      </w:pPr>
      <w:r>
        <w:rPr>
          <w:rFonts w:ascii="Times New Roman" w:hAnsi="Times New Roman" w:cs="Times New Roman"/>
          <w:sz w:val="30"/>
          <w:szCs w:val="30"/>
          <w:lang w:val="en-US" w:eastAsia="zh-CN"/>
        </w:rPr>
        <w:drawing>
          <wp:anchor distT="0" distB="0" distL="114300" distR="114300" simplePos="0" relativeHeight="251661312" behindDoc="0" locked="0" layoutInCell="1" allowOverlap="1">
            <wp:simplePos x="0" y="0"/>
            <wp:positionH relativeFrom="page">
              <wp:posOffset>1859280</wp:posOffset>
            </wp:positionH>
            <wp:positionV relativeFrom="paragraph">
              <wp:posOffset>1031240</wp:posOffset>
            </wp:positionV>
            <wp:extent cx="4488815" cy="1595120"/>
            <wp:effectExtent l="0" t="0" r="6985" b="5080"/>
            <wp:wrapTopAndBottom/>
            <wp:docPr id="2"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jpeg"/>
                    <pic:cNvPicPr>
                      <a:picLocks noChangeAspect="1"/>
                    </pic:cNvPicPr>
                  </pic:nvPicPr>
                  <pic:blipFill>
                    <a:blip r:embed="rId7" cstate="print"/>
                    <a:stretch>
                      <a:fillRect/>
                    </a:stretch>
                  </pic:blipFill>
                  <pic:spPr>
                    <a:xfrm>
                      <a:off x="0" y="0"/>
                      <a:ext cx="4488815" cy="1595120"/>
                    </a:xfrm>
                    <a:prstGeom prst="rect">
                      <a:avLst/>
                    </a:prstGeom>
                    <a:noFill/>
                    <a:ln>
                      <a:noFill/>
                    </a:ln>
                  </pic:spPr>
                </pic:pic>
              </a:graphicData>
            </a:graphic>
          </wp:anchor>
        </w:drawing>
      </w:r>
      <w:r>
        <w:rPr>
          <w:rFonts w:hint="eastAsia" w:ascii="Times New Roman" w:hAnsi="Times New Roman" w:eastAsia="宋体" w:cs="Times New Roman"/>
          <w:spacing w:val="-1"/>
          <w:sz w:val="30"/>
          <w:szCs w:val="30"/>
          <w:lang w:eastAsia="zh-CN"/>
        </w:rPr>
        <w:t>　　</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2</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低洼路段</w:t>
      </w:r>
      <w:r>
        <w:rPr>
          <w:rFonts w:ascii="Times New Roman" w:hAnsi="Times New Roman" w:cs="Times New Roman"/>
          <w:spacing w:val="-1"/>
          <w:sz w:val="30"/>
          <w:szCs w:val="30"/>
          <w:lang w:eastAsia="zh-CN"/>
        </w:rPr>
        <w:t>配置方式：公路、铁路两旁内侧以灌木为主，</w:t>
      </w:r>
      <w:r>
        <w:rPr>
          <w:rFonts w:ascii="Times New Roman" w:hAnsi="Times New Roman" w:cs="Times New Roman"/>
          <w:spacing w:val="-147"/>
          <w:sz w:val="30"/>
          <w:szCs w:val="30"/>
          <w:lang w:eastAsia="zh-CN"/>
        </w:rPr>
        <w:t xml:space="preserve"> </w:t>
      </w:r>
      <w:r>
        <w:rPr>
          <w:rFonts w:ascii="Times New Roman" w:hAnsi="Times New Roman" w:cs="Times New Roman"/>
          <w:spacing w:val="-2"/>
          <w:sz w:val="30"/>
          <w:szCs w:val="30"/>
          <w:lang w:eastAsia="zh-CN"/>
        </w:rPr>
        <w:t>外侧以杨树、柳树、水杉、</w:t>
      </w:r>
      <w:r>
        <w:rPr>
          <w:rFonts w:ascii="Times New Roman" w:hAnsi="Times New Roman" w:eastAsia="宋体" w:cs="Times New Roman"/>
          <w:spacing w:val="-2"/>
          <w:sz w:val="30"/>
          <w:szCs w:val="30"/>
          <w:lang w:val="en-US" w:eastAsia="zh-CN"/>
        </w:rPr>
        <w:t>水冬瓜</w:t>
      </w:r>
      <w:r>
        <w:rPr>
          <w:rFonts w:ascii="Times New Roman" w:hAnsi="Times New Roman" w:cs="Times New Roman"/>
          <w:spacing w:val="-2"/>
          <w:sz w:val="30"/>
          <w:szCs w:val="30"/>
          <w:lang w:eastAsia="zh-CN"/>
        </w:rPr>
        <w:t>、枫杨、乌桕中的</w:t>
      </w:r>
      <w:r>
        <w:rPr>
          <w:rFonts w:ascii="Times New Roman" w:hAnsi="Times New Roman" w:cs="Times New Roman"/>
          <w:sz w:val="30"/>
          <w:szCs w:val="30"/>
          <w:lang w:eastAsia="zh-CN"/>
        </w:rPr>
        <w:t>一种或两种树种为主。</w:t>
      </w:r>
      <w:r>
        <w:rPr>
          <w:rFonts w:ascii="Times New Roman" w:hAnsi="Times New Roman" w:eastAsia="宋体" w:cs="Times New Roman"/>
          <w:sz w:val="30"/>
          <w:szCs w:val="30"/>
          <w:lang w:eastAsia="zh-CN"/>
        </w:rPr>
        <w:t>（</w:t>
      </w:r>
      <w:r>
        <w:rPr>
          <w:rFonts w:ascii="Times New Roman" w:hAnsi="Times New Roman" w:eastAsia="宋体" w:cs="Times New Roman"/>
          <w:sz w:val="30"/>
          <w:szCs w:val="30"/>
          <w:lang w:val="en-US" w:eastAsia="zh-CN"/>
        </w:rPr>
        <w:t>见图2</w:t>
      </w:r>
      <w:r>
        <w:rPr>
          <w:rFonts w:ascii="Times New Roman" w:hAnsi="Times New Roman" w:eastAsia="宋体" w:cs="Times New Roman"/>
          <w:sz w:val="30"/>
          <w:szCs w:val="30"/>
          <w:lang w:eastAsia="zh-CN"/>
        </w:rPr>
        <w:t>）</w:t>
      </w:r>
    </w:p>
    <w:p>
      <w:pPr>
        <w:jc w:val="both"/>
        <w:rPr>
          <w:rFonts w:ascii="Times New Roman" w:hAnsi="Times New Roman" w:cs="Times New Roman"/>
          <w:sz w:val="30"/>
          <w:szCs w:val="30"/>
          <w:lang w:val="en-US" w:eastAsia="zh-CN"/>
        </w:rPr>
      </w:pPr>
      <w:r>
        <w:rPr>
          <w:rFonts w:ascii="Times New Roman" w:hAnsi="Times New Roman" w:cs="Times New Roman"/>
          <w:sz w:val="30"/>
          <w:szCs w:val="30"/>
          <w:lang w:val="en-US" w:eastAsia="zh-CN"/>
        </w:rPr>
        <w:t>图2</w:t>
      </w:r>
    </w:p>
    <w:p>
      <w:pPr>
        <w:pStyle w:val="3"/>
        <w:spacing w:before="0" w:after="0" w:line="520" w:lineRule="exact"/>
        <w:jc w:val="both"/>
        <w:rPr>
          <w:rFonts w:ascii="Times New Roman" w:hAnsi="Times New Roman" w:eastAsia="宋体" w:cs="Times New Roman"/>
          <w:b/>
          <w:sz w:val="30"/>
          <w:szCs w:val="30"/>
          <w:lang w:eastAsia="zh-CN"/>
        </w:rPr>
      </w:pPr>
      <w:r>
        <w:rPr>
          <w:rFonts w:ascii="Times New Roman" w:hAnsi="Times New Roman" w:eastAsia="宋体" w:cs="Times New Roman"/>
          <w:b/>
          <w:sz w:val="30"/>
          <w:szCs w:val="30"/>
          <w:lang w:val="en-US" w:eastAsia="zh-CN"/>
        </w:rPr>
        <w:t>2.国道、省道</w:t>
      </w:r>
      <w:r>
        <w:rPr>
          <w:rFonts w:ascii="Times New Roman" w:hAnsi="Times New Roman" w:eastAsia="宋体" w:cs="Times New Roman"/>
          <w:b/>
          <w:sz w:val="30"/>
          <w:szCs w:val="30"/>
          <w:lang w:eastAsia="zh-CN"/>
        </w:rPr>
        <w:t>建设模型</w:t>
      </w:r>
    </w:p>
    <w:p>
      <w:pPr>
        <w:pStyle w:val="3"/>
        <w:spacing w:before="0" w:after="0" w:line="520" w:lineRule="exact"/>
        <w:jc w:val="both"/>
        <w:rPr>
          <w:rFonts w:ascii="Times New Roman" w:hAnsi="Times New Roman" w:eastAsia="宋体" w:cs="Times New Roman"/>
          <w:sz w:val="30"/>
          <w:szCs w:val="30"/>
          <w:lang w:eastAsia="zh-CN"/>
        </w:rPr>
      </w:pPr>
      <w:r>
        <w:rPr>
          <w:rFonts w:hint="eastAsia" w:ascii="Times New Roman" w:hAnsi="Times New Roman" w:cs="Times New Roman"/>
          <w:spacing w:val="-12"/>
          <w:sz w:val="30"/>
          <w:szCs w:val="30"/>
          <w:lang w:eastAsia="zh-CN"/>
        </w:rPr>
        <w:t>　　</w:t>
      </w:r>
      <w:r>
        <w:rPr>
          <w:rFonts w:ascii="Times New Roman" w:hAnsi="Times New Roman" w:cs="Times New Roman"/>
          <w:spacing w:val="-12"/>
          <w:sz w:val="30"/>
          <w:szCs w:val="30"/>
          <w:lang w:eastAsia="zh-CN"/>
        </w:rPr>
        <w:t>（</w:t>
      </w:r>
      <w:r>
        <w:rPr>
          <w:rFonts w:ascii="Times New Roman" w:hAnsi="Times New Roman" w:cs="Times New Roman"/>
          <w:spacing w:val="-12"/>
          <w:sz w:val="30"/>
          <w:szCs w:val="30"/>
          <w:lang w:val="en-US" w:eastAsia="zh-CN"/>
        </w:rPr>
        <w:t>1</w:t>
      </w:r>
      <w:r>
        <w:rPr>
          <w:rFonts w:ascii="Times New Roman" w:hAnsi="Times New Roman" w:cs="Times New Roman"/>
          <w:spacing w:val="-12"/>
          <w:sz w:val="30"/>
          <w:szCs w:val="30"/>
          <w:lang w:eastAsia="zh-CN"/>
        </w:rPr>
        <w:t>）</w:t>
      </w:r>
      <w:r>
        <w:rPr>
          <w:rFonts w:ascii="Times New Roman" w:hAnsi="Times New Roman" w:cs="Times New Roman"/>
          <w:spacing w:val="-12"/>
          <w:sz w:val="30"/>
          <w:szCs w:val="30"/>
          <w:lang w:val="en-US" w:eastAsia="zh-CN"/>
        </w:rPr>
        <w:t>平坦路段配置方式：</w:t>
      </w:r>
      <w:r>
        <w:rPr>
          <w:rFonts w:ascii="Times New Roman" w:hAnsi="Times New Roman" w:cs="Times New Roman"/>
          <w:spacing w:val="-12"/>
          <w:sz w:val="30"/>
          <w:szCs w:val="30"/>
          <w:lang w:eastAsia="zh-CN"/>
        </w:rPr>
        <w:t>品字形配置，充分考虑空间的配置</w:t>
      </w:r>
      <w:r>
        <w:rPr>
          <w:rFonts w:ascii="Times New Roman" w:hAnsi="Times New Roman" w:cs="Times New Roman"/>
          <w:spacing w:val="-13"/>
          <w:sz w:val="30"/>
          <w:szCs w:val="30"/>
          <w:lang w:eastAsia="zh-CN"/>
        </w:rPr>
        <w:t xml:space="preserve">和季相变化，实行乔灌、常绿与落叶混交。在公路两旁内侧栽植 </w:t>
      </w:r>
      <w:r>
        <w:rPr>
          <w:rFonts w:ascii="Times New Roman" w:hAnsi="Times New Roman" w:eastAsia="宋体" w:cs="Times New Roman"/>
          <w:sz w:val="30"/>
          <w:szCs w:val="30"/>
          <w:lang w:eastAsia="zh-CN"/>
        </w:rPr>
        <w:t>1</w:t>
      </w:r>
      <w:r>
        <w:rPr>
          <w:rFonts w:ascii="Times New Roman" w:hAnsi="Times New Roman" w:eastAsia="宋体" w:cs="Times New Roman"/>
          <w:sz w:val="30"/>
          <w:szCs w:val="30"/>
          <w:lang w:val="en-US" w:eastAsia="zh-CN"/>
        </w:rPr>
        <w:t>-</w:t>
      </w:r>
      <w:r>
        <w:rPr>
          <w:rFonts w:ascii="Times New Roman" w:hAnsi="Times New Roman" w:eastAsia="宋体" w:cs="Times New Roman"/>
          <w:sz w:val="30"/>
          <w:szCs w:val="30"/>
          <w:lang w:eastAsia="zh-CN"/>
        </w:rPr>
        <w:t>2</w:t>
      </w:r>
      <w:r>
        <w:rPr>
          <w:rFonts w:ascii="Times New Roman" w:hAnsi="Times New Roman" w:eastAsia="宋体" w:cs="Times New Roman"/>
          <w:spacing w:val="-70"/>
          <w:sz w:val="30"/>
          <w:szCs w:val="30"/>
          <w:lang w:eastAsia="zh-CN"/>
        </w:rPr>
        <w:t xml:space="preserve"> </w:t>
      </w:r>
      <w:r>
        <w:rPr>
          <w:rFonts w:ascii="Times New Roman" w:hAnsi="Times New Roman" w:cs="Times New Roman"/>
          <w:sz w:val="30"/>
          <w:szCs w:val="30"/>
          <w:lang w:eastAsia="zh-CN"/>
        </w:rPr>
        <w:t>行灌木，外侧根据地形栽植不同宽度乔木树种。</w:t>
      </w:r>
      <w:r>
        <w:rPr>
          <w:rFonts w:ascii="Times New Roman" w:hAnsi="Times New Roman" w:eastAsia="宋体" w:cs="Times New Roman"/>
          <w:sz w:val="30"/>
          <w:szCs w:val="30"/>
          <w:lang w:eastAsia="zh-CN"/>
        </w:rPr>
        <w:t>（</w:t>
      </w:r>
      <w:r>
        <w:rPr>
          <w:rFonts w:ascii="Times New Roman" w:hAnsi="Times New Roman" w:eastAsia="宋体" w:cs="Times New Roman"/>
          <w:sz w:val="30"/>
          <w:szCs w:val="30"/>
          <w:lang w:val="en-US" w:eastAsia="zh-CN"/>
        </w:rPr>
        <w:t>见图3</w:t>
      </w:r>
      <w:r>
        <w:rPr>
          <w:rFonts w:ascii="Times New Roman" w:hAnsi="Times New Roman" w:eastAsia="宋体" w:cs="Times New Roman"/>
          <w:sz w:val="30"/>
          <w:szCs w:val="30"/>
          <w:lang w:eastAsia="zh-CN"/>
        </w:rPr>
        <w:t>）</w:t>
      </w:r>
    </w:p>
    <w:p>
      <w:pPr>
        <w:pStyle w:val="3"/>
        <w:spacing w:before="0" w:after="0" w:line="520" w:lineRule="exact"/>
        <w:jc w:val="both"/>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anchor distT="0" distB="0" distL="114300" distR="114300" simplePos="0" relativeHeight="251662336" behindDoc="0" locked="0" layoutInCell="1" allowOverlap="1">
            <wp:simplePos x="0" y="0"/>
            <wp:positionH relativeFrom="page">
              <wp:posOffset>2080895</wp:posOffset>
            </wp:positionH>
            <wp:positionV relativeFrom="paragraph">
              <wp:posOffset>152400</wp:posOffset>
            </wp:positionV>
            <wp:extent cx="4187190" cy="2142490"/>
            <wp:effectExtent l="0" t="0" r="3810" b="6350"/>
            <wp:wrapTopAndBottom/>
            <wp:docPr id="4"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8.jpeg"/>
                    <pic:cNvPicPr>
                      <a:picLocks noChangeAspect="1"/>
                    </pic:cNvPicPr>
                  </pic:nvPicPr>
                  <pic:blipFill>
                    <a:blip r:embed="rId8" cstate="print"/>
                    <a:stretch>
                      <a:fillRect/>
                    </a:stretch>
                  </pic:blipFill>
                  <pic:spPr>
                    <a:xfrm>
                      <a:off x="0" y="0"/>
                      <a:ext cx="4187190" cy="2142490"/>
                    </a:xfrm>
                    <a:prstGeom prst="rect">
                      <a:avLst/>
                    </a:prstGeom>
                    <a:noFill/>
                    <a:ln>
                      <a:noFill/>
                    </a:ln>
                  </pic:spPr>
                </pic:pic>
              </a:graphicData>
            </a:graphic>
          </wp:anchor>
        </w:drawing>
      </w:r>
      <w:r>
        <w:rPr>
          <w:rFonts w:ascii="Times New Roman" w:hAnsi="Times New Roman" w:cs="Times New Roman"/>
          <w:sz w:val="30"/>
          <w:szCs w:val="30"/>
          <w:lang w:val="en-US" w:eastAsia="zh-CN"/>
        </w:rPr>
        <w:t>图3</w:t>
      </w:r>
    </w:p>
    <w:p>
      <w:pPr>
        <w:jc w:val="both"/>
        <w:rPr>
          <w:rFonts w:ascii="Times New Roman" w:hAnsi="Times New Roman" w:eastAsia="宋体" w:cs="Times New Roman"/>
          <w:spacing w:val="-1"/>
          <w:sz w:val="30"/>
          <w:szCs w:val="30"/>
          <w:lang w:eastAsia="zh-CN"/>
        </w:rPr>
      </w:pPr>
      <w:r>
        <w:rPr>
          <w:rFonts w:hint="eastAsia" w:ascii="Times New Roman" w:hAnsi="Times New Roman" w:eastAsia="宋体" w:cs="Times New Roman"/>
          <w:spacing w:val="-1"/>
          <w:sz w:val="30"/>
          <w:szCs w:val="30"/>
          <w:lang w:eastAsia="zh-CN"/>
        </w:rPr>
        <w:t>　　</w:t>
      </w:r>
    </w:p>
    <w:p>
      <w:pPr>
        <w:jc w:val="both"/>
        <w:rPr>
          <w:rFonts w:ascii="Times New Roman" w:hAnsi="Times New Roman" w:eastAsia="宋体" w:cs="Times New Roman"/>
          <w:sz w:val="30"/>
          <w:szCs w:val="30"/>
          <w:lang w:eastAsia="zh-CN"/>
        </w:rPr>
      </w:pPr>
      <w:r>
        <w:rPr>
          <w:rFonts w:hint="eastAsia" w:ascii="Times New Roman" w:hAnsi="Times New Roman" w:eastAsia="宋体" w:cs="Times New Roman"/>
          <w:spacing w:val="-1"/>
          <w:sz w:val="30"/>
          <w:szCs w:val="30"/>
          <w:lang w:eastAsia="zh-CN"/>
        </w:rPr>
        <w:t>　　</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2</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低洼路段</w:t>
      </w:r>
      <w:r>
        <w:rPr>
          <w:rFonts w:ascii="Times New Roman" w:hAnsi="Times New Roman" w:cs="Times New Roman"/>
          <w:spacing w:val="-1"/>
          <w:sz w:val="30"/>
          <w:szCs w:val="30"/>
          <w:lang w:eastAsia="zh-CN"/>
        </w:rPr>
        <w:t>配置方式：</w:t>
      </w:r>
      <w:r>
        <w:rPr>
          <w:rFonts w:ascii="Times New Roman" w:hAnsi="Times New Roman" w:cs="Times New Roman"/>
          <w:spacing w:val="-12"/>
          <w:sz w:val="30"/>
          <w:szCs w:val="30"/>
          <w:lang w:eastAsia="zh-CN"/>
        </w:rPr>
        <w:t>公路两旁内侧以灌木为主，外侧以</w:t>
      </w:r>
      <w:r>
        <w:rPr>
          <w:rFonts w:ascii="Times New Roman" w:hAnsi="Times New Roman" w:cs="Times New Roman"/>
          <w:spacing w:val="-13"/>
          <w:sz w:val="30"/>
          <w:szCs w:val="30"/>
          <w:lang w:eastAsia="zh-CN"/>
        </w:rPr>
        <w:t>杨树、水杉、枫杨、乌桕、</w:t>
      </w:r>
      <w:r>
        <w:rPr>
          <w:rFonts w:ascii="Times New Roman" w:hAnsi="Times New Roman" w:eastAsia="宋体" w:cs="Times New Roman"/>
          <w:spacing w:val="-2"/>
          <w:sz w:val="30"/>
          <w:szCs w:val="30"/>
          <w:lang w:val="en-US" w:eastAsia="zh-CN"/>
        </w:rPr>
        <w:t>水冬瓜</w:t>
      </w:r>
      <w:r>
        <w:rPr>
          <w:rFonts w:ascii="Times New Roman" w:hAnsi="Times New Roman" w:cs="Times New Roman"/>
          <w:spacing w:val="-2"/>
          <w:sz w:val="30"/>
          <w:szCs w:val="30"/>
          <w:lang w:eastAsia="zh-CN"/>
        </w:rPr>
        <w:t>、</w:t>
      </w:r>
      <w:r>
        <w:rPr>
          <w:rFonts w:ascii="Times New Roman" w:hAnsi="Times New Roman" w:cs="Times New Roman"/>
          <w:spacing w:val="-13"/>
          <w:sz w:val="30"/>
          <w:szCs w:val="30"/>
          <w:lang w:eastAsia="zh-CN"/>
        </w:rPr>
        <w:t>柳树等中的一种</w:t>
      </w:r>
      <w:r>
        <w:rPr>
          <w:rFonts w:ascii="Times New Roman" w:hAnsi="Times New Roman" w:cs="Times New Roman"/>
          <w:sz w:val="30"/>
          <w:szCs w:val="30"/>
          <w:lang w:eastAsia="zh-CN"/>
        </w:rPr>
        <w:t>或两种树种为主，进行品字形配置。</w:t>
      </w:r>
      <w:r>
        <w:rPr>
          <w:rFonts w:ascii="Times New Roman" w:hAnsi="Times New Roman" w:eastAsia="宋体" w:cs="Times New Roman"/>
          <w:sz w:val="30"/>
          <w:szCs w:val="30"/>
          <w:lang w:eastAsia="zh-CN"/>
        </w:rPr>
        <w:t>（</w:t>
      </w:r>
      <w:r>
        <w:rPr>
          <w:rFonts w:ascii="Times New Roman" w:hAnsi="Times New Roman" w:eastAsia="宋体" w:cs="Times New Roman"/>
          <w:sz w:val="30"/>
          <w:szCs w:val="30"/>
          <w:lang w:val="en-US" w:eastAsia="zh-CN"/>
        </w:rPr>
        <w:t>见图4</w:t>
      </w:r>
      <w:r>
        <w:rPr>
          <w:rFonts w:ascii="Times New Roman" w:hAnsi="Times New Roman" w:eastAsia="宋体" w:cs="Times New Roman"/>
          <w:sz w:val="30"/>
          <w:szCs w:val="30"/>
          <w:lang w:eastAsia="zh-CN"/>
        </w:rPr>
        <w:t>）</w:t>
      </w:r>
    </w:p>
    <w:p>
      <w:pPr>
        <w:jc w:val="both"/>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anchor distT="0" distB="0" distL="114300" distR="114300" simplePos="0" relativeHeight="251663360" behindDoc="0" locked="0" layoutInCell="1" allowOverlap="1">
            <wp:simplePos x="0" y="0"/>
            <wp:positionH relativeFrom="page">
              <wp:posOffset>1956435</wp:posOffset>
            </wp:positionH>
            <wp:positionV relativeFrom="paragraph">
              <wp:posOffset>314960</wp:posOffset>
            </wp:positionV>
            <wp:extent cx="4072890" cy="1911350"/>
            <wp:effectExtent l="0" t="0" r="11430" b="8890"/>
            <wp:wrapTopAndBottom/>
            <wp:docPr id="12"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jpeg"/>
                    <pic:cNvPicPr>
                      <a:picLocks noChangeAspect="1"/>
                    </pic:cNvPicPr>
                  </pic:nvPicPr>
                  <pic:blipFill>
                    <a:blip r:embed="rId8" cstate="print"/>
                    <a:stretch>
                      <a:fillRect/>
                    </a:stretch>
                  </pic:blipFill>
                  <pic:spPr>
                    <a:xfrm>
                      <a:off x="0" y="0"/>
                      <a:ext cx="4072890" cy="1911350"/>
                    </a:xfrm>
                    <a:prstGeom prst="rect">
                      <a:avLst/>
                    </a:prstGeom>
                    <a:noFill/>
                    <a:ln>
                      <a:noFill/>
                    </a:ln>
                  </pic:spPr>
                </pic:pic>
              </a:graphicData>
            </a:graphic>
          </wp:anchor>
        </w:drawing>
      </w:r>
      <w:r>
        <w:rPr>
          <w:rFonts w:ascii="Times New Roman" w:hAnsi="Times New Roman" w:cs="Times New Roman"/>
          <w:sz w:val="30"/>
          <w:szCs w:val="30"/>
          <w:lang w:val="en-US" w:eastAsia="zh-CN"/>
        </w:rPr>
        <w:t>图4</w:t>
      </w:r>
      <w:r>
        <w:rPr>
          <w:rFonts w:hint="eastAsia" w:ascii="Times New Roman" w:hAnsi="Times New Roman" w:cs="Times New Roman"/>
          <w:sz w:val="30"/>
          <w:szCs w:val="30"/>
          <w:lang w:val="en-US" w:eastAsia="zh-CN"/>
        </w:rPr>
        <w:t xml:space="preserve">                                                                                                                                                                                                                                                                                                                                                                                                                                                                                                                                                                                             </w:t>
      </w:r>
    </w:p>
    <w:p>
      <w:pPr>
        <w:pStyle w:val="3"/>
        <w:spacing w:before="0" w:after="0" w:line="520" w:lineRule="exact"/>
        <w:jc w:val="both"/>
        <w:rPr>
          <w:rFonts w:ascii="Times New Roman" w:hAnsi="Times New Roman" w:eastAsia="宋体" w:cs="Times New Roman"/>
          <w:b/>
          <w:sz w:val="30"/>
          <w:szCs w:val="30"/>
          <w:lang w:val="en-US" w:eastAsia="zh-CN"/>
        </w:rPr>
      </w:pPr>
    </w:p>
    <w:p>
      <w:pPr>
        <w:pStyle w:val="3"/>
        <w:spacing w:before="0" w:after="0" w:line="520" w:lineRule="exact"/>
        <w:jc w:val="both"/>
        <w:rPr>
          <w:rFonts w:ascii="Times New Roman" w:hAnsi="Times New Roman" w:eastAsia="宋体" w:cs="Times New Roman"/>
          <w:b/>
          <w:sz w:val="30"/>
          <w:szCs w:val="30"/>
          <w:lang w:val="en-US" w:eastAsia="zh-CN"/>
        </w:rPr>
      </w:pPr>
      <w:r>
        <w:rPr>
          <w:rFonts w:ascii="Times New Roman" w:hAnsi="Times New Roman" w:eastAsia="宋体" w:cs="Times New Roman"/>
          <w:b/>
          <w:sz w:val="30"/>
          <w:szCs w:val="30"/>
          <w:lang w:val="en-US" w:eastAsia="zh-CN"/>
        </w:rPr>
        <w:t>3.县、乡道路建设模型</w:t>
      </w:r>
    </w:p>
    <w:p>
      <w:pPr>
        <w:pStyle w:val="3"/>
        <w:spacing w:before="0" w:after="0" w:line="520" w:lineRule="exact"/>
        <w:jc w:val="both"/>
        <w:rPr>
          <w:rFonts w:ascii="Times New Roman" w:hAnsi="Times New Roman" w:eastAsia="宋体" w:cs="Times New Roman"/>
          <w:sz w:val="30"/>
          <w:szCs w:val="30"/>
          <w:lang w:eastAsia="zh-CN"/>
        </w:rPr>
      </w:pPr>
      <w:r>
        <w:rPr>
          <w:rFonts w:hint="eastAsia" w:ascii="Times New Roman" w:hAnsi="Times New Roman" w:cs="Times New Roman"/>
          <w:spacing w:val="-12"/>
          <w:sz w:val="30"/>
          <w:szCs w:val="30"/>
          <w:lang w:eastAsia="zh-CN"/>
        </w:rPr>
        <w:t>　　</w:t>
      </w:r>
      <w:r>
        <w:rPr>
          <w:rFonts w:ascii="Times New Roman" w:hAnsi="Times New Roman" w:cs="Times New Roman"/>
          <w:spacing w:val="-12"/>
          <w:sz w:val="30"/>
          <w:szCs w:val="30"/>
          <w:lang w:eastAsia="zh-CN"/>
        </w:rPr>
        <w:t>（</w:t>
      </w:r>
      <w:r>
        <w:rPr>
          <w:rFonts w:ascii="Times New Roman" w:hAnsi="Times New Roman" w:cs="Times New Roman"/>
          <w:spacing w:val="-12"/>
          <w:sz w:val="30"/>
          <w:szCs w:val="30"/>
          <w:lang w:val="en-US" w:eastAsia="zh-CN"/>
        </w:rPr>
        <w:t>1</w:t>
      </w:r>
      <w:r>
        <w:rPr>
          <w:rFonts w:ascii="Times New Roman" w:hAnsi="Times New Roman" w:cs="Times New Roman"/>
          <w:spacing w:val="-12"/>
          <w:sz w:val="30"/>
          <w:szCs w:val="30"/>
          <w:lang w:eastAsia="zh-CN"/>
        </w:rPr>
        <w:t>）</w:t>
      </w:r>
      <w:r>
        <w:rPr>
          <w:rFonts w:ascii="Times New Roman" w:hAnsi="Times New Roman" w:cs="Times New Roman"/>
          <w:spacing w:val="-12"/>
          <w:sz w:val="30"/>
          <w:szCs w:val="30"/>
          <w:lang w:val="en-US" w:eastAsia="zh-CN"/>
        </w:rPr>
        <w:t>平坦路段配置方式：</w:t>
      </w:r>
      <w:r>
        <w:rPr>
          <w:rFonts w:ascii="Times New Roman" w:hAnsi="Times New Roman" w:cs="Times New Roman"/>
          <w:spacing w:val="-12"/>
          <w:sz w:val="30"/>
          <w:szCs w:val="30"/>
          <w:lang w:eastAsia="zh-CN"/>
        </w:rPr>
        <w:t>品字形配置，充分考虑空间的配置</w:t>
      </w:r>
      <w:r>
        <w:rPr>
          <w:rFonts w:ascii="Times New Roman" w:hAnsi="Times New Roman" w:cs="Times New Roman"/>
          <w:spacing w:val="-13"/>
          <w:sz w:val="30"/>
          <w:szCs w:val="30"/>
          <w:lang w:eastAsia="zh-CN"/>
        </w:rPr>
        <w:t>和季相变化，实行乔灌、常绿与落叶混交。路肩内侧</w:t>
      </w:r>
      <w:r>
        <w:rPr>
          <w:rFonts w:ascii="Times New Roman" w:hAnsi="Times New Roman" w:cs="Times New Roman"/>
          <w:sz w:val="30"/>
          <w:szCs w:val="30"/>
          <w:lang w:eastAsia="zh-CN"/>
        </w:rPr>
        <w:t>配置灌木，外侧配置乔木。</w:t>
      </w:r>
      <w:r>
        <w:rPr>
          <w:rFonts w:ascii="Times New Roman" w:hAnsi="Times New Roman" w:eastAsia="宋体" w:cs="Times New Roman"/>
          <w:sz w:val="30"/>
          <w:szCs w:val="30"/>
          <w:lang w:eastAsia="zh-CN"/>
        </w:rPr>
        <w:t>（</w:t>
      </w:r>
      <w:r>
        <w:rPr>
          <w:rFonts w:ascii="Times New Roman" w:hAnsi="Times New Roman" w:eastAsia="宋体" w:cs="Times New Roman"/>
          <w:sz w:val="30"/>
          <w:szCs w:val="30"/>
          <w:lang w:val="en-US" w:eastAsia="zh-CN"/>
        </w:rPr>
        <w:t>见图5</w:t>
      </w:r>
      <w:r>
        <w:rPr>
          <w:rFonts w:ascii="Times New Roman" w:hAnsi="Times New Roman" w:eastAsia="宋体" w:cs="Times New Roman"/>
          <w:sz w:val="30"/>
          <w:szCs w:val="30"/>
          <w:lang w:eastAsia="zh-CN"/>
        </w:rPr>
        <w:t>）</w:t>
      </w:r>
    </w:p>
    <w:p>
      <w:pPr>
        <w:pStyle w:val="3"/>
        <w:spacing w:before="0" w:after="0" w:line="520" w:lineRule="exact"/>
        <w:jc w:val="both"/>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anchor distT="0" distB="0" distL="114300" distR="114300" simplePos="0" relativeHeight="251664384" behindDoc="0" locked="0" layoutInCell="1" allowOverlap="1">
            <wp:simplePos x="0" y="0"/>
            <wp:positionH relativeFrom="column">
              <wp:posOffset>790575</wp:posOffset>
            </wp:positionH>
            <wp:positionV relativeFrom="paragraph">
              <wp:posOffset>304800</wp:posOffset>
            </wp:positionV>
            <wp:extent cx="4389120" cy="1845945"/>
            <wp:effectExtent l="0" t="0" r="0" b="13335"/>
            <wp:wrapSquare wrapText="bothSides"/>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9" cstate="print"/>
                    <a:stretch>
                      <a:fillRect/>
                    </a:stretch>
                  </pic:blipFill>
                  <pic:spPr>
                    <a:xfrm>
                      <a:off x="0" y="0"/>
                      <a:ext cx="4389120" cy="1845945"/>
                    </a:xfrm>
                    <a:prstGeom prst="rect">
                      <a:avLst/>
                    </a:prstGeom>
                    <a:noFill/>
                    <a:ln>
                      <a:noFill/>
                    </a:ln>
                  </pic:spPr>
                </pic:pic>
              </a:graphicData>
            </a:graphic>
          </wp:anchor>
        </w:drawing>
      </w:r>
      <w:r>
        <w:rPr>
          <w:rFonts w:hint="eastAsia" w:ascii="Times New Roman" w:hAnsi="Times New Roman" w:cs="Times New Roman"/>
          <w:sz w:val="30"/>
          <w:szCs w:val="30"/>
          <w:lang w:val="en-US" w:eastAsia="zh-CN"/>
        </w:rPr>
        <w:t>　　</w:t>
      </w:r>
    </w:p>
    <w:p>
      <w:pPr>
        <w:pStyle w:val="3"/>
        <w:spacing w:before="0" w:after="0" w:line="520" w:lineRule="exact"/>
        <w:jc w:val="both"/>
        <w:rPr>
          <w:rFonts w:ascii="Times New Roman" w:hAnsi="Times New Roman" w:eastAsia="宋体" w:cs="Times New Roman"/>
          <w:b/>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r>
        <w:rPr>
          <w:rFonts w:ascii="Times New Roman" w:hAnsi="Times New Roman" w:cs="Times New Roman"/>
          <w:sz w:val="30"/>
          <w:szCs w:val="30"/>
          <w:lang w:val="en-US" w:eastAsia="zh-CN"/>
        </w:rPr>
        <w:t>图5</w:t>
      </w:r>
    </w:p>
    <w:p>
      <w:pPr>
        <w:tabs>
          <w:tab w:val="left" w:pos="773"/>
        </w:tabs>
        <w:jc w:val="both"/>
        <w:rPr>
          <w:rFonts w:ascii="Times New Roman" w:hAnsi="Times New Roman" w:eastAsia="宋体" w:cs="Times New Roman"/>
          <w:sz w:val="30"/>
          <w:szCs w:val="30"/>
          <w:lang w:eastAsia="zh-CN"/>
        </w:rPr>
      </w:pPr>
      <w:r>
        <w:rPr>
          <w:rFonts w:hint="eastAsia" w:ascii="Times New Roman" w:hAnsi="Times New Roman" w:eastAsia="宋体" w:cs="Times New Roman"/>
          <w:spacing w:val="-1"/>
          <w:sz w:val="30"/>
          <w:szCs w:val="30"/>
          <w:lang w:eastAsia="zh-CN"/>
        </w:rPr>
        <w:t>　　</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2</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低洼路段</w:t>
      </w:r>
      <w:r>
        <w:rPr>
          <w:rFonts w:ascii="Times New Roman" w:hAnsi="Times New Roman" w:cs="Times New Roman"/>
          <w:spacing w:val="-1"/>
          <w:sz w:val="30"/>
          <w:szCs w:val="30"/>
          <w:lang w:eastAsia="zh-CN"/>
        </w:rPr>
        <w:t>配置方式：</w:t>
      </w:r>
      <w:r>
        <w:rPr>
          <w:rFonts w:ascii="Times New Roman" w:hAnsi="Times New Roman" w:cs="Times New Roman"/>
          <w:spacing w:val="-12"/>
          <w:sz w:val="30"/>
          <w:szCs w:val="30"/>
          <w:lang w:eastAsia="zh-CN"/>
        </w:rPr>
        <w:t>路肩两旁内侧栽植灌木，外侧以杨</w:t>
      </w:r>
      <w:r>
        <w:rPr>
          <w:rFonts w:ascii="Times New Roman" w:hAnsi="Times New Roman" w:cs="Times New Roman"/>
          <w:spacing w:val="-14"/>
          <w:sz w:val="30"/>
          <w:szCs w:val="30"/>
          <w:lang w:eastAsia="zh-CN"/>
        </w:rPr>
        <w:t>树、水杉、枫杨、柳树、</w:t>
      </w:r>
      <w:r>
        <w:rPr>
          <w:rFonts w:ascii="Times New Roman" w:hAnsi="Times New Roman" w:eastAsia="宋体" w:cs="Times New Roman"/>
          <w:spacing w:val="-2"/>
          <w:sz w:val="30"/>
          <w:szCs w:val="30"/>
          <w:lang w:val="en-US" w:eastAsia="zh-CN"/>
        </w:rPr>
        <w:t>水冬瓜</w:t>
      </w:r>
      <w:r>
        <w:rPr>
          <w:rFonts w:ascii="Times New Roman" w:hAnsi="Times New Roman" w:cs="Times New Roman"/>
          <w:spacing w:val="-2"/>
          <w:sz w:val="30"/>
          <w:szCs w:val="30"/>
          <w:lang w:eastAsia="zh-CN"/>
        </w:rPr>
        <w:t>、</w:t>
      </w:r>
      <w:r>
        <w:rPr>
          <w:rFonts w:ascii="Times New Roman" w:hAnsi="Times New Roman" w:cs="Times New Roman"/>
          <w:spacing w:val="-14"/>
          <w:sz w:val="30"/>
          <w:szCs w:val="30"/>
          <w:lang w:eastAsia="zh-CN"/>
        </w:rPr>
        <w:t>乌桕等中的一种或</w:t>
      </w:r>
      <w:r>
        <w:rPr>
          <w:rFonts w:ascii="Times New Roman" w:hAnsi="Times New Roman" w:cs="Times New Roman"/>
          <w:sz w:val="30"/>
          <w:szCs w:val="30"/>
          <w:lang w:eastAsia="zh-CN"/>
        </w:rPr>
        <w:t>两种树种为主，进行品字形配置。</w:t>
      </w:r>
      <w:r>
        <w:rPr>
          <w:rFonts w:ascii="Times New Roman" w:hAnsi="Times New Roman" w:eastAsia="宋体" w:cs="Times New Roman"/>
          <w:sz w:val="30"/>
          <w:szCs w:val="30"/>
          <w:lang w:eastAsia="zh-CN"/>
        </w:rPr>
        <w:t>（</w:t>
      </w:r>
      <w:r>
        <w:rPr>
          <w:rFonts w:ascii="Times New Roman" w:hAnsi="Times New Roman" w:eastAsia="宋体" w:cs="Times New Roman"/>
          <w:sz w:val="30"/>
          <w:szCs w:val="30"/>
          <w:lang w:val="en-US" w:eastAsia="zh-CN"/>
        </w:rPr>
        <w:t>见图6</w:t>
      </w:r>
      <w:r>
        <w:rPr>
          <w:rFonts w:ascii="Times New Roman" w:hAnsi="Times New Roman" w:eastAsia="宋体" w:cs="Times New Roman"/>
          <w:sz w:val="30"/>
          <w:szCs w:val="30"/>
          <w:lang w:eastAsia="zh-CN"/>
        </w:rPr>
        <w:t>）</w:t>
      </w:r>
    </w:p>
    <w:p>
      <w:pPr>
        <w:tabs>
          <w:tab w:val="left" w:pos="773"/>
        </w:tabs>
        <w:jc w:val="both"/>
        <w:rPr>
          <w:rFonts w:ascii="Times New Roman" w:hAnsi="Times New Roman" w:cs="Times New Roman"/>
          <w:sz w:val="30"/>
          <w:szCs w:val="30"/>
        </w:rPr>
      </w:pPr>
      <w:r>
        <w:rPr>
          <w:rFonts w:hint="eastAsia" w:ascii="Times New Roman" w:hAnsi="Times New Roman" w:eastAsia="宋体" w:cs="Times New Roman"/>
          <w:sz w:val="30"/>
          <w:szCs w:val="30"/>
          <w:lang w:val="en-US" w:eastAsia="zh-CN"/>
        </w:rPr>
        <w:t>　　</w:t>
      </w:r>
      <w:r>
        <w:rPr>
          <w:rFonts w:ascii="Times New Roman" w:hAnsi="Times New Roman" w:eastAsia="宋体" w:cs="Times New Roman"/>
          <w:sz w:val="30"/>
          <w:szCs w:val="30"/>
          <w:lang w:val="en-US" w:eastAsia="zh-CN"/>
        </w:rPr>
        <w:t xml:space="preserve">                    </w:t>
      </w:r>
      <w:r>
        <w:rPr>
          <w:rFonts w:ascii="Times New Roman" w:hAnsi="Times New Roman" w:cs="Times New Roman"/>
          <w:sz w:val="30"/>
          <w:szCs w:val="30"/>
          <w:lang w:val="en-US" w:eastAsia="zh-CN"/>
        </w:rPr>
        <w:drawing>
          <wp:inline distT="0" distB="0" distL="114300" distR="114300">
            <wp:extent cx="4335145" cy="1747520"/>
            <wp:effectExtent l="0" t="0" r="8255" b="508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0" cstate="print"/>
                    <a:stretch>
                      <a:fillRect/>
                    </a:stretch>
                  </pic:blipFill>
                  <pic:spPr>
                    <a:xfrm>
                      <a:off x="0" y="0"/>
                      <a:ext cx="4335145" cy="1747520"/>
                    </a:xfrm>
                    <a:prstGeom prst="rect">
                      <a:avLst/>
                    </a:prstGeom>
                    <a:noFill/>
                    <a:ln>
                      <a:noFill/>
                    </a:ln>
                  </pic:spPr>
                </pic:pic>
              </a:graphicData>
            </a:graphic>
          </wp:inline>
        </w:drawing>
      </w:r>
    </w:p>
    <w:p>
      <w:pPr>
        <w:tabs>
          <w:tab w:val="left" w:pos="773"/>
        </w:tabs>
        <w:jc w:val="both"/>
        <w:rPr>
          <w:rFonts w:ascii="Times New Roman" w:hAnsi="Times New Roman" w:eastAsia="宋体" w:cs="Times New Roman"/>
          <w:sz w:val="30"/>
          <w:szCs w:val="30"/>
          <w:lang w:val="en-US" w:eastAsia="zh-CN"/>
        </w:rPr>
      </w:pPr>
      <w:r>
        <w:rPr>
          <w:rFonts w:ascii="Times New Roman" w:hAnsi="Times New Roman" w:eastAsia="宋体" w:cs="Times New Roman"/>
          <w:sz w:val="30"/>
          <w:szCs w:val="30"/>
          <w:lang w:val="en-US" w:eastAsia="zh-CN"/>
        </w:rPr>
        <w:t>图6</w:t>
      </w:r>
    </w:p>
    <w:p>
      <w:pPr>
        <w:pStyle w:val="3"/>
        <w:spacing w:before="0" w:after="0" w:line="520" w:lineRule="exact"/>
        <w:jc w:val="both"/>
        <w:rPr>
          <w:rFonts w:ascii="Times New Roman" w:hAnsi="Times New Roman" w:eastAsia="宋体" w:cs="Times New Roman"/>
          <w:b/>
          <w:sz w:val="30"/>
          <w:szCs w:val="30"/>
          <w:lang w:val="en-US" w:eastAsia="zh-CN"/>
        </w:rPr>
      </w:pPr>
      <w:r>
        <w:rPr>
          <w:rFonts w:ascii="Times New Roman" w:hAnsi="Times New Roman" w:eastAsia="宋体" w:cs="Times New Roman"/>
          <w:b/>
          <w:sz w:val="30"/>
          <w:szCs w:val="30"/>
          <w:lang w:val="en-US" w:eastAsia="zh-CN"/>
        </w:rPr>
        <w:t>4.河渠、堤坝建设模型</w:t>
      </w:r>
    </w:p>
    <w:p>
      <w:pPr>
        <w:pStyle w:val="3"/>
        <w:spacing w:before="0" w:after="0" w:line="520" w:lineRule="exact"/>
        <w:jc w:val="both"/>
        <w:rPr>
          <w:rFonts w:ascii="Times New Roman" w:hAnsi="Times New Roman" w:eastAsia="宋体" w:cs="Times New Roman"/>
          <w:spacing w:val="-1"/>
          <w:sz w:val="30"/>
          <w:szCs w:val="30"/>
          <w:lang w:eastAsia="zh-CN"/>
        </w:rPr>
      </w:pPr>
      <w:r>
        <w:rPr>
          <w:rFonts w:hint="eastAsia" w:ascii="Times New Roman" w:hAnsi="Times New Roman" w:cs="Times New Roman"/>
          <w:spacing w:val="-12"/>
          <w:sz w:val="30"/>
          <w:szCs w:val="30"/>
          <w:lang w:val="en-US" w:eastAsia="zh-CN"/>
        </w:rPr>
        <w:t>　　</w:t>
      </w:r>
      <w:r>
        <w:rPr>
          <w:rFonts w:ascii="Times New Roman" w:hAnsi="Times New Roman" w:cs="Times New Roman"/>
          <w:spacing w:val="-12"/>
          <w:sz w:val="30"/>
          <w:szCs w:val="30"/>
          <w:lang w:val="en-US" w:eastAsia="zh-CN"/>
        </w:rPr>
        <w:t>（1）沟渠沿岸配置方式：</w:t>
      </w:r>
      <w:r>
        <w:rPr>
          <w:rFonts w:ascii="Times New Roman" w:hAnsi="Times New Roman" w:cs="Times New Roman"/>
          <w:spacing w:val="-11"/>
          <w:sz w:val="30"/>
          <w:szCs w:val="30"/>
          <w:lang w:eastAsia="zh-CN"/>
        </w:rPr>
        <w:t>在沟渠迎水坡面可栽植杞柳、紫穗</w:t>
      </w:r>
      <w:r>
        <w:rPr>
          <w:rFonts w:ascii="Times New Roman" w:hAnsi="Times New Roman" w:cs="Times New Roman"/>
          <w:spacing w:val="-2"/>
          <w:sz w:val="30"/>
          <w:szCs w:val="30"/>
          <w:lang w:eastAsia="zh-CN"/>
        </w:rPr>
        <w:t>槐等，沟渠堤上可栽植耐水湿杨树、水杉、枫杨、乌</w:t>
      </w:r>
      <w:r>
        <w:rPr>
          <w:rFonts w:ascii="Times New Roman" w:hAnsi="Times New Roman" w:cs="Times New Roman"/>
          <w:spacing w:val="-1"/>
          <w:sz w:val="30"/>
          <w:szCs w:val="30"/>
          <w:lang w:eastAsia="zh-CN"/>
        </w:rPr>
        <w:t>桕、柳树、</w:t>
      </w:r>
      <w:r>
        <w:rPr>
          <w:rFonts w:ascii="Times New Roman" w:hAnsi="Times New Roman" w:eastAsia="宋体" w:cs="Times New Roman"/>
          <w:spacing w:val="-1"/>
          <w:sz w:val="30"/>
          <w:szCs w:val="30"/>
          <w:lang w:val="en-US" w:eastAsia="zh-CN"/>
        </w:rPr>
        <w:t>水冬瓜</w:t>
      </w:r>
      <w:r>
        <w:rPr>
          <w:rFonts w:ascii="Times New Roman" w:hAnsi="Times New Roman" w:cs="Times New Roman"/>
          <w:spacing w:val="-1"/>
          <w:sz w:val="30"/>
          <w:szCs w:val="30"/>
          <w:lang w:eastAsia="zh-CN"/>
        </w:rPr>
        <w:t>等</w:t>
      </w:r>
      <w:r>
        <w:rPr>
          <w:rFonts w:ascii="Times New Roman" w:hAnsi="Times New Roman" w:eastAsia="宋体" w:cs="Times New Roman"/>
          <w:spacing w:val="-1"/>
          <w:sz w:val="30"/>
          <w:szCs w:val="30"/>
          <w:lang w:eastAsia="zh-CN"/>
        </w:rPr>
        <w:t>，</w:t>
      </w:r>
      <w:r>
        <w:rPr>
          <w:rFonts w:ascii="Times New Roman" w:hAnsi="Times New Roman" w:cs="Times New Roman"/>
          <w:spacing w:val="-1"/>
          <w:sz w:val="30"/>
          <w:szCs w:val="30"/>
          <w:lang w:eastAsia="zh-CN"/>
        </w:rPr>
        <w:t>有条件的配置一些常绿树种</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见图7</w:t>
      </w:r>
      <w:r>
        <w:rPr>
          <w:rFonts w:ascii="Times New Roman" w:hAnsi="Times New Roman" w:eastAsia="宋体" w:cs="Times New Roman"/>
          <w:spacing w:val="-1"/>
          <w:sz w:val="30"/>
          <w:szCs w:val="30"/>
          <w:lang w:eastAsia="zh-CN"/>
        </w:rPr>
        <w:t>）</w:t>
      </w:r>
    </w:p>
    <w:p>
      <w:pPr>
        <w:pStyle w:val="3"/>
        <w:spacing w:before="0" w:after="0" w:line="520" w:lineRule="exact"/>
        <w:jc w:val="both"/>
        <w:rPr>
          <w:rFonts w:ascii="Times New Roman" w:hAnsi="Times New Roman" w:eastAsia="宋体" w:cs="Times New Roman"/>
          <w:spacing w:val="-1"/>
          <w:sz w:val="30"/>
          <w:szCs w:val="30"/>
          <w:lang w:val="en-US" w:eastAsia="zh-CN"/>
        </w:rPr>
      </w:pPr>
      <w:r>
        <w:rPr>
          <w:rFonts w:hint="eastAsia" w:ascii="Times New Roman" w:hAnsi="Times New Roman" w:eastAsia="宋体" w:cs="Times New Roman"/>
          <w:spacing w:val="-1"/>
          <w:sz w:val="30"/>
          <w:szCs w:val="30"/>
          <w:lang w:val="en-US" w:eastAsia="zh-CN"/>
        </w:rPr>
        <w:t>　　</w:t>
      </w:r>
    </w:p>
    <w:p>
      <w:pPr>
        <w:pStyle w:val="3"/>
        <w:spacing w:before="0" w:after="0" w:line="520" w:lineRule="exact"/>
        <w:jc w:val="both"/>
        <w:rPr>
          <w:rFonts w:ascii="Times New Roman" w:hAnsi="Times New Roman" w:cs="Times New Roman"/>
          <w:sz w:val="30"/>
          <w:szCs w:val="30"/>
          <w:lang w:eastAsia="zh-CN"/>
        </w:rPr>
      </w:pPr>
      <w:r>
        <w:rPr>
          <w:rFonts w:ascii="Times New Roman" w:hAnsi="Times New Roman" w:cs="Times New Roman"/>
          <w:sz w:val="30"/>
          <w:szCs w:val="30"/>
          <w:lang w:val="en-US" w:eastAsia="zh-CN"/>
        </w:rPr>
        <w:drawing>
          <wp:anchor distT="0" distB="0" distL="114300" distR="114300" simplePos="0" relativeHeight="251665408" behindDoc="1" locked="0" layoutInCell="1" allowOverlap="1">
            <wp:simplePos x="0" y="0"/>
            <wp:positionH relativeFrom="column">
              <wp:posOffset>375920</wp:posOffset>
            </wp:positionH>
            <wp:positionV relativeFrom="paragraph">
              <wp:posOffset>157480</wp:posOffset>
            </wp:positionV>
            <wp:extent cx="4469765" cy="1881505"/>
            <wp:effectExtent l="0" t="0" r="10795" b="8255"/>
            <wp:wrapTight wrapText="bothSides">
              <wp:wrapPolygon>
                <wp:start x="0" y="0"/>
                <wp:lineTo x="0" y="21345"/>
                <wp:lineTo x="21505" y="21345"/>
                <wp:lineTo x="21505" y="0"/>
                <wp:lineTo x="0" y="0"/>
              </wp:wrapPolygon>
            </wp:wrapTight>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11" cstate="print"/>
                    <a:stretch>
                      <a:fillRect/>
                    </a:stretch>
                  </pic:blipFill>
                  <pic:spPr>
                    <a:xfrm>
                      <a:off x="0" y="0"/>
                      <a:ext cx="4469765" cy="1881505"/>
                    </a:xfrm>
                    <a:prstGeom prst="rect">
                      <a:avLst/>
                    </a:prstGeom>
                    <a:noFill/>
                    <a:ln>
                      <a:noFill/>
                    </a:ln>
                  </pic:spPr>
                </pic:pic>
              </a:graphicData>
            </a:graphic>
          </wp:anchor>
        </w:drawing>
      </w:r>
      <w:r>
        <w:rPr>
          <w:rFonts w:hint="eastAsia" w:ascii="Times New Roman" w:hAnsi="Times New Roman" w:eastAsia="宋体" w:cs="Times New Roman"/>
          <w:sz w:val="30"/>
          <w:szCs w:val="30"/>
          <w:lang w:eastAsia="zh-CN"/>
        </w:rPr>
        <w:t>　　</w:t>
      </w: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r>
        <w:rPr>
          <w:rFonts w:ascii="Times New Roman" w:hAnsi="Times New Roman" w:cs="Times New Roman"/>
          <w:sz w:val="30"/>
          <w:szCs w:val="30"/>
          <w:lang w:val="en-US" w:eastAsia="zh-CN"/>
        </w:rPr>
        <w:t>图7</w:t>
      </w:r>
    </w:p>
    <w:p>
      <w:pPr>
        <w:jc w:val="both"/>
        <w:rPr>
          <w:rFonts w:ascii="Times New Roman" w:hAnsi="Times New Roman" w:cs="Times New Roman"/>
          <w:sz w:val="30"/>
          <w:szCs w:val="30"/>
        </w:rPr>
      </w:pPr>
      <w:r>
        <w:rPr>
          <w:rFonts w:hint="eastAsia" w:ascii="Times New Roman" w:hAnsi="Times New Roman" w:cs="Times New Roman"/>
          <w:spacing w:val="-12"/>
          <w:sz w:val="30"/>
          <w:szCs w:val="30"/>
          <w:lang w:val="en-US" w:eastAsia="zh-CN"/>
        </w:rPr>
        <w:t>　　</w:t>
      </w:r>
      <w:r>
        <w:rPr>
          <w:rFonts w:ascii="Times New Roman" w:hAnsi="Times New Roman" w:cs="Times New Roman"/>
          <w:spacing w:val="-12"/>
          <w:sz w:val="30"/>
          <w:szCs w:val="30"/>
          <w:lang w:val="en-US" w:eastAsia="zh-CN"/>
        </w:rPr>
        <w:t>（2）堤坝沿岸配置方式：</w:t>
      </w:r>
      <w:r>
        <w:rPr>
          <w:rFonts w:ascii="Times New Roman" w:hAnsi="Times New Roman" w:cs="Times New Roman"/>
          <w:spacing w:val="-1"/>
          <w:sz w:val="30"/>
          <w:szCs w:val="30"/>
          <w:lang w:eastAsia="zh-CN"/>
        </w:rPr>
        <w:t>在迎水面以耐水湿柳树、水杉、枫</w:t>
      </w:r>
      <w:r>
        <w:rPr>
          <w:rFonts w:ascii="Times New Roman" w:hAnsi="Times New Roman" w:cs="Times New Roman"/>
          <w:spacing w:val="-18"/>
          <w:sz w:val="30"/>
          <w:szCs w:val="30"/>
          <w:lang w:eastAsia="zh-CN"/>
        </w:rPr>
        <w:t>杨、乌桕、杨树、</w:t>
      </w:r>
      <w:r>
        <w:rPr>
          <w:rFonts w:ascii="Times New Roman" w:hAnsi="Times New Roman" w:eastAsia="宋体" w:cs="Times New Roman"/>
          <w:spacing w:val="-18"/>
          <w:sz w:val="30"/>
          <w:szCs w:val="30"/>
          <w:lang w:val="en-US" w:eastAsia="zh-CN"/>
        </w:rPr>
        <w:t>水冬瓜</w:t>
      </w:r>
      <w:r>
        <w:rPr>
          <w:rFonts w:ascii="Times New Roman" w:hAnsi="Times New Roman" w:cs="Times New Roman"/>
          <w:spacing w:val="-18"/>
          <w:sz w:val="30"/>
          <w:szCs w:val="30"/>
          <w:lang w:eastAsia="zh-CN"/>
        </w:rPr>
        <w:t>等中的一种或两种树种为主，</w:t>
      </w:r>
      <w:r>
        <w:rPr>
          <w:rFonts w:ascii="Times New Roman" w:hAnsi="Times New Roman" w:cs="Times New Roman"/>
          <w:spacing w:val="-147"/>
          <w:sz w:val="30"/>
          <w:szCs w:val="30"/>
          <w:lang w:eastAsia="zh-CN"/>
        </w:rPr>
        <w:t xml:space="preserve"> </w:t>
      </w:r>
      <w:r>
        <w:rPr>
          <w:rFonts w:ascii="Times New Roman" w:hAnsi="Times New Roman" w:cs="Times New Roman"/>
          <w:sz w:val="30"/>
          <w:szCs w:val="30"/>
          <w:lang w:eastAsia="zh-CN"/>
        </w:rPr>
        <w:t>进行品字形配置。</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见图8</w:t>
      </w:r>
      <w:r>
        <w:rPr>
          <w:rFonts w:ascii="Times New Roman" w:hAnsi="Times New Roman" w:eastAsia="宋体" w:cs="Times New Roman"/>
          <w:spacing w:val="-1"/>
          <w:sz w:val="30"/>
          <w:szCs w:val="30"/>
          <w:lang w:eastAsia="zh-CN"/>
        </w:rPr>
        <w:t>）</w:t>
      </w:r>
    </w:p>
    <w:p>
      <w:pPr>
        <w:ind w:left="900" w:hanging="900" w:hangingChars="300"/>
        <w:jc w:val="both"/>
        <w:rPr>
          <w:rFonts w:ascii="Times New Roman" w:hAnsi="Times New Roman" w:cs="Times New Roman"/>
          <w:sz w:val="30"/>
          <w:szCs w:val="30"/>
        </w:rPr>
      </w:pPr>
      <w:r>
        <w:rPr>
          <w:rFonts w:ascii="Times New Roman" w:hAnsi="Times New Roman" w:eastAsia="宋体" w:cs="Times New Roman"/>
          <w:sz w:val="30"/>
          <w:szCs w:val="30"/>
          <w:lang w:val="en-US" w:eastAsia="zh-CN"/>
        </w:rPr>
        <w:t xml:space="preserve">           </w:t>
      </w:r>
      <w:r>
        <w:rPr>
          <w:rFonts w:ascii="Times New Roman" w:hAnsi="Times New Roman" w:cs="Times New Roman"/>
          <w:sz w:val="30"/>
          <w:szCs w:val="30"/>
          <w:lang w:val="en-US" w:eastAsia="zh-CN"/>
        </w:rPr>
        <w:drawing>
          <wp:inline distT="0" distB="0" distL="114300" distR="114300">
            <wp:extent cx="4971415" cy="2293620"/>
            <wp:effectExtent l="0" t="0" r="635" b="1143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12" cstate="print"/>
                    <a:stretch>
                      <a:fillRect/>
                    </a:stretch>
                  </pic:blipFill>
                  <pic:spPr>
                    <a:xfrm>
                      <a:off x="0" y="0"/>
                      <a:ext cx="4971415" cy="2293620"/>
                    </a:xfrm>
                    <a:prstGeom prst="rect">
                      <a:avLst/>
                    </a:prstGeom>
                    <a:noFill/>
                    <a:ln>
                      <a:noFill/>
                    </a:ln>
                  </pic:spPr>
                </pic:pic>
              </a:graphicData>
            </a:graphic>
          </wp:inline>
        </w:drawing>
      </w:r>
    </w:p>
    <w:p>
      <w:pPr>
        <w:tabs>
          <w:tab w:val="left" w:pos="773"/>
        </w:tabs>
        <w:jc w:val="both"/>
        <w:rPr>
          <w:rFonts w:ascii="Times New Roman" w:hAnsi="Times New Roman" w:eastAsia="宋体" w:cs="Times New Roman"/>
          <w:sz w:val="30"/>
          <w:szCs w:val="30"/>
          <w:lang w:val="en-US" w:eastAsia="zh-CN"/>
        </w:rPr>
      </w:pPr>
      <w:r>
        <w:rPr>
          <w:rFonts w:ascii="Times New Roman" w:hAnsi="Times New Roman" w:eastAsia="宋体" w:cs="Times New Roman"/>
          <w:sz w:val="30"/>
          <w:szCs w:val="30"/>
          <w:lang w:val="en-US" w:eastAsia="zh-CN"/>
        </w:rPr>
        <w:t>图8</w:t>
      </w:r>
    </w:p>
    <w:sectPr>
      <w:footerReference r:id="rId4" w:type="default"/>
      <w:pgSz w:w="12240" w:h="15840"/>
      <w:pgMar w:top="1200" w:right="156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lang w:val="en-US" w:eastAsia="zh-CN"/>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path/>
          <v:fill on="f" focussize="0,0"/>
          <v:stroke on="f" weight="0.5pt" joinstyle="miter"/>
          <v:imagedata o:title=""/>
          <o:lock v:ext="edit"/>
          <v:textbox inset="0mm,0mm,0mm,0mm" style="mso-fit-shape-to-text:t;">
            <w:txbxContent>
              <w:p>
                <w:pPr>
                  <w:pStyle w:val="16"/>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4</w:t>
                </w:r>
                <w:r>
                  <w:rPr>
                    <w:rFonts w:hint="eastAsia" w:eastAsia="宋体"/>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720"/>
  <w:drawingGridHorizontalSpacing w:val="360"/>
  <w:drawingGridVerticalSpacing w:val="360"/>
  <w:noPunctuationKerning w:val="1"/>
  <w:characterSpacingControl w:val="doNotCompress"/>
  <w:hdrShapeDefaults>
    <o:shapelayout v:ext="edit">
      <o:idmap v:ext="edit" data="2"/>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590D07"/>
    <w:rsid w:val="00011C8B"/>
    <w:rsid w:val="00027EB5"/>
    <w:rsid w:val="0011076A"/>
    <w:rsid w:val="0035181C"/>
    <w:rsid w:val="004E29B3"/>
    <w:rsid w:val="0050004A"/>
    <w:rsid w:val="00590D07"/>
    <w:rsid w:val="00784D58"/>
    <w:rsid w:val="007C5D58"/>
    <w:rsid w:val="00865DE3"/>
    <w:rsid w:val="008D6863"/>
    <w:rsid w:val="00A85421"/>
    <w:rsid w:val="00AC5A7A"/>
    <w:rsid w:val="00B80E90"/>
    <w:rsid w:val="00B86B75"/>
    <w:rsid w:val="00BC48D5"/>
    <w:rsid w:val="00C36279"/>
    <w:rsid w:val="00E315A3"/>
    <w:rsid w:val="00E9511F"/>
    <w:rsid w:val="00F96FCA"/>
    <w:rsid w:val="00FD43AB"/>
    <w:rsid w:val="012C1DE3"/>
    <w:rsid w:val="01423EDB"/>
    <w:rsid w:val="01D1354C"/>
    <w:rsid w:val="024534FA"/>
    <w:rsid w:val="029D594A"/>
    <w:rsid w:val="036969F2"/>
    <w:rsid w:val="03C749F7"/>
    <w:rsid w:val="04615393"/>
    <w:rsid w:val="047449CA"/>
    <w:rsid w:val="04944F8C"/>
    <w:rsid w:val="04CC4634"/>
    <w:rsid w:val="05420797"/>
    <w:rsid w:val="05616AD6"/>
    <w:rsid w:val="05ED6E31"/>
    <w:rsid w:val="061A0245"/>
    <w:rsid w:val="06AE14BE"/>
    <w:rsid w:val="06E95A98"/>
    <w:rsid w:val="077429F8"/>
    <w:rsid w:val="09FF40C4"/>
    <w:rsid w:val="0A9220D9"/>
    <w:rsid w:val="0ADF71A2"/>
    <w:rsid w:val="0C012C3A"/>
    <w:rsid w:val="0DAB63B9"/>
    <w:rsid w:val="0E1B7895"/>
    <w:rsid w:val="0E7A798D"/>
    <w:rsid w:val="0EBC20B4"/>
    <w:rsid w:val="0F006773"/>
    <w:rsid w:val="0FD73D7B"/>
    <w:rsid w:val="10EB21DB"/>
    <w:rsid w:val="11056A8B"/>
    <w:rsid w:val="11194001"/>
    <w:rsid w:val="115412CB"/>
    <w:rsid w:val="11566D41"/>
    <w:rsid w:val="11687605"/>
    <w:rsid w:val="117530CD"/>
    <w:rsid w:val="11FA3746"/>
    <w:rsid w:val="12877E66"/>
    <w:rsid w:val="135F02CF"/>
    <w:rsid w:val="1372704A"/>
    <w:rsid w:val="13AB1ABD"/>
    <w:rsid w:val="145D6412"/>
    <w:rsid w:val="1498342E"/>
    <w:rsid w:val="14AF21FC"/>
    <w:rsid w:val="14E31874"/>
    <w:rsid w:val="14FF2E56"/>
    <w:rsid w:val="153E6B2C"/>
    <w:rsid w:val="1574382E"/>
    <w:rsid w:val="16AB13D4"/>
    <w:rsid w:val="17432A31"/>
    <w:rsid w:val="17635BEC"/>
    <w:rsid w:val="17D0017B"/>
    <w:rsid w:val="199043A2"/>
    <w:rsid w:val="19D210E8"/>
    <w:rsid w:val="1ADB62AD"/>
    <w:rsid w:val="1BE23B45"/>
    <w:rsid w:val="1C7D75F9"/>
    <w:rsid w:val="1D32766B"/>
    <w:rsid w:val="1DB75590"/>
    <w:rsid w:val="1F7D47FF"/>
    <w:rsid w:val="1F8971FB"/>
    <w:rsid w:val="20056870"/>
    <w:rsid w:val="20E273F6"/>
    <w:rsid w:val="20F64551"/>
    <w:rsid w:val="211D384F"/>
    <w:rsid w:val="21210597"/>
    <w:rsid w:val="213B36D3"/>
    <w:rsid w:val="21E475D8"/>
    <w:rsid w:val="22427667"/>
    <w:rsid w:val="225D0DE8"/>
    <w:rsid w:val="225E2587"/>
    <w:rsid w:val="2290185F"/>
    <w:rsid w:val="23801CB4"/>
    <w:rsid w:val="23F5012C"/>
    <w:rsid w:val="244E43C2"/>
    <w:rsid w:val="257E4C3C"/>
    <w:rsid w:val="25AE635C"/>
    <w:rsid w:val="267F1184"/>
    <w:rsid w:val="279C335C"/>
    <w:rsid w:val="27D70953"/>
    <w:rsid w:val="28746E96"/>
    <w:rsid w:val="28B344AB"/>
    <w:rsid w:val="28BB0E79"/>
    <w:rsid w:val="2999128C"/>
    <w:rsid w:val="29E30763"/>
    <w:rsid w:val="29F51C36"/>
    <w:rsid w:val="29F9257E"/>
    <w:rsid w:val="2A383568"/>
    <w:rsid w:val="2A8E529E"/>
    <w:rsid w:val="2AE46181"/>
    <w:rsid w:val="2B055435"/>
    <w:rsid w:val="2C7E346C"/>
    <w:rsid w:val="2C9B3A37"/>
    <w:rsid w:val="2D5E5674"/>
    <w:rsid w:val="2D9D774E"/>
    <w:rsid w:val="2E163E4C"/>
    <w:rsid w:val="2E90509A"/>
    <w:rsid w:val="2E910751"/>
    <w:rsid w:val="2F10768C"/>
    <w:rsid w:val="2F4A1D33"/>
    <w:rsid w:val="31E16C4A"/>
    <w:rsid w:val="323A29FB"/>
    <w:rsid w:val="323C4207"/>
    <w:rsid w:val="32D81DF0"/>
    <w:rsid w:val="32E611C8"/>
    <w:rsid w:val="335B0C39"/>
    <w:rsid w:val="368776B7"/>
    <w:rsid w:val="37BD7452"/>
    <w:rsid w:val="385F1D6C"/>
    <w:rsid w:val="38AD48FA"/>
    <w:rsid w:val="394E5F1A"/>
    <w:rsid w:val="39635782"/>
    <w:rsid w:val="3A736E44"/>
    <w:rsid w:val="3AB1305A"/>
    <w:rsid w:val="3ACE73BE"/>
    <w:rsid w:val="3CF55D60"/>
    <w:rsid w:val="3D8E75CE"/>
    <w:rsid w:val="3DC179AC"/>
    <w:rsid w:val="3E423A24"/>
    <w:rsid w:val="3EDC076D"/>
    <w:rsid w:val="3F277920"/>
    <w:rsid w:val="3FC24D05"/>
    <w:rsid w:val="40395262"/>
    <w:rsid w:val="41715B8B"/>
    <w:rsid w:val="41862120"/>
    <w:rsid w:val="419962A9"/>
    <w:rsid w:val="41A777CF"/>
    <w:rsid w:val="41AD6C4E"/>
    <w:rsid w:val="41F53A25"/>
    <w:rsid w:val="42FB0ED6"/>
    <w:rsid w:val="442B440E"/>
    <w:rsid w:val="44634C77"/>
    <w:rsid w:val="45651677"/>
    <w:rsid w:val="460727FF"/>
    <w:rsid w:val="48195669"/>
    <w:rsid w:val="484F38DE"/>
    <w:rsid w:val="48C746D9"/>
    <w:rsid w:val="491A4D51"/>
    <w:rsid w:val="4AB976B6"/>
    <w:rsid w:val="4B43222F"/>
    <w:rsid w:val="4B7D7C82"/>
    <w:rsid w:val="4B850BAB"/>
    <w:rsid w:val="4CD2370A"/>
    <w:rsid w:val="4CF85237"/>
    <w:rsid w:val="4D677F62"/>
    <w:rsid w:val="4DC57AD9"/>
    <w:rsid w:val="4E6524EF"/>
    <w:rsid w:val="4EF052AC"/>
    <w:rsid w:val="4F3552B0"/>
    <w:rsid w:val="4FB455DC"/>
    <w:rsid w:val="518960C3"/>
    <w:rsid w:val="51C93BF3"/>
    <w:rsid w:val="524F1768"/>
    <w:rsid w:val="528B695A"/>
    <w:rsid w:val="53710C92"/>
    <w:rsid w:val="53E23A02"/>
    <w:rsid w:val="53E9693C"/>
    <w:rsid w:val="53F073C4"/>
    <w:rsid w:val="54282194"/>
    <w:rsid w:val="55766DD2"/>
    <w:rsid w:val="56213274"/>
    <w:rsid w:val="569710F7"/>
    <w:rsid w:val="58C13380"/>
    <w:rsid w:val="59121566"/>
    <w:rsid w:val="595B0854"/>
    <w:rsid w:val="59753DB0"/>
    <w:rsid w:val="5A1D17F7"/>
    <w:rsid w:val="5A9278FA"/>
    <w:rsid w:val="5AC90C32"/>
    <w:rsid w:val="5B802A2B"/>
    <w:rsid w:val="5BDD3806"/>
    <w:rsid w:val="5C343487"/>
    <w:rsid w:val="5CCF27D7"/>
    <w:rsid w:val="5CEC10B9"/>
    <w:rsid w:val="5CED6B78"/>
    <w:rsid w:val="5D8E2F7D"/>
    <w:rsid w:val="5DE35B0B"/>
    <w:rsid w:val="5E3D6230"/>
    <w:rsid w:val="5E967EB4"/>
    <w:rsid w:val="5EB81507"/>
    <w:rsid w:val="5EC32943"/>
    <w:rsid w:val="5EFB166C"/>
    <w:rsid w:val="5FC422B5"/>
    <w:rsid w:val="61017256"/>
    <w:rsid w:val="61CC603D"/>
    <w:rsid w:val="6297573D"/>
    <w:rsid w:val="63224191"/>
    <w:rsid w:val="637C2725"/>
    <w:rsid w:val="63A108D0"/>
    <w:rsid w:val="658D1DB1"/>
    <w:rsid w:val="659A2635"/>
    <w:rsid w:val="65A04AA3"/>
    <w:rsid w:val="66CF5671"/>
    <w:rsid w:val="69C13A31"/>
    <w:rsid w:val="6A470E09"/>
    <w:rsid w:val="6BBD12CE"/>
    <w:rsid w:val="6EF741A4"/>
    <w:rsid w:val="6F3B68C0"/>
    <w:rsid w:val="6F7B5D80"/>
    <w:rsid w:val="6FED2298"/>
    <w:rsid w:val="71CE3DC6"/>
    <w:rsid w:val="7282064A"/>
    <w:rsid w:val="72DF4F33"/>
    <w:rsid w:val="72DF52D4"/>
    <w:rsid w:val="72EA1FB0"/>
    <w:rsid w:val="733C369E"/>
    <w:rsid w:val="736E5C25"/>
    <w:rsid w:val="74D101DE"/>
    <w:rsid w:val="75322133"/>
    <w:rsid w:val="75341BC8"/>
    <w:rsid w:val="763E519A"/>
    <w:rsid w:val="768F575A"/>
    <w:rsid w:val="78952705"/>
    <w:rsid w:val="79CF1E61"/>
    <w:rsid w:val="79D914AC"/>
    <w:rsid w:val="7A47141A"/>
    <w:rsid w:val="7B6D0C30"/>
    <w:rsid w:val="7B8C36D1"/>
    <w:rsid w:val="7BCF3E4A"/>
    <w:rsid w:val="7C6D30F8"/>
    <w:rsid w:val="7D4D4FAD"/>
    <w:rsid w:val="7D6B02A4"/>
    <w:rsid w:val="7D6F2ECF"/>
    <w:rsid w:val="7DAB05F4"/>
    <w:rsid w:val="7DD04F56"/>
    <w:rsid w:val="7DD73642"/>
    <w:rsid w:val="7DE53198"/>
    <w:rsid w:val="7E9978B0"/>
  </w:rsids>
  <m:mathPr>
    <m:mathFont m:val="Cambria Math"/>
    <m:brkBin m:val="before"/>
    <m:brkBinSub m:val="--"/>
    <m:smallFrac m:val="0"/>
    <m:dispDef m:val="0"/>
    <m:lMargin m:val="0"/>
    <m:rMargin m:val="0"/>
    <m:defJc m:val="centerGroup"/>
    <m:wrapRight m:val="1"/>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HAnsi" w:cstheme="minorBidi"/>
      <w:sz w:val="24"/>
      <w:szCs w:val="24"/>
      <w:lang w:val="en-US" w:eastAsia="en-US" w:bidi="ar-SA"/>
    </w:rPr>
  </w:style>
  <w:style w:type="paragraph" w:styleId="2">
    <w:name w:val="heading 1"/>
    <w:basedOn w:val="1"/>
    <w:next w:val="3"/>
    <w:qFormat/>
    <w:uiPriority w:val="9"/>
    <w:pPr>
      <w:keepNext/>
      <w:keepLines/>
      <w:spacing w:before="480" w:after="0"/>
      <w:outlineLvl w:val="0"/>
    </w:pPr>
    <w:rPr>
      <w:rFonts w:asciiTheme="majorHAnsi" w:hAnsiTheme="majorHAnsi" w:eastAsiaTheme="majorEastAsia" w:cstheme="majorBidi"/>
      <w:b/>
      <w:bCs/>
      <w:color w:val="335B8A" w:themeColor="accent1" w:themeShade="B5"/>
      <w:sz w:val="32"/>
      <w:szCs w:val="32"/>
    </w:rPr>
  </w:style>
  <w:style w:type="paragraph" w:styleId="4">
    <w:name w:val="heading 2"/>
    <w:basedOn w:val="1"/>
    <w:next w:val="1"/>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5">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6">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rPr>
  </w:style>
  <w:style w:type="paragraph" w:styleId="7">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rPr>
  </w:style>
  <w:style w:type="paragraph" w:styleId="8">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rPr>
  </w:style>
  <w:style w:type="paragraph" w:styleId="9">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rPr>
  </w:style>
  <w:style w:type="paragraph" w:styleId="10">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rPr>
  </w:style>
  <w:style w:type="paragraph" w:styleId="11">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5"/>
    <w:qFormat/>
    <w:uiPriority w:val="0"/>
    <w:pPr>
      <w:spacing w:before="180" w:after="180"/>
    </w:pPr>
  </w:style>
  <w:style w:type="paragraph" w:styleId="12">
    <w:name w:val="caption"/>
    <w:basedOn w:val="1"/>
    <w:next w:val="1"/>
    <w:qFormat/>
    <w:uiPriority w:val="0"/>
    <w:pPr>
      <w:spacing w:after="120"/>
    </w:pPr>
    <w:rPr>
      <w:i/>
    </w:rPr>
  </w:style>
  <w:style w:type="paragraph" w:styleId="13">
    <w:name w:val="Block Text"/>
    <w:basedOn w:val="3"/>
    <w:next w:val="3"/>
    <w:unhideWhenUsed/>
    <w:qFormat/>
    <w:uiPriority w:val="9"/>
    <w:pPr>
      <w:spacing w:before="100" w:after="100"/>
    </w:pPr>
    <w:rPr>
      <w:rFonts w:asciiTheme="majorHAnsi" w:hAnsiTheme="majorHAnsi" w:eastAsiaTheme="majorEastAsia" w:cstheme="majorBidi"/>
      <w:bCs/>
      <w:sz w:val="20"/>
      <w:szCs w:val="20"/>
    </w:rPr>
  </w:style>
  <w:style w:type="paragraph" w:styleId="14">
    <w:name w:val="Date"/>
    <w:next w:val="3"/>
    <w:qFormat/>
    <w:uiPriority w:val="0"/>
    <w:pPr>
      <w:keepNext/>
      <w:keepLines/>
      <w:spacing w:after="200"/>
      <w:jc w:val="center"/>
    </w:pPr>
    <w:rPr>
      <w:rFonts w:asciiTheme="minorHAnsi" w:hAnsiTheme="minorHAnsi" w:eastAsiaTheme="minorHAnsi" w:cstheme="minorBidi"/>
      <w:sz w:val="24"/>
      <w:szCs w:val="24"/>
      <w:lang w:val="en-US" w:eastAsia="en-US" w:bidi="ar-SA"/>
    </w:rPr>
  </w:style>
  <w:style w:type="paragraph" w:styleId="15">
    <w:name w:val="Balloon Text"/>
    <w:basedOn w:val="1"/>
    <w:link w:val="74"/>
    <w:qFormat/>
    <w:uiPriority w:val="0"/>
    <w:pPr>
      <w:spacing w:after="0"/>
    </w:pPr>
    <w:rPr>
      <w:sz w:val="18"/>
      <w:szCs w:val="18"/>
    </w:rPr>
  </w:style>
  <w:style w:type="paragraph" w:styleId="16">
    <w:name w:val="footer"/>
    <w:basedOn w:val="1"/>
    <w:qFormat/>
    <w:uiPriority w:val="0"/>
    <w:pPr>
      <w:tabs>
        <w:tab w:val="center" w:pos="4153"/>
        <w:tab w:val="right" w:pos="8306"/>
      </w:tabs>
      <w:snapToGrid w:val="0"/>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8">
    <w:name w:val="Subtitle"/>
    <w:basedOn w:val="19"/>
    <w:next w:val="3"/>
    <w:qFormat/>
    <w:uiPriority w:val="0"/>
    <w:pPr>
      <w:spacing w:before="240"/>
    </w:pPr>
    <w:rPr>
      <w:sz w:val="30"/>
      <w:szCs w:val="30"/>
    </w:rPr>
  </w:style>
  <w:style w:type="paragraph" w:styleId="19">
    <w:name w:val="Title"/>
    <w:basedOn w:val="1"/>
    <w:next w:val="3"/>
    <w:qFormat/>
    <w:uiPriority w:val="0"/>
    <w:pPr>
      <w:keepNext/>
      <w:keepLines/>
      <w:spacing w:before="480" w:after="240"/>
      <w:jc w:val="center"/>
    </w:pPr>
    <w:rPr>
      <w:rFonts w:asciiTheme="majorHAnsi" w:hAnsiTheme="majorHAnsi" w:eastAsiaTheme="majorEastAsia" w:cstheme="majorBidi"/>
      <w:b/>
      <w:bCs/>
      <w:color w:val="335B8A" w:themeColor="accent1" w:themeShade="B5"/>
      <w:sz w:val="36"/>
      <w:szCs w:val="36"/>
    </w:rPr>
  </w:style>
  <w:style w:type="paragraph" w:styleId="20">
    <w:name w:val="footnote text"/>
    <w:basedOn w:val="1"/>
    <w:unhideWhenUsed/>
    <w:qFormat/>
    <w:uiPriority w:val="9"/>
  </w:style>
  <w:style w:type="character" w:styleId="23">
    <w:name w:val="Strong"/>
    <w:basedOn w:val="22"/>
    <w:qFormat/>
    <w:uiPriority w:val="0"/>
    <w:rPr>
      <w:b/>
    </w:rPr>
  </w:style>
  <w:style w:type="character" w:styleId="24">
    <w:name w:val="Hyperlink"/>
    <w:basedOn w:val="25"/>
    <w:qFormat/>
    <w:uiPriority w:val="0"/>
    <w:rPr>
      <w:color w:val="4F81BD" w:themeColor="accent1"/>
    </w:rPr>
  </w:style>
  <w:style w:type="character" w:customStyle="1" w:styleId="25">
    <w:name w:val="正文文本 Char"/>
    <w:basedOn w:val="22"/>
    <w:link w:val="3"/>
    <w:qFormat/>
    <w:uiPriority w:val="0"/>
  </w:style>
  <w:style w:type="character" w:styleId="26">
    <w:name w:val="footnote reference"/>
    <w:basedOn w:val="25"/>
    <w:qFormat/>
    <w:uiPriority w:val="0"/>
    <w:rPr>
      <w:vertAlign w:val="superscript"/>
    </w:rPr>
  </w:style>
  <w:style w:type="paragraph" w:customStyle="1" w:styleId="27">
    <w:name w:val="First Paragraph"/>
    <w:basedOn w:val="3"/>
    <w:next w:val="3"/>
    <w:qFormat/>
    <w:uiPriority w:val="0"/>
  </w:style>
  <w:style w:type="paragraph" w:customStyle="1" w:styleId="28">
    <w:name w:val="Compact"/>
    <w:basedOn w:val="3"/>
    <w:qFormat/>
    <w:uiPriority w:val="0"/>
    <w:pPr>
      <w:spacing w:before="36" w:after="36"/>
    </w:pPr>
  </w:style>
  <w:style w:type="paragraph" w:customStyle="1" w:styleId="29">
    <w:name w:val="Author"/>
    <w:next w:val="3"/>
    <w:qFormat/>
    <w:uiPriority w:val="0"/>
    <w:pPr>
      <w:keepNext/>
      <w:keepLines/>
      <w:spacing w:after="200"/>
      <w:jc w:val="center"/>
    </w:pPr>
    <w:rPr>
      <w:rFonts w:asciiTheme="minorHAnsi" w:hAnsiTheme="minorHAnsi" w:eastAsiaTheme="minorHAnsi" w:cstheme="minorBidi"/>
      <w:sz w:val="24"/>
      <w:szCs w:val="24"/>
      <w:lang w:val="en-US" w:eastAsia="en-US" w:bidi="ar-SA"/>
    </w:rPr>
  </w:style>
  <w:style w:type="paragraph" w:customStyle="1" w:styleId="30">
    <w:name w:val="Abstract"/>
    <w:basedOn w:val="1"/>
    <w:next w:val="3"/>
    <w:qFormat/>
    <w:uiPriority w:val="0"/>
    <w:pPr>
      <w:keepNext/>
      <w:keepLines/>
      <w:spacing w:before="300" w:after="300"/>
    </w:pPr>
    <w:rPr>
      <w:sz w:val="20"/>
      <w:szCs w:val="20"/>
    </w:rPr>
  </w:style>
  <w:style w:type="paragraph" w:customStyle="1" w:styleId="31">
    <w:name w:val="书目1"/>
    <w:basedOn w:val="1"/>
    <w:qFormat/>
    <w:uiPriority w:val="0"/>
  </w:style>
  <w:style w:type="table" w:customStyle="1" w:styleId="32">
    <w:name w:val="Table"/>
    <w:semiHidden/>
    <w:unhideWhenUsed/>
    <w:qFormat/>
    <w:uiPriority w:val="0"/>
    <w:tblPr>
      <w:tblCellMar>
        <w:top w:w="0" w:type="dxa"/>
        <w:left w:w="108" w:type="dxa"/>
        <w:bottom w:w="0" w:type="dxa"/>
        <w:right w:w="108" w:type="dxa"/>
      </w:tblCellMar>
    </w:tblPr>
  </w:style>
  <w:style w:type="paragraph" w:customStyle="1" w:styleId="33">
    <w:name w:val="Definition Term"/>
    <w:basedOn w:val="1"/>
    <w:next w:val="34"/>
    <w:qFormat/>
    <w:uiPriority w:val="0"/>
    <w:pPr>
      <w:keepNext/>
      <w:keepLines/>
      <w:spacing w:after="0"/>
    </w:pPr>
    <w:rPr>
      <w:b/>
    </w:rPr>
  </w:style>
  <w:style w:type="paragraph" w:customStyle="1" w:styleId="34">
    <w:name w:val="Definition"/>
    <w:basedOn w:val="1"/>
    <w:qFormat/>
    <w:uiPriority w:val="0"/>
  </w:style>
  <w:style w:type="paragraph" w:customStyle="1" w:styleId="35">
    <w:name w:val="Table Caption"/>
    <w:basedOn w:val="12"/>
    <w:qFormat/>
    <w:uiPriority w:val="0"/>
    <w:pPr>
      <w:keepNext/>
    </w:pPr>
  </w:style>
  <w:style w:type="paragraph" w:customStyle="1" w:styleId="36">
    <w:name w:val="Image Caption"/>
    <w:basedOn w:val="12"/>
    <w:qFormat/>
    <w:uiPriority w:val="0"/>
  </w:style>
  <w:style w:type="paragraph" w:customStyle="1" w:styleId="37">
    <w:name w:val="Figure"/>
    <w:basedOn w:val="1"/>
    <w:qFormat/>
    <w:uiPriority w:val="0"/>
  </w:style>
  <w:style w:type="paragraph" w:customStyle="1" w:styleId="38">
    <w:name w:val="Captioned Figure"/>
    <w:basedOn w:val="37"/>
    <w:qFormat/>
    <w:uiPriority w:val="0"/>
    <w:pPr>
      <w:keepNext/>
    </w:pPr>
  </w:style>
  <w:style w:type="character" w:customStyle="1" w:styleId="39">
    <w:name w:val="Verbatim Char"/>
    <w:basedOn w:val="25"/>
    <w:link w:val="40"/>
    <w:qFormat/>
    <w:uiPriority w:val="0"/>
    <w:rPr>
      <w:rFonts w:ascii="Consolas" w:hAnsi="Consolas"/>
      <w:sz w:val="22"/>
    </w:rPr>
  </w:style>
  <w:style w:type="paragraph" w:customStyle="1" w:styleId="40">
    <w:name w:val="Source Code"/>
    <w:basedOn w:val="1"/>
    <w:link w:val="39"/>
    <w:qFormat/>
    <w:uiPriority w:val="0"/>
    <w:pPr>
      <w:wordWrap w:val="0"/>
    </w:pPr>
  </w:style>
  <w:style w:type="paragraph" w:customStyle="1" w:styleId="41">
    <w:name w:val="TOC 标题1"/>
    <w:basedOn w:val="2"/>
    <w:next w:val="3"/>
    <w:unhideWhenUsed/>
    <w:qFormat/>
    <w:uiPriority w:val="39"/>
    <w:pPr>
      <w:spacing w:before="240" w:line="259" w:lineRule="auto"/>
      <w:outlineLvl w:val="9"/>
    </w:pPr>
    <w:rPr>
      <w:b w:val="0"/>
      <w:bCs w:val="0"/>
      <w:color w:val="366091" w:themeColor="accent1" w:themeShade="BF"/>
    </w:rPr>
  </w:style>
  <w:style w:type="character" w:customStyle="1" w:styleId="42">
    <w:name w:val="KeywordTok"/>
    <w:basedOn w:val="39"/>
    <w:qFormat/>
    <w:uiPriority w:val="0"/>
    <w:rPr>
      <w:rFonts w:ascii="Consolas" w:hAnsi="Consolas"/>
      <w:b/>
      <w:color w:val="007020"/>
      <w:sz w:val="22"/>
    </w:rPr>
  </w:style>
  <w:style w:type="character" w:customStyle="1" w:styleId="43">
    <w:name w:val="DataTypeTok"/>
    <w:basedOn w:val="39"/>
    <w:qFormat/>
    <w:uiPriority w:val="0"/>
    <w:rPr>
      <w:rFonts w:ascii="Consolas" w:hAnsi="Consolas"/>
      <w:color w:val="902000"/>
      <w:sz w:val="22"/>
    </w:rPr>
  </w:style>
  <w:style w:type="character" w:customStyle="1" w:styleId="44">
    <w:name w:val="DecValTok"/>
    <w:basedOn w:val="39"/>
    <w:qFormat/>
    <w:uiPriority w:val="0"/>
    <w:rPr>
      <w:rFonts w:ascii="Consolas" w:hAnsi="Consolas"/>
      <w:color w:val="40A070"/>
      <w:sz w:val="22"/>
    </w:rPr>
  </w:style>
  <w:style w:type="character" w:customStyle="1" w:styleId="45">
    <w:name w:val="BaseNTok"/>
    <w:basedOn w:val="39"/>
    <w:qFormat/>
    <w:uiPriority w:val="0"/>
    <w:rPr>
      <w:rFonts w:ascii="Consolas" w:hAnsi="Consolas"/>
      <w:color w:val="40A070"/>
      <w:sz w:val="22"/>
    </w:rPr>
  </w:style>
  <w:style w:type="character" w:customStyle="1" w:styleId="46">
    <w:name w:val="FloatTok"/>
    <w:basedOn w:val="39"/>
    <w:qFormat/>
    <w:uiPriority w:val="0"/>
    <w:rPr>
      <w:rFonts w:ascii="Consolas" w:hAnsi="Consolas"/>
      <w:color w:val="40A070"/>
      <w:sz w:val="22"/>
    </w:rPr>
  </w:style>
  <w:style w:type="character" w:customStyle="1" w:styleId="47">
    <w:name w:val="ConstantTok"/>
    <w:basedOn w:val="39"/>
    <w:qFormat/>
    <w:uiPriority w:val="0"/>
    <w:rPr>
      <w:rFonts w:ascii="Consolas" w:hAnsi="Consolas"/>
      <w:color w:val="880000"/>
      <w:sz w:val="22"/>
    </w:rPr>
  </w:style>
  <w:style w:type="character" w:customStyle="1" w:styleId="48">
    <w:name w:val="CharTok"/>
    <w:basedOn w:val="39"/>
    <w:qFormat/>
    <w:uiPriority w:val="0"/>
    <w:rPr>
      <w:rFonts w:ascii="Consolas" w:hAnsi="Consolas"/>
      <w:color w:val="4070A0"/>
      <w:sz w:val="22"/>
    </w:rPr>
  </w:style>
  <w:style w:type="character" w:customStyle="1" w:styleId="49">
    <w:name w:val="SpecialCharTok"/>
    <w:basedOn w:val="39"/>
    <w:qFormat/>
    <w:uiPriority w:val="0"/>
    <w:rPr>
      <w:rFonts w:ascii="Consolas" w:hAnsi="Consolas"/>
      <w:color w:val="4070A0"/>
      <w:sz w:val="22"/>
    </w:rPr>
  </w:style>
  <w:style w:type="character" w:customStyle="1" w:styleId="50">
    <w:name w:val="StringTok"/>
    <w:basedOn w:val="39"/>
    <w:qFormat/>
    <w:uiPriority w:val="0"/>
    <w:rPr>
      <w:rFonts w:ascii="Consolas" w:hAnsi="Consolas"/>
      <w:color w:val="4070A0"/>
      <w:sz w:val="22"/>
    </w:rPr>
  </w:style>
  <w:style w:type="character" w:customStyle="1" w:styleId="51">
    <w:name w:val="VerbatimStringTok"/>
    <w:basedOn w:val="39"/>
    <w:qFormat/>
    <w:uiPriority w:val="0"/>
    <w:rPr>
      <w:rFonts w:ascii="Consolas" w:hAnsi="Consolas"/>
      <w:color w:val="4070A0"/>
      <w:sz w:val="22"/>
    </w:rPr>
  </w:style>
  <w:style w:type="character" w:customStyle="1" w:styleId="52">
    <w:name w:val="SpecialStringTok"/>
    <w:basedOn w:val="39"/>
    <w:qFormat/>
    <w:uiPriority w:val="0"/>
    <w:rPr>
      <w:rFonts w:ascii="Consolas" w:hAnsi="Consolas"/>
      <w:color w:val="BB6688"/>
      <w:sz w:val="22"/>
    </w:rPr>
  </w:style>
  <w:style w:type="character" w:customStyle="1" w:styleId="53">
    <w:name w:val="ImportTok"/>
    <w:basedOn w:val="39"/>
    <w:qFormat/>
    <w:uiPriority w:val="0"/>
    <w:rPr>
      <w:rFonts w:ascii="Consolas" w:hAnsi="Consolas"/>
      <w:sz w:val="22"/>
    </w:rPr>
  </w:style>
  <w:style w:type="character" w:customStyle="1" w:styleId="54">
    <w:name w:val="CommentTok"/>
    <w:basedOn w:val="39"/>
    <w:qFormat/>
    <w:uiPriority w:val="0"/>
    <w:rPr>
      <w:rFonts w:ascii="Consolas" w:hAnsi="Consolas"/>
      <w:i/>
      <w:color w:val="60A0B0"/>
      <w:sz w:val="22"/>
    </w:rPr>
  </w:style>
  <w:style w:type="character" w:customStyle="1" w:styleId="55">
    <w:name w:val="DocumentationTok"/>
    <w:basedOn w:val="39"/>
    <w:qFormat/>
    <w:uiPriority w:val="0"/>
    <w:rPr>
      <w:rFonts w:ascii="Consolas" w:hAnsi="Consolas"/>
      <w:i/>
      <w:color w:val="BA2121"/>
      <w:sz w:val="22"/>
    </w:rPr>
  </w:style>
  <w:style w:type="character" w:customStyle="1" w:styleId="56">
    <w:name w:val="AnnotationTok"/>
    <w:basedOn w:val="39"/>
    <w:qFormat/>
    <w:uiPriority w:val="0"/>
    <w:rPr>
      <w:rFonts w:ascii="Consolas" w:hAnsi="Consolas"/>
      <w:b/>
      <w:i/>
      <w:color w:val="60A0B0"/>
      <w:sz w:val="22"/>
    </w:rPr>
  </w:style>
  <w:style w:type="character" w:customStyle="1" w:styleId="57">
    <w:name w:val="CommentVarTok"/>
    <w:basedOn w:val="39"/>
    <w:qFormat/>
    <w:uiPriority w:val="0"/>
    <w:rPr>
      <w:rFonts w:ascii="Consolas" w:hAnsi="Consolas"/>
      <w:b/>
      <w:i/>
      <w:color w:val="60A0B0"/>
      <w:sz w:val="22"/>
    </w:rPr>
  </w:style>
  <w:style w:type="character" w:customStyle="1" w:styleId="58">
    <w:name w:val="OtherTok"/>
    <w:basedOn w:val="39"/>
    <w:qFormat/>
    <w:uiPriority w:val="0"/>
    <w:rPr>
      <w:rFonts w:ascii="Consolas" w:hAnsi="Consolas"/>
      <w:color w:val="007020"/>
      <w:sz w:val="22"/>
    </w:rPr>
  </w:style>
  <w:style w:type="character" w:customStyle="1" w:styleId="59">
    <w:name w:val="FunctionTok"/>
    <w:basedOn w:val="39"/>
    <w:qFormat/>
    <w:uiPriority w:val="0"/>
    <w:rPr>
      <w:rFonts w:ascii="Consolas" w:hAnsi="Consolas"/>
      <w:color w:val="06287E"/>
      <w:sz w:val="22"/>
    </w:rPr>
  </w:style>
  <w:style w:type="character" w:customStyle="1" w:styleId="60">
    <w:name w:val="VariableTok"/>
    <w:basedOn w:val="39"/>
    <w:qFormat/>
    <w:uiPriority w:val="0"/>
    <w:rPr>
      <w:rFonts w:ascii="Consolas" w:hAnsi="Consolas"/>
      <w:color w:val="19177C"/>
      <w:sz w:val="22"/>
    </w:rPr>
  </w:style>
  <w:style w:type="character" w:customStyle="1" w:styleId="61">
    <w:name w:val="ControlFlowTok"/>
    <w:basedOn w:val="39"/>
    <w:qFormat/>
    <w:uiPriority w:val="0"/>
    <w:rPr>
      <w:rFonts w:ascii="Consolas" w:hAnsi="Consolas"/>
      <w:b/>
      <w:color w:val="007020"/>
      <w:sz w:val="22"/>
    </w:rPr>
  </w:style>
  <w:style w:type="character" w:customStyle="1" w:styleId="62">
    <w:name w:val="OperatorTok"/>
    <w:basedOn w:val="39"/>
    <w:qFormat/>
    <w:uiPriority w:val="0"/>
    <w:rPr>
      <w:rFonts w:ascii="Consolas" w:hAnsi="Consolas"/>
      <w:color w:val="666666"/>
      <w:sz w:val="22"/>
    </w:rPr>
  </w:style>
  <w:style w:type="character" w:customStyle="1" w:styleId="63">
    <w:name w:val="BuiltInTok"/>
    <w:basedOn w:val="39"/>
    <w:qFormat/>
    <w:uiPriority w:val="0"/>
    <w:rPr>
      <w:rFonts w:ascii="Consolas" w:hAnsi="Consolas"/>
      <w:sz w:val="22"/>
    </w:rPr>
  </w:style>
  <w:style w:type="character" w:customStyle="1" w:styleId="64">
    <w:name w:val="ExtensionTok"/>
    <w:basedOn w:val="39"/>
    <w:qFormat/>
    <w:uiPriority w:val="0"/>
    <w:rPr>
      <w:rFonts w:ascii="Consolas" w:hAnsi="Consolas"/>
      <w:sz w:val="22"/>
    </w:rPr>
  </w:style>
  <w:style w:type="character" w:customStyle="1" w:styleId="65">
    <w:name w:val="PreprocessorTok"/>
    <w:basedOn w:val="39"/>
    <w:qFormat/>
    <w:uiPriority w:val="0"/>
    <w:rPr>
      <w:rFonts w:ascii="Consolas" w:hAnsi="Consolas"/>
      <w:color w:val="BC7A00"/>
      <w:sz w:val="22"/>
    </w:rPr>
  </w:style>
  <w:style w:type="character" w:customStyle="1" w:styleId="66">
    <w:name w:val="AttributeTok"/>
    <w:basedOn w:val="39"/>
    <w:qFormat/>
    <w:uiPriority w:val="0"/>
    <w:rPr>
      <w:rFonts w:ascii="Consolas" w:hAnsi="Consolas"/>
      <w:color w:val="7D9029"/>
      <w:sz w:val="22"/>
    </w:rPr>
  </w:style>
  <w:style w:type="character" w:customStyle="1" w:styleId="67">
    <w:name w:val="RegionMarkerTok"/>
    <w:basedOn w:val="39"/>
    <w:qFormat/>
    <w:uiPriority w:val="0"/>
    <w:rPr>
      <w:rFonts w:ascii="Consolas" w:hAnsi="Consolas"/>
      <w:sz w:val="22"/>
    </w:rPr>
  </w:style>
  <w:style w:type="character" w:customStyle="1" w:styleId="68">
    <w:name w:val="InformationTok"/>
    <w:basedOn w:val="39"/>
    <w:qFormat/>
    <w:uiPriority w:val="0"/>
    <w:rPr>
      <w:rFonts w:ascii="Consolas" w:hAnsi="Consolas"/>
      <w:b/>
      <w:i/>
      <w:color w:val="60A0B0"/>
      <w:sz w:val="22"/>
    </w:rPr>
  </w:style>
  <w:style w:type="character" w:customStyle="1" w:styleId="69">
    <w:name w:val="WarningTok"/>
    <w:basedOn w:val="39"/>
    <w:qFormat/>
    <w:uiPriority w:val="0"/>
    <w:rPr>
      <w:rFonts w:ascii="Consolas" w:hAnsi="Consolas"/>
      <w:b/>
      <w:i/>
      <w:color w:val="60A0B0"/>
      <w:sz w:val="22"/>
    </w:rPr>
  </w:style>
  <w:style w:type="character" w:customStyle="1" w:styleId="70">
    <w:name w:val="AlertTok"/>
    <w:basedOn w:val="39"/>
    <w:qFormat/>
    <w:uiPriority w:val="0"/>
    <w:rPr>
      <w:rFonts w:ascii="Consolas" w:hAnsi="Consolas"/>
      <w:b/>
      <w:color w:val="FF0000"/>
      <w:sz w:val="22"/>
    </w:rPr>
  </w:style>
  <w:style w:type="character" w:customStyle="1" w:styleId="71">
    <w:name w:val="ErrorTok"/>
    <w:basedOn w:val="39"/>
    <w:qFormat/>
    <w:uiPriority w:val="0"/>
    <w:rPr>
      <w:rFonts w:ascii="Consolas" w:hAnsi="Consolas"/>
      <w:b/>
      <w:color w:val="FF0000"/>
      <w:sz w:val="22"/>
    </w:rPr>
  </w:style>
  <w:style w:type="character" w:customStyle="1" w:styleId="72">
    <w:name w:val="NormalTok"/>
    <w:basedOn w:val="39"/>
    <w:qFormat/>
    <w:uiPriority w:val="0"/>
    <w:rPr>
      <w:rFonts w:ascii="Consolas" w:hAnsi="Consolas"/>
      <w:sz w:val="22"/>
    </w:rPr>
  </w:style>
  <w:style w:type="paragraph" w:styleId="73">
    <w:name w:val="List Paragraph"/>
    <w:basedOn w:val="1"/>
    <w:qFormat/>
    <w:uiPriority w:val="1"/>
    <w:pPr>
      <w:spacing w:before="190"/>
      <w:ind w:left="1040" w:firstLine="640"/>
    </w:pPr>
    <w:rPr>
      <w:rFonts w:ascii="仿宋" w:hAnsi="仿宋" w:eastAsia="仿宋" w:cs="仿宋"/>
      <w:lang w:val="en-US" w:eastAsia="zh-CN"/>
    </w:rPr>
  </w:style>
  <w:style w:type="character" w:customStyle="1" w:styleId="74">
    <w:name w:val="批注框文本 Char"/>
    <w:basedOn w:val="22"/>
    <w:link w:val="15"/>
    <w:qFormat/>
    <w:uiPriority w:val="0"/>
    <w:rPr>
      <w:rFonts w:asciiTheme="minorHAnsi" w:hAnsiTheme="minorHAnsi" w:eastAsiaTheme="minorHAnsi" w:cstheme="minorBidi"/>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dk1"/>
        </a:lnRef>
        <a:fillRef idx="0">
          <a:schemeClr val="dk1"/>
        </a:fillRef>
        <a:effectRef idx="1">
          <a:schemeClr val="dk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1047</Words>
  <Characters>5968</Characters>
  <Lines>49</Lines>
  <Paragraphs>14</Paragraphs>
  <TotalTime>39</TotalTime>
  <ScaleCrop>false</ScaleCrop>
  <LinksUpToDate>false</LinksUpToDate>
  <CharactersWithSpaces>7001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2021-05-26T06:47:00Z</dcterms:created>
  <dc:creator>Administrator</dc:creator>
  <dc:description>百度文库</dc:description>
  <cp:lastModifiedBy>Administrator</cp:lastModifiedBy>
  <cp:lastPrinted>2021-09-06T00:55:00Z</cp:lastPrinted>
  <dcterms:modified xsi:type="dcterms:W3CDTF">2021-12-31T07:33:22Z</dcterms:modified>
  <dc:title>道路绿化建设导则 - 百度文库</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mobile-web-app-capable">
    <vt:lpwstr>yes</vt:lpwstr>
  </property>
  <property fmtid="{D5CDD505-2E9C-101B-9397-08002B2CF9AE}" pid="3" name="apple-mobile-web-app-status-bar-style">
    <vt:lpwstr>black</vt:lpwstr>
  </property>
  <property fmtid="{D5CDD505-2E9C-101B-9397-08002B2CF9AE}" pid="4" name="format-detection">
    <vt:lpwstr/>
  </property>
  <property fmtid="{D5CDD505-2E9C-101B-9397-08002B2CF9AE}" pid="5" name="referrer">
    <vt:lpwstr>never</vt:lpwstr>
  </property>
  <property fmtid="{D5CDD505-2E9C-101B-9397-08002B2CF9AE}" pid="6" name="viewport">
    <vt:lpwstr>width=device-width,minimum-scale=1.0,maximum-scale=1.0,user-scalable=no,viewport-fit=cover</vt:lpwstr>
  </property>
  <property fmtid="{D5CDD505-2E9C-101B-9397-08002B2CF9AE}" pid="7" name="KSOProductBuildVer">
    <vt:lpwstr>2052-11.1.0.11115</vt:lpwstr>
  </property>
  <property fmtid="{D5CDD505-2E9C-101B-9397-08002B2CF9AE}" pid="8" name="ICV">
    <vt:lpwstr>9DE937EFE9024211B8B6DD1E6C5C6A84</vt:lpwstr>
  </property>
</Properties>
</file>