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bidi="ar-SA"/>
        </w:rPr>
      </w:pPr>
      <w:r>
        <w:rPr>
          <w:rFonts w:hint="eastAsia" w:ascii="方正小标宋简体" w:hAnsi="方正小标宋简体" w:eastAsia="方正小标宋简体" w:cs="方正小标宋简体"/>
          <w:b w:val="0"/>
          <w:bCs w:val="0"/>
          <w:color w:val="auto"/>
          <w:sz w:val="44"/>
          <w:szCs w:val="44"/>
          <w:lang w:val="en-US" w:eastAsia="zh-CN" w:bidi="ar-SA"/>
        </w:rPr>
        <w:t>霍邱县人民政府关于印发</w:t>
      </w:r>
      <w:r>
        <w:rPr>
          <w:rFonts w:hint="eastAsia" w:ascii="方正小标宋简体" w:hAnsi="方正小标宋简体" w:eastAsia="方正小标宋简体" w:cs="方正小标宋简体"/>
          <w:b w:val="0"/>
          <w:bCs w:val="0"/>
          <w:color w:val="auto"/>
          <w:sz w:val="44"/>
          <w:szCs w:val="44"/>
          <w:lang w:eastAsia="zh-CN" w:bidi="ar-SA"/>
        </w:rPr>
        <w:t>“数字霍邱”建设发展专项规划（</w:t>
      </w:r>
      <w:r>
        <w:rPr>
          <w:rFonts w:hint="eastAsia" w:ascii="方正小标宋简体" w:hAnsi="方正小标宋简体" w:eastAsia="方正小标宋简体" w:cs="方正小标宋简体"/>
          <w:b w:val="0"/>
          <w:bCs w:val="0"/>
          <w:color w:val="auto"/>
          <w:sz w:val="44"/>
          <w:szCs w:val="44"/>
          <w:lang w:val="en-US" w:eastAsia="zh-CN" w:bidi="ar-SA"/>
        </w:rPr>
        <w:t>2021-2025</w:t>
      </w:r>
      <w:r>
        <w:rPr>
          <w:rFonts w:hint="eastAsia" w:ascii="方正小标宋简体" w:hAnsi="方正小标宋简体" w:eastAsia="方正小标宋简体" w:cs="方正小标宋简体"/>
          <w:b w:val="0"/>
          <w:bCs w:val="0"/>
          <w:color w:val="auto"/>
          <w:sz w:val="44"/>
          <w:szCs w:val="44"/>
          <w:lang w:eastAsia="zh-CN" w:bidi="ar-SA"/>
        </w:rPr>
        <w:t>）的通知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1"/>
          <w:szCs w:val="21"/>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各乡镇人民政府，开发区管委，县政府有关部门、有关直属机构：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经县十七届人民政府第99次常务会议同意，现将《</w:t>
      </w:r>
      <w:r>
        <w:rPr>
          <w:rFonts w:hint="eastAsia" w:ascii="仿宋_GB2312" w:hAnsi="仿宋_GB2312" w:eastAsia="仿宋_GB2312" w:cs="仿宋_GB2312"/>
          <w:b w:val="0"/>
          <w:i w:val="0"/>
          <w:caps w:val="0"/>
          <w:color w:val="333333"/>
          <w:spacing w:val="0"/>
          <w:sz w:val="32"/>
          <w:szCs w:val="32"/>
          <w:shd w:val="clear" w:fill="FFFFFF"/>
          <w:lang w:eastAsia="zh-CN"/>
        </w:rPr>
        <w:t>“数字霍邱”建设发展专项规划（</w:t>
      </w:r>
      <w:r>
        <w:rPr>
          <w:rFonts w:hint="eastAsia" w:ascii="仿宋_GB2312" w:hAnsi="仿宋_GB2312" w:eastAsia="仿宋_GB2312" w:cs="仿宋_GB2312"/>
          <w:b w:val="0"/>
          <w:i w:val="0"/>
          <w:caps w:val="0"/>
          <w:color w:val="333333"/>
          <w:spacing w:val="0"/>
          <w:sz w:val="32"/>
          <w:szCs w:val="32"/>
          <w:shd w:val="clear" w:fill="FFFFFF"/>
          <w:lang w:val="en-US" w:eastAsia="zh-CN"/>
        </w:rPr>
        <w:t>2021-2025</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》印发给你们，请遵照执行。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eastAsia" w:ascii="仿宋_GB2312" w:hAnsi="仿宋_GB2312" w:eastAsia="仿宋_GB2312" w:cs="仿宋_GB2312"/>
          <w:b w:val="0"/>
          <w:i w:val="0"/>
          <w:caps w:val="0"/>
          <w:color w:val="333333"/>
          <w:spacing w:val="0"/>
          <w:sz w:val="32"/>
          <w:szCs w:val="32"/>
          <w:shd w:val="clear" w:fill="FFFFFF"/>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r>
        <w:rPr>
          <w:rFonts w:hint="eastAsia" w:ascii="仿宋_GB2312" w:hAnsi="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20</w:t>
      </w:r>
      <w:r>
        <w:rPr>
          <w:rFonts w:hint="eastAsia" w:ascii="仿宋_GB2312" w:hAnsi="仿宋_GB2312" w:eastAsia="仿宋_GB2312" w:cs="仿宋_GB2312"/>
          <w:b w:val="0"/>
          <w:i w:val="0"/>
          <w:caps w:val="0"/>
          <w:color w:val="333333"/>
          <w:spacing w:val="0"/>
          <w:sz w:val="32"/>
          <w:szCs w:val="32"/>
          <w:shd w:val="clear" w:fill="FFFFFF"/>
          <w:lang w:val="en-US" w:eastAsia="zh-CN"/>
        </w:rPr>
        <w:t>21</w:t>
      </w:r>
      <w:r>
        <w:rPr>
          <w:rFonts w:hint="eastAsia" w:ascii="仿宋_GB2312" w:hAnsi="仿宋_GB2312" w:eastAsia="仿宋_GB2312" w:cs="仿宋_GB2312"/>
          <w:b w:val="0"/>
          <w:i w:val="0"/>
          <w:caps w:val="0"/>
          <w:color w:val="333333"/>
          <w:spacing w:val="0"/>
          <w:sz w:val="32"/>
          <w:szCs w:val="32"/>
          <w:shd w:val="clear" w:fill="FFFFFF"/>
        </w:rPr>
        <w:t>年</w:t>
      </w:r>
      <w:r>
        <w:rPr>
          <w:rFonts w:hint="eastAsia" w:ascii="仿宋_GB2312" w:hAnsi="仿宋_GB2312" w:eastAsia="仿宋_GB2312" w:cs="仿宋_GB2312"/>
          <w:b w:val="0"/>
          <w:i w:val="0"/>
          <w:caps w:val="0"/>
          <w:color w:val="333333"/>
          <w:spacing w:val="0"/>
          <w:sz w:val="32"/>
          <w:szCs w:val="32"/>
          <w:shd w:val="clear" w:fill="FFFFFF"/>
          <w:lang w:val="en-US" w:eastAsia="zh-CN"/>
        </w:rPr>
        <w:t>3</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仿宋_GB2312" w:hAnsi="仿宋_GB2312" w:eastAsia="仿宋_GB2312" w:cs="仿宋_GB2312"/>
          <w:b w:val="0"/>
          <w:i w:val="0"/>
          <w:caps w:val="0"/>
          <w:color w:val="333333"/>
          <w:spacing w:val="0"/>
          <w:sz w:val="32"/>
          <w:szCs w:val="32"/>
          <w:shd w:val="clear" w:fill="FFFFFF"/>
          <w:lang w:val="en-US" w:eastAsia="zh-CN"/>
        </w:rPr>
        <w:t>16</w:t>
      </w:r>
      <w:r>
        <w:rPr>
          <w:rFonts w:hint="eastAsia" w:ascii="仿宋_GB2312" w:hAnsi="仿宋_GB2312" w:eastAsia="仿宋_GB2312" w:cs="仿宋_GB2312"/>
          <w:b w:val="0"/>
          <w:i w:val="0"/>
          <w:caps w:val="0"/>
          <w:color w:val="333333"/>
          <w:spacing w:val="0"/>
          <w:sz w:val="32"/>
          <w:szCs w:val="32"/>
          <w:shd w:val="clear" w:fill="FFFFFF"/>
        </w:rPr>
        <w:t>日</w:t>
      </w: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小标宋简体" w:hAnsi="方正小标宋简体" w:eastAsia="方正小标宋简体" w:cs="方正小标宋简体"/>
          <w:b/>
          <w:bCs/>
          <w:color w:val="auto"/>
          <w:sz w:val="44"/>
          <w:szCs w:val="44"/>
          <w:lang w:val="en-US" w:eastAsia="zh-CN" w:bidi="ar-SA"/>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eastAsia="zh-CN" w:bidi="ar-SA"/>
        </w:rPr>
      </w:pPr>
      <w:r>
        <w:rPr>
          <w:rFonts w:hint="eastAsia" w:ascii="方正小标宋简体" w:hAnsi="方正小标宋简体" w:eastAsia="方正小标宋简体" w:cs="方正小标宋简体"/>
          <w:b/>
          <w:bCs/>
          <w:color w:val="auto"/>
          <w:sz w:val="44"/>
          <w:szCs w:val="44"/>
          <w:lang w:val="en-US" w:eastAsia="zh-CN" w:bidi="ar-SA"/>
        </w:rPr>
        <w:t xml:space="preserve">                                                                                                                                                                                                                                                                                                                                                                                                                                                                                                                                                                                                                                                                                                                                                                                                                                                                                                                                                                                                                                                                                                                                                                                                                                                                                                                                                                                                                                                                                                                                                                                                                                                                                                                                      </w:t>
      </w:r>
      <w:r>
        <w:rPr>
          <w:rFonts w:hint="eastAsia" w:ascii="方正小标宋简体" w:hAnsi="方正小标宋简体" w:eastAsia="方正小标宋简体" w:cs="方正小标宋简体"/>
          <w:b/>
          <w:bCs/>
          <w:color w:val="auto"/>
          <w:sz w:val="44"/>
          <w:szCs w:val="44"/>
          <w:lang w:eastAsia="zh-CN" w:bidi="ar-SA"/>
        </w:rPr>
        <w:t>“数字霍邱”建设发展规划</w:t>
      </w: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b/>
          <w:bCs/>
          <w:color w:val="auto"/>
          <w:sz w:val="44"/>
          <w:szCs w:val="44"/>
          <w:lang w:eastAsia="zh-CN" w:bidi="ar-SA"/>
        </w:rPr>
      </w:pPr>
      <w:r>
        <w:rPr>
          <w:rFonts w:hint="eastAsia" w:ascii="方正小标宋简体" w:hAnsi="方正小标宋简体" w:eastAsia="方正小标宋简体" w:cs="方正小标宋简体"/>
          <w:b/>
          <w:bCs/>
          <w:color w:val="auto"/>
          <w:sz w:val="44"/>
          <w:szCs w:val="44"/>
          <w:lang w:eastAsia="zh-CN" w:bidi="ar-SA"/>
        </w:rPr>
        <w:t>（</w:t>
      </w:r>
      <w:r>
        <w:rPr>
          <w:rFonts w:hint="eastAsia" w:ascii="方正小标宋简体" w:hAnsi="方正小标宋简体" w:eastAsia="方正小标宋简体" w:cs="方正小标宋简体"/>
          <w:b/>
          <w:bCs/>
          <w:color w:val="auto"/>
          <w:sz w:val="44"/>
          <w:szCs w:val="44"/>
          <w:lang w:val="en-US" w:eastAsia="zh-CN" w:bidi="ar-SA"/>
        </w:rPr>
        <w:t>2021-2025</w:t>
      </w:r>
      <w:r>
        <w:rPr>
          <w:rFonts w:hint="eastAsia" w:ascii="方正小标宋简体" w:hAnsi="方正小标宋简体" w:eastAsia="方正小标宋简体" w:cs="方正小标宋简体"/>
          <w:b/>
          <w:bCs/>
          <w:color w:val="auto"/>
          <w:sz w:val="44"/>
          <w:szCs w:val="44"/>
          <w:lang w:eastAsia="zh-CN" w:bidi="ar-SA"/>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leftChars="0" w:right="0" w:firstLine="0" w:firstLineChars="0"/>
        <w:jc w:val="both"/>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方正楷体_GBK" w:hAnsi="方正楷体_GBK" w:eastAsia="方正楷体_GBK" w:cs="方正楷体_GBK"/>
          <w:i w:val="0"/>
          <w:caps w:val="0"/>
          <w:color w:val="auto"/>
          <w:spacing w:val="8"/>
          <w:sz w:val="32"/>
          <w:szCs w:val="32"/>
          <w:shd w:val="clear" w:fill="FFFFFF"/>
          <w:lang w:eastAsia="zh-CN"/>
        </w:rPr>
      </w:pPr>
    </w:p>
    <w:p>
      <w:pPr>
        <w:pStyle w:val="11"/>
        <w:keepNext w:val="0"/>
        <w:keepLines w:val="0"/>
        <w:pageBreakBefore w:val="0"/>
        <w:widowControl/>
        <w:pBdr>
          <w:top w:val="none" w:color="191919" w:sz="0" w:space="0"/>
          <w:left w:val="none" w:color="191919" w:sz="0" w:space="0"/>
          <w:bottom w:val="none" w:color="191919" w:sz="0" w:space="0"/>
          <w:right w:val="none" w:color="191919" w:sz="0" w:space="0"/>
        </w:pBdr>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2021年03月</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right="0" w:rightChars="0"/>
        <w:jc w:val="both"/>
        <w:outlineLvl w:val="0"/>
        <w:rPr>
          <w:rFonts w:hint="eastAsia" w:ascii="方正黑体_GBK" w:hAnsi="方正黑体_GBK" w:eastAsia="方正黑体_GBK" w:cs="方正黑体_GBK"/>
          <w:i w:val="0"/>
          <w:caps w:val="0"/>
          <w:color w:val="auto"/>
          <w:spacing w:val="8"/>
          <w:sz w:val="32"/>
          <w:szCs w:val="32"/>
          <w:shd w:val="clear" w:fill="FFFFFF"/>
          <w:lang w:val="en-US" w:eastAsia="zh-CN"/>
        </w:rPr>
        <w:sectPr>
          <w:pgSz w:w="11906" w:h="16838"/>
          <w:pgMar w:top="1440" w:right="1800" w:bottom="1440" w:left="1800" w:header="851" w:footer="992" w:gutter="0"/>
          <w:pgNumType w:fmt="decimal"/>
          <w:cols w:space="0" w:num="1"/>
          <w:rtlGutter w:val="0"/>
          <w:docGrid w:type="lines" w:linePitch="317" w:charSpace="0"/>
        </w:sectPr>
      </w:pPr>
    </w:p>
    <w:sdt>
      <w:sdtPr>
        <w:rPr>
          <w:rFonts w:ascii="宋体" w:hAnsi="宋体" w:eastAsia="宋体" w:cs="仿宋_GB2312"/>
          <w:color w:val="000000" w:themeColor="text1"/>
          <w:kern w:val="0"/>
          <w:sz w:val="21"/>
          <w:szCs w:val="32"/>
          <w:lang w:val="en-US" w:eastAsia="zh-CN" w:bidi="ar-SA"/>
          <w14:textFill>
            <w14:solidFill>
              <w14:schemeClr w14:val="tx1"/>
            </w14:solidFill>
          </w14:textFill>
        </w:rPr>
        <w:id w:val="147467104"/>
        <w15:color w:val="DBDBDB"/>
        <w:docPartObj>
          <w:docPartGallery w:val="Table of Contents"/>
          <w:docPartUnique/>
        </w:docPartObj>
      </w:sdtPr>
      <w:sdtEndPr>
        <w:rPr>
          <w:rFonts w:hint="eastAsia" w:ascii="方正黑体_GBK" w:hAnsi="方正黑体_GBK" w:eastAsia="方正黑体_GBK" w:cs="方正黑体_GBK"/>
          <w:i w:val="0"/>
          <w:caps w:val="0"/>
          <w:color w:val="auto"/>
          <w:spacing w:val="8"/>
          <w:kern w:val="0"/>
          <w:sz w:val="24"/>
          <w:szCs w:val="32"/>
          <w:shd w:val="clear" w:fill="FFFFFF"/>
          <w:lang w:val="en-US" w:eastAsia="zh-CN" w:bidi="ar"/>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楷体" w:hAnsi="楷体" w:eastAsia="楷体" w:cs="楷体"/>
              <w:sz w:val="28"/>
              <w:szCs w:val="28"/>
            </w:rPr>
          </w:pPr>
          <w:r>
            <w:rPr>
              <w:rFonts w:hint="eastAsia" w:ascii="楷体" w:hAnsi="楷体" w:eastAsia="楷体" w:cs="楷体"/>
              <w:sz w:val="44"/>
              <w:szCs w:val="44"/>
            </w:rPr>
            <w:t>目录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color w:val="auto"/>
              <w:spacing w:val="8"/>
              <w:sz w:val="28"/>
              <w:szCs w:val="28"/>
              <w:shd w:val="clear" w:fill="FFFFFF"/>
              <w:lang w:val="en-US" w:eastAsia="zh-CN"/>
            </w:rPr>
            <w:instrText xml:space="preserve">TOC \o "1-3" \h \u </w:instrText>
          </w:r>
          <w:r>
            <w:rPr>
              <w:rFonts w:hint="eastAsia" w:ascii="仿宋_GB2312" w:hAnsi="仿宋_GB2312" w:eastAsia="仿宋_GB2312" w:cs="仿宋_GB2312"/>
              <w:i w:val="0"/>
              <w:caps w:val="0"/>
              <w:color w:val="auto"/>
              <w:spacing w:val="8"/>
              <w:sz w:val="28"/>
              <w:szCs w:val="28"/>
              <w:shd w:val="clear" w:fill="FFFFFF"/>
              <w:lang w:val="en-US" w:eastAsia="zh-CN"/>
            </w:rPr>
            <w:fldChar w:fldCharType="separate"/>
          </w: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_Toc15813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val="en-US" w:eastAsia="zh-CN"/>
            </w:rPr>
            <w:t>前言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_Toc18136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eastAsia="zh-CN"/>
            </w:rPr>
            <w:t>一、现状与形势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_Toc18136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_Toc27705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（一）发展现状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_Toc27705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_Toc23480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（二）存在问题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_Toc18945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eastAsia="zh-CN"/>
            </w:rPr>
            <w:t>二、总体要求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_Toc30147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（一）指导思想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_Toc18393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（二） 发展目标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_Toc18393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_Toc20776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eastAsia="zh-CN"/>
            </w:rPr>
            <w:t>三、设计架构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_Toc20776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_Toc30433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（一）总体架构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_Toc30433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_Toc25844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（二）业务架构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_Toc22191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val="en-US" w:eastAsia="zh-CN"/>
            </w:rPr>
            <w:t>四、主要任务及重点工程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_Toc31518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（一）基础设施建设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_Toc31518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_Toc29365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（二）深入建设数字政府，提升公共服务水平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_Toc22503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（三） 社会治理现代化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_Toc22503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_Toc3362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（四）完善城市管理应用体系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_Toc3362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_Toc1690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（五）大力推进数字农村，助力美丽乡村建设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_Toc22097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（六）完善数据资源归集共享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_Toc22097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_Toc7159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i w:val="0"/>
              <w:caps w:val="0"/>
              <w:spacing w:val="8"/>
              <w:sz w:val="28"/>
              <w:szCs w:val="28"/>
              <w:shd w:val="clear" w:fill="FFFFFF"/>
              <w:lang w:val="en-US" w:eastAsia="zh-CN"/>
            </w:rPr>
            <w:t>五、保障措施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_Toc7159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_Toc7636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（一）加强规划的统筹协调和组织实施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_Toc7636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_Toc3132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（二） 完善推进数字化发展的体制机制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_Toc22807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（三）加大财税金融支持力度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_Toc22807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_Toc25003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（四）加强人才建设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_Toc25003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_Toc14679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bCs w:val="0"/>
              <w:sz w:val="28"/>
              <w:szCs w:val="28"/>
              <w:lang w:val="en-US" w:eastAsia="zh-CN"/>
            </w:rPr>
            <w:t>（五）建立健全法规标准体系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_Toc14679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_Toc12232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kern w:val="0"/>
              <w:sz w:val="28"/>
              <w:szCs w:val="28"/>
              <w:lang w:val="en-US" w:eastAsia="zh-CN" w:bidi="ar"/>
            </w:rPr>
            <w:t>（六）完善评价考核</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_Toc12232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auto"/>
              <w:spacing w:val="8"/>
              <w:sz w:val="28"/>
              <w:szCs w:val="28"/>
              <w:shd w:val="clear" w:fill="FFFFFF"/>
              <w:lang w:val="en-US" w:eastAsia="zh-CN"/>
            </w:rPr>
            <w:fldChar w:fldCharType="begin"/>
          </w:r>
          <w:r>
            <w:rPr>
              <w:rFonts w:hint="eastAsia" w:ascii="仿宋_GB2312" w:hAnsi="仿宋_GB2312" w:eastAsia="仿宋_GB2312" w:cs="仿宋_GB2312"/>
              <w:i w:val="0"/>
              <w:caps w:val="0"/>
              <w:spacing w:val="8"/>
              <w:sz w:val="28"/>
              <w:szCs w:val="28"/>
              <w:shd w:val="clear" w:fill="FFFFFF"/>
              <w:lang w:val="en-US" w:eastAsia="zh-CN"/>
            </w:rPr>
            <w:instrText xml:space="preserve"> HYPERLINK \l _Toc7941 </w:instrText>
          </w:r>
          <w:r>
            <w:rPr>
              <w:rFonts w:hint="eastAsia" w:ascii="仿宋_GB2312" w:hAnsi="仿宋_GB2312" w:eastAsia="仿宋_GB2312" w:cs="仿宋_GB2312"/>
              <w:i w:val="0"/>
              <w:caps w:val="0"/>
              <w:spacing w:val="8"/>
              <w:sz w:val="28"/>
              <w:szCs w:val="28"/>
              <w:shd w:val="clear" w:fill="FFFFFF"/>
              <w:lang w:val="en-US" w:eastAsia="zh-CN"/>
            </w:rPr>
            <w:fldChar w:fldCharType="separate"/>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right="0" w:rightChars="0"/>
            <w:jc w:val="both"/>
            <w:textAlignment w:val="auto"/>
            <w:outlineLvl w:val="0"/>
            <w:rPr>
              <w:rFonts w:hint="eastAsia" w:ascii="方正黑体_GBK" w:hAnsi="方正黑体_GBK" w:eastAsia="方正黑体_GBK" w:cs="方正黑体_GBK"/>
              <w:i w:val="0"/>
              <w:caps w:val="0"/>
              <w:color w:val="auto"/>
              <w:spacing w:val="8"/>
              <w:sz w:val="32"/>
              <w:szCs w:val="32"/>
              <w:shd w:val="clear" w:fill="FFFFFF"/>
              <w:lang w:val="en-US" w:eastAsia="zh-CN"/>
            </w:rPr>
          </w:pPr>
          <w:r>
            <w:rPr>
              <w:rFonts w:hint="eastAsia" w:ascii="仿宋_GB2312" w:hAnsi="仿宋_GB2312" w:eastAsia="仿宋_GB2312" w:cs="仿宋_GB2312"/>
              <w:i w:val="0"/>
              <w:caps w:val="0"/>
              <w:color w:val="auto"/>
              <w:spacing w:val="8"/>
              <w:sz w:val="28"/>
              <w:szCs w:val="28"/>
              <w:shd w:val="clear" w:fill="FFFFFF"/>
              <w:lang w:val="en-US" w:eastAsia="zh-CN"/>
            </w:rPr>
            <w:fldChar w:fldCharType="end"/>
          </w:r>
        </w:p>
      </w:sdtContent>
    </w:sdt>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240" w:lineRule="auto"/>
        <w:ind w:right="0" w:rightChars="0"/>
        <w:jc w:val="both"/>
        <w:textAlignment w:val="auto"/>
        <w:outlineLvl w:val="0"/>
        <w:rPr>
          <w:rFonts w:hint="eastAsia" w:ascii="方正黑体_GBK" w:hAnsi="方正黑体_GBK" w:eastAsia="方正黑体_GBK" w:cs="方正黑体_GBK"/>
          <w:i w:val="0"/>
          <w:caps w:val="0"/>
          <w:color w:val="auto"/>
          <w:spacing w:val="8"/>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240" w:lineRule="auto"/>
        <w:ind w:right="0" w:rightChars="0"/>
        <w:jc w:val="center"/>
        <w:textAlignment w:val="auto"/>
        <w:outlineLvl w:val="0"/>
        <w:rPr>
          <w:rFonts w:hint="eastAsia" w:ascii="方正黑体_GBK" w:hAnsi="方正黑体_GBK" w:eastAsia="方正黑体_GBK" w:cs="方正黑体_GBK"/>
          <w:i w:val="0"/>
          <w:caps w:val="0"/>
          <w:color w:val="auto"/>
          <w:spacing w:val="8"/>
          <w:sz w:val="32"/>
          <w:szCs w:val="32"/>
          <w:shd w:val="clear" w:fill="FFFFFF"/>
          <w:lang w:val="en-US" w:eastAsia="zh-CN"/>
        </w:rPr>
        <w:sectPr>
          <w:footerReference r:id="rId5" w:type="default"/>
          <w:pgSz w:w="11906" w:h="16838"/>
          <w:pgMar w:top="1440" w:right="1800" w:bottom="1440" w:left="1800" w:header="851" w:footer="992" w:gutter="0"/>
          <w:pgNumType w:fmt="decimal" w:start="1"/>
          <w:cols w:space="0" w:num="1"/>
          <w:rtlGutter w:val="0"/>
          <w:docGrid w:type="lines" w:linePitch="317" w:charSpace="0"/>
        </w:sectPr>
      </w:pPr>
      <w:bookmarkStart w:id="0" w:name="_Toc15813"/>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jc w:val="center"/>
        <w:textAlignment w:val="auto"/>
        <w:outlineLvl w:val="0"/>
        <w:rPr>
          <w:rFonts w:hint="eastAsia" w:ascii="黑体" w:hAnsi="黑体" w:eastAsia="黑体" w:cs="黑体"/>
          <w:b/>
          <w:bCs/>
          <w:color w:val="auto"/>
          <w:kern w:val="2"/>
          <w:sz w:val="44"/>
          <w:szCs w:val="44"/>
          <w:lang w:val="en-US" w:eastAsia="zh-CN" w:bidi="ar-SA"/>
        </w:rPr>
      </w:pPr>
      <w:r>
        <w:rPr>
          <w:rFonts w:hint="eastAsia" w:ascii="方正黑体_GBK" w:hAnsi="方正黑体_GBK" w:eastAsia="方正黑体_GBK" w:cs="方正黑体_GBK"/>
          <w:i w:val="0"/>
          <w:caps w:val="0"/>
          <w:color w:val="auto"/>
          <w:spacing w:val="8"/>
          <w:sz w:val="32"/>
          <w:szCs w:val="32"/>
          <w:shd w:val="clear" w:fill="FFFFFF"/>
          <w:lang w:val="en-US" w:eastAsia="zh-CN"/>
        </w:rPr>
        <w:t>前言</w:t>
      </w:r>
      <w:bookmarkEnd w:id="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auto"/>
          <w:spacing w:val="8"/>
          <w:sz w:val="32"/>
          <w:szCs w:val="32"/>
          <w:shd w:val="clear" w:fill="FFFFFF"/>
          <w:lang w:val="en-US" w:eastAsia="zh-CN"/>
        </w:rPr>
      </w:pPr>
      <w:r>
        <w:rPr>
          <w:rFonts w:hint="eastAsia" w:ascii="仿宋_GB2312" w:hAnsi="仿宋_GB2312" w:cs="仿宋_GB2312"/>
          <w:i w:val="0"/>
          <w:caps w:val="0"/>
          <w:color w:val="auto"/>
          <w:spacing w:val="8"/>
          <w:sz w:val="32"/>
          <w:szCs w:val="32"/>
          <w:shd w:val="clear" w:fill="FFFFFF"/>
          <w:lang w:val="en-US" w:eastAsia="zh-CN"/>
        </w:rPr>
        <w:t>“数字霍邱”</w:t>
      </w:r>
      <w:r>
        <w:rPr>
          <w:rFonts w:hint="eastAsia" w:ascii="仿宋_GB2312" w:hAnsi="仿宋_GB2312" w:eastAsia="仿宋_GB2312" w:cs="仿宋_GB2312"/>
          <w:i w:val="0"/>
          <w:caps w:val="0"/>
          <w:color w:val="auto"/>
          <w:spacing w:val="8"/>
          <w:sz w:val="32"/>
          <w:szCs w:val="32"/>
          <w:shd w:val="clear" w:fill="FFFFFF"/>
          <w:lang w:val="en-US" w:eastAsia="zh-CN"/>
        </w:rPr>
        <w:t>建设是把新一代信息技术充分运用在城市中各行各业基于知识社会创新的城市信息化高级形态，实现</w:t>
      </w:r>
      <w:r>
        <w:rPr>
          <w:rFonts w:hint="eastAsia" w:ascii="仿宋_GB2312" w:hAnsi="仿宋_GB2312" w:cs="仿宋_GB2312"/>
          <w:i w:val="0"/>
          <w:caps w:val="0"/>
          <w:color w:val="auto"/>
          <w:spacing w:val="8"/>
          <w:sz w:val="32"/>
          <w:szCs w:val="32"/>
          <w:shd w:val="clear" w:fill="FFFFFF"/>
          <w:lang w:val="en-US" w:eastAsia="zh-CN"/>
        </w:rPr>
        <w:t>数字</w:t>
      </w:r>
      <w:r>
        <w:rPr>
          <w:rFonts w:hint="eastAsia" w:ascii="仿宋_GB2312" w:hAnsi="仿宋_GB2312" w:eastAsia="仿宋_GB2312" w:cs="仿宋_GB2312"/>
          <w:i w:val="0"/>
          <w:caps w:val="0"/>
          <w:color w:val="auto"/>
          <w:spacing w:val="8"/>
          <w:sz w:val="32"/>
          <w:szCs w:val="32"/>
          <w:shd w:val="clear" w:fill="FFFFFF"/>
          <w:lang w:val="en-US" w:eastAsia="zh-CN"/>
        </w:rPr>
        <w:t>化、工业化与城镇化深度融合，提高城镇化质量，实现精细化和动态管理，并提升城市管理成效和改善市民生活质量。随着信息技术和人类生产生活交汇融合，互联网快速普及，我国智慧城市发展理念、建设思路、实施路径、运行模式、技术手段的全方位迭代升级，进入以人为本、成效导向、统筹集约、协同创新的数字</w:t>
      </w:r>
      <w:r>
        <w:rPr>
          <w:rFonts w:hint="eastAsia" w:ascii="仿宋_GB2312" w:hAnsi="仿宋_GB2312" w:cs="仿宋_GB2312"/>
          <w:i w:val="0"/>
          <w:caps w:val="0"/>
          <w:color w:val="auto"/>
          <w:spacing w:val="8"/>
          <w:sz w:val="32"/>
          <w:szCs w:val="32"/>
          <w:shd w:val="clear" w:fill="FFFFFF"/>
          <w:lang w:val="en-US" w:eastAsia="zh-CN"/>
        </w:rPr>
        <w:t>化</w:t>
      </w:r>
      <w:r>
        <w:rPr>
          <w:rFonts w:hint="eastAsia" w:ascii="仿宋_GB2312" w:hAnsi="仿宋_GB2312" w:eastAsia="仿宋_GB2312" w:cs="仿宋_GB2312"/>
          <w:i w:val="0"/>
          <w:caps w:val="0"/>
          <w:color w:val="auto"/>
          <w:spacing w:val="8"/>
          <w:sz w:val="32"/>
          <w:szCs w:val="32"/>
          <w:shd w:val="clear" w:fill="FFFFFF"/>
          <w:lang w:val="en-US" w:eastAsia="zh-CN"/>
        </w:rPr>
        <w:t>发展阶段。对国家管理、经济发展、社会治理、人民生活都产生重大影响。世界各国都把推进智能化、数字化产业作为实现创新发展的重要动能，在前沿技术研发、数据开放共享、隐私安全保护、人才培养等方面做前瞻性布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cs="仿宋_GB2312"/>
          <w:i w:val="0"/>
          <w:caps w:val="0"/>
          <w:color w:val="auto"/>
          <w:spacing w:val="8"/>
          <w:sz w:val="32"/>
          <w:szCs w:val="32"/>
          <w:shd w:val="clear" w:fill="FFFFFF"/>
          <w:lang w:val="en-US" w:eastAsia="zh-CN"/>
        </w:rPr>
      </w:pPr>
      <w:r>
        <w:rPr>
          <w:rFonts w:hint="eastAsia" w:ascii="仿宋_GB2312" w:hAnsi="仿宋_GB2312" w:eastAsia="仿宋_GB2312" w:cs="仿宋_GB2312"/>
          <w:i w:val="0"/>
          <w:caps w:val="0"/>
          <w:color w:val="auto"/>
          <w:spacing w:val="8"/>
          <w:sz w:val="32"/>
          <w:szCs w:val="32"/>
          <w:shd w:val="clear" w:fill="FFFFFF"/>
        </w:rPr>
        <w:t>为贯彻落实省委、省政府关于加快“数字江淮”建设的决策部署，加快提升政府治理体系和治理能力现代化水平，推动霍邱县转型升级，依据《国家信息化发展战略纲要》《促进大数据发展行动纲要》《关于构建更加完善的要素市场化配置体制机制的意见》《长江三角洲区域一体化发展规划纲要》《安徽省“数字政府”建设规划</w:t>
      </w:r>
      <w:r>
        <w:rPr>
          <w:rFonts w:hint="eastAsia" w:ascii="仿宋_GB2312" w:hAnsi="仿宋_GB2312" w:eastAsia="仿宋_GB2312" w:cs="仿宋_GB2312"/>
          <w:i w:val="0"/>
          <w:caps w:val="0"/>
          <w:color w:val="auto"/>
          <w:spacing w:val="8"/>
          <w:sz w:val="32"/>
          <w:szCs w:val="32"/>
          <w:shd w:val="clear" w:fill="FFFFFF"/>
          <w:lang w:eastAsia="zh-CN"/>
        </w:rPr>
        <w:t>（</w:t>
      </w:r>
      <w:r>
        <w:rPr>
          <w:rFonts w:hint="eastAsia" w:ascii="仿宋_GB2312" w:hAnsi="仿宋_GB2312" w:eastAsia="仿宋_GB2312" w:cs="仿宋_GB2312"/>
          <w:i w:val="0"/>
          <w:caps w:val="0"/>
          <w:color w:val="auto"/>
          <w:spacing w:val="8"/>
          <w:sz w:val="32"/>
          <w:szCs w:val="32"/>
          <w:shd w:val="clear" w:fill="FFFFFF"/>
        </w:rPr>
        <w:t>20</w:t>
      </w:r>
      <w:r>
        <w:rPr>
          <w:rFonts w:hint="eastAsia" w:ascii="仿宋_GB2312" w:hAnsi="仿宋_GB2312" w:eastAsia="仿宋_GB2312" w:cs="仿宋_GB2312"/>
          <w:i w:val="0"/>
          <w:caps w:val="0"/>
          <w:color w:val="auto"/>
          <w:spacing w:val="8"/>
          <w:sz w:val="32"/>
          <w:szCs w:val="32"/>
          <w:shd w:val="clear" w:fill="FFFFFF"/>
          <w:lang w:val="en-US" w:eastAsia="zh-CN"/>
        </w:rPr>
        <w:t>20</w:t>
      </w:r>
      <w:r>
        <w:rPr>
          <w:rFonts w:hint="eastAsia" w:ascii="仿宋_GB2312" w:hAnsi="仿宋_GB2312" w:eastAsia="仿宋_GB2312" w:cs="仿宋_GB2312"/>
          <w:i w:val="0"/>
          <w:caps w:val="0"/>
          <w:color w:val="auto"/>
          <w:spacing w:val="8"/>
          <w:sz w:val="32"/>
          <w:szCs w:val="32"/>
          <w:shd w:val="clear" w:fill="FFFFFF"/>
        </w:rPr>
        <w:t>年-2025年》等编制本规划。本规划的规划期为202</w:t>
      </w:r>
      <w:r>
        <w:rPr>
          <w:rFonts w:hint="eastAsia" w:ascii="仿宋_GB2312" w:hAnsi="仿宋_GB2312" w:eastAsia="仿宋_GB2312" w:cs="仿宋_GB2312"/>
          <w:i w:val="0"/>
          <w:caps w:val="0"/>
          <w:color w:val="auto"/>
          <w:spacing w:val="8"/>
          <w:sz w:val="32"/>
          <w:szCs w:val="32"/>
          <w:shd w:val="clear" w:fill="FFFFFF"/>
          <w:lang w:val="en-US" w:eastAsia="zh-CN"/>
        </w:rPr>
        <w:t>1</w:t>
      </w:r>
      <w:r>
        <w:rPr>
          <w:rFonts w:hint="eastAsia" w:ascii="仿宋_GB2312" w:hAnsi="仿宋_GB2312" w:eastAsia="仿宋_GB2312" w:cs="仿宋_GB2312"/>
          <w:i w:val="0"/>
          <w:caps w:val="0"/>
          <w:color w:val="auto"/>
          <w:spacing w:val="8"/>
          <w:sz w:val="32"/>
          <w:szCs w:val="32"/>
          <w:shd w:val="clear" w:fill="FFFFFF"/>
        </w:rPr>
        <w:t>年—2025年。</w:t>
      </w:r>
      <w:r>
        <w:rPr>
          <w:rFonts w:hint="eastAsia" w:ascii="仿宋_GB2312" w:hAnsi="仿宋_GB2312" w:cs="仿宋_GB2312"/>
          <w:i w:val="0"/>
          <w:caps w:val="0"/>
          <w:color w:val="auto"/>
          <w:spacing w:val="8"/>
          <w:sz w:val="32"/>
          <w:szCs w:val="32"/>
          <w:shd w:val="clear"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cs="仿宋_GB2312"/>
          <w:i w:val="0"/>
          <w:caps w:val="0"/>
          <w:color w:val="auto"/>
          <w:spacing w:val="8"/>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cs="仿宋_GB2312"/>
          <w:i w:val="0"/>
          <w:caps w:val="0"/>
          <w:color w:val="auto"/>
          <w:spacing w:val="8"/>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default" w:ascii="方正黑体_GBK" w:hAnsi="方正黑体_GBK" w:eastAsia="方正黑体_GBK" w:cs="方正黑体_GBK"/>
          <w:i w:val="0"/>
          <w:caps w:val="0"/>
          <w:color w:val="auto"/>
          <w:spacing w:val="8"/>
          <w:sz w:val="32"/>
          <w:szCs w:val="32"/>
          <w:shd w:val="clear" w:fill="FFFFFF"/>
          <w:lang w:val="en-US" w:eastAsia="zh-CN"/>
        </w:rPr>
      </w:pPr>
      <w:bookmarkStart w:id="1" w:name="_Toc18136"/>
      <w:r>
        <w:rPr>
          <w:rFonts w:hint="eastAsia" w:ascii="方正黑体_GBK" w:hAnsi="方正黑体_GBK" w:eastAsia="方正黑体_GBK" w:cs="方正黑体_GBK"/>
          <w:i w:val="0"/>
          <w:caps w:val="0"/>
          <w:color w:val="auto"/>
          <w:spacing w:val="8"/>
          <w:sz w:val="32"/>
          <w:szCs w:val="32"/>
          <w:shd w:val="clear" w:fill="FFFFFF"/>
          <w:lang w:eastAsia="zh-CN"/>
        </w:rPr>
        <w:t>一、现状与形势</w:t>
      </w:r>
      <w:bookmarkEnd w:id="1"/>
      <w:r>
        <w:rPr>
          <w:rFonts w:hint="eastAsia" w:ascii="方正黑体_GBK" w:hAnsi="方正黑体_GBK" w:eastAsia="方正黑体_GBK" w:cs="方正黑体_GBK"/>
          <w:i w:val="0"/>
          <w:caps w:val="0"/>
          <w:color w:val="auto"/>
          <w:spacing w:val="8"/>
          <w:sz w:val="32"/>
          <w:szCs w:val="32"/>
          <w:shd w:val="clear" w:fill="FFFFFF"/>
          <w:lang w:val="en-US" w:eastAsia="zh-CN"/>
        </w:rPr>
        <w:t xml:space="preserve"> </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2" w:name="_Toc27705"/>
      <w:r>
        <w:rPr>
          <w:rFonts w:hint="eastAsia" w:ascii="黑体" w:hAnsi="黑体" w:eastAsia="黑体" w:cs="黑体"/>
          <w:b w:val="0"/>
          <w:bCs w:val="0"/>
          <w:color w:val="auto"/>
          <w:sz w:val="32"/>
          <w:szCs w:val="32"/>
          <w:lang w:val="en-US" w:eastAsia="zh-CN"/>
        </w:rPr>
        <w:t>（一）发展现状</w:t>
      </w:r>
      <w:bookmarkEnd w:id="2"/>
    </w:p>
    <w:p>
      <w:pPr>
        <w:pageBreakBefore w:val="0"/>
        <w:numPr>
          <w:ilvl w:val="0"/>
          <w:numId w:val="0"/>
        </w:numPr>
        <w:kinsoku/>
        <w:wordWrap/>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信息基础设施按需铺设。</w:t>
      </w:r>
      <w:r>
        <w:rPr>
          <w:rFonts w:hint="eastAsia" w:ascii="仿宋_GB2312" w:hAnsi="仿宋_GB2312" w:cs="仿宋_GB2312"/>
          <w:b w:val="0"/>
          <w:bCs w:val="0"/>
          <w:color w:val="auto"/>
          <w:sz w:val="32"/>
          <w:szCs w:val="32"/>
          <w:lang w:eastAsia="zh-CN"/>
        </w:rPr>
        <w:t>十三五期间</w:t>
      </w:r>
      <w:r>
        <w:rPr>
          <w:rFonts w:hint="eastAsia" w:ascii="仿宋_GB2312" w:hAnsi="仿宋_GB2312" w:cs="仿宋_GB2312"/>
          <w:color w:val="auto"/>
          <w:sz w:val="32"/>
          <w:szCs w:val="32"/>
          <w:lang w:eastAsia="zh-CN"/>
        </w:rPr>
        <w:t>全</w:t>
      </w:r>
      <w:r>
        <w:rPr>
          <w:rFonts w:hint="eastAsia" w:ascii="仿宋_GB2312" w:hAnsi="仿宋_GB2312" w:eastAsia="仿宋_GB2312" w:cs="仿宋_GB2312"/>
          <w:color w:val="auto"/>
          <w:sz w:val="32"/>
          <w:szCs w:val="32"/>
        </w:rPr>
        <w:t>县共投入信息化基础设施建设资金</w:t>
      </w:r>
      <w:r>
        <w:rPr>
          <w:rFonts w:hint="eastAsia" w:ascii="仿宋_GB2312" w:hAnsi="仿宋_GB2312" w:cs="仿宋_GB2312"/>
          <w:color w:val="auto"/>
          <w:sz w:val="32"/>
          <w:szCs w:val="32"/>
          <w:lang w:eastAsia="zh-CN"/>
        </w:rPr>
        <w:t>约</w:t>
      </w:r>
      <w:r>
        <w:rPr>
          <w:rFonts w:hint="eastAsia" w:ascii="仿宋_GB2312" w:hAnsi="仿宋_GB2312" w:cs="仿宋_GB2312"/>
          <w:color w:val="auto"/>
          <w:sz w:val="32"/>
          <w:szCs w:val="32"/>
          <w:lang w:val="en-US" w:eastAsia="zh-CN"/>
        </w:rPr>
        <w:t>5.89亿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所有自然村FTTH光网延伸、</w:t>
      </w:r>
      <w:r>
        <w:rPr>
          <w:rFonts w:hint="eastAsia" w:ascii="仿宋_GB2312" w:hAnsi="仿宋_GB2312" w:eastAsia="仿宋_GB2312" w:cs="仿宋_GB2312"/>
          <w:color w:val="auto"/>
          <w:sz w:val="32"/>
          <w:szCs w:val="32"/>
          <w:lang w:val="en-US" w:eastAsia="zh-CN"/>
        </w:rPr>
        <w:t>4G网络全覆盖，建设5G基站</w:t>
      </w:r>
      <w:r>
        <w:rPr>
          <w:rFonts w:hint="eastAsia" w:ascii="仿宋_GB2312" w:hAnsi="仿宋_GB2312" w:cs="仿宋_GB2312"/>
          <w:color w:val="auto"/>
          <w:sz w:val="32"/>
          <w:szCs w:val="32"/>
          <w:lang w:val="en-US" w:eastAsia="zh-CN"/>
        </w:rPr>
        <w:t>200</w:t>
      </w:r>
      <w:r>
        <w:rPr>
          <w:rFonts w:hint="eastAsia" w:ascii="仿宋_GB2312" w:hAnsi="仿宋_GB2312" w:cs="仿宋_GB2312"/>
          <w:color w:val="auto"/>
          <w:sz w:val="32"/>
          <w:szCs w:val="32"/>
          <w:lang w:eastAsia="zh-CN"/>
        </w:rPr>
        <w:t>座</w:t>
      </w:r>
      <w:r>
        <w:rPr>
          <w:rFonts w:hint="eastAsia" w:ascii="仿宋_GB2312" w:hAnsi="仿宋_GB2312" w:eastAsia="仿宋_GB2312" w:cs="仿宋_GB2312"/>
          <w:color w:val="auto"/>
          <w:sz w:val="32"/>
          <w:szCs w:val="32"/>
        </w:rPr>
        <w:t>。</w:t>
      </w:r>
      <w:r>
        <w:rPr>
          <w:rFonts w:hint="eastAsia" w:ascii="仿宋_GB2312" w:hAnsi="仿宋_GB2312" w:cs="仿宋_GB2312"/>
          <w:b w:val="0"/>
          <w:bCs w:val="0"/>
          <w:color w:val="auto"/>
          <w:lang w:val="en-US" w:eastAsia="zh-CN"/>
        </w:rPr>
        <w:t>全县</w:t>
      </w:r>
      <w:r>
        <w:rPr>
          <w:rFonts w:hint="eastAsia" w:ascii="仿宋_GB2312" w:hAnsi="仿宋_GB2312" w:eastAsia="仿宋_GB2312" w:cs="仿宋_GB2312"/>
          <w:b w:val="0"/>
          <w:bCs w:val="0"/>
          <w:color w:val="auto"/>
          <w:lang w:val="en-US" w:eastAsia="zh-CN"/>
        </w:rPr>
        <w:t>政务信息基础设施建设初具规模，县级电子政务外网</w:t>
      </w:r>
      <w:r>
        <w:rPr>
          <w:rFonts w:hint="eastAsia" w:ascii="仿宋_GB2312" w:hAnsi="仿宋_GB2312" w:eastAsia="仿宋_GB2312" w:cs="仿宋_GB2312"/>
          <w:color w:val="auto"/>
          <w:sz w:val="32"/>
          <w:szCs w:val="32"/>
        </w:rPr>
        <w:t>纵向贯通县乡村三级，横向联接县直部门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lang w:val="en-US" w:eastAsia="zh-CN"/>
        </w:rPr>
        <w:t>并延伸至乡镇</w:t>
      </w:r>
      <w:r>
        <w:rPr>
          <w:rFonts w:hint="eastAsia" w:ascii="仿宋_GB2312" w:hAnsi="仿宋_GB2312" w:cs="仿宋_GB2312"/>
          <w:b w:val="0"/>
          <w:bCs w:val="0"/>
          <w:color w:val="auto"/>
          <w:lang w:val="en-US" w:eastAsia="zh-CN"/>
        </w:rPr>
        <w:t>（开发区）</w:t>
      </w:r>
      <w:r>
        <w:rPr>
          <w:rFonts w:hint="eastAsia" w:ascii="仿宋_GB2312" w:hAnsi="仿宋_GB2312" w:eastAsia="仿宋_GB2312" w:cs="仿宋_GB2312"/>
          <w:b w:val="0"/>
          <w:bCs w:val="0"/>
          <w:color w:val="auto"/>
          <w:lang w:val="en-US" w:eastAsia="zh-CN"/>
        </w:rPr>
        <w:t>、社区、行政村等基层政务部门，采用不同运营商双线路保障安全使用。</w:t>
      </w:r>
    </w:p>
    <w:p>
      <w:pPr>
        <w:pageBreakBefore w:val="0"/>
        <w:kinsoku/>
        <w:wordWrap/>
        <w:topLinePunct w:val="0"/>
        <w:autoSpaceDE/>
        <w:autoSpaceDN/>
        <w:bidi w:val="0"/>
        <w:spacing w:line="580"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eastAsia="仿宋_GB2312" w:cs="仿宋_GB2312"/>
          <w:b/>
          <w:bCs/>
          <w:color w:val="auto"/>
          <w:kern w:val="0"/>
          <w:sz w:val="32"/>
          <w:szCs w:val="32"/>
          <w:lang w:val="en-US" w:eastAsia="zh-CN" w:bidi="ar-SA"/>
        </w:rPr>
        <w:t>2.数字能力稳步提升。</w:t>
      </w:r>
      <w:r>
        <w:rPr>
          <w:rFonts w:hint="eastAsia" w:ascii="仿宋_GB2312" w:hAnsi="仿宋_GB2312" w:cs="仿宋_GB2312"/>
          <w:b w:val="0"/>
          <w:bCs w:val="0"/>
          <w:color w:val="auto"/>
          <w:sz w:val="32"/>
          <w:szCs w:val="32"/>
          <w:lang w:val="en-US" w:eastAsia="zh-CN"/>
        </w:rPr>
        <w:t>完成不动产系统与六安市云数据支撑平台的对接工作，民政等部门建立245项数据资源目录</w:t>
      </w:r>
      <w:r>
        <w:rPr>
          <w:rFonts w:hint="eastAsia" w:ascii="仿宋_GB2312" w:hAnsi="仿宋_GB2312" w:cs="仿宋_GB2312"/>
          <w:color w:val="auto"/>
          <w:sz w:val="32"/>
          <w:szCs w:val="32"/>
          <w:lang w:val="en-US" w:eastAsia="zh-CN"/>
        </w:rPr>
        <w:t>，上传576万余条数据，完成政务数据归集100%，初步实现政务信息资源共享。</w:t>
      </w:r>
      <w:r>
        <w:rPr>
          <w:rFonts w:hint="eastAsia" w:ascii="仿宋_GB2312" w:hAnsi="仿宋_GB2312" w:eastAsia="仿宋_GB2312" w:cs="仿宋_GB2312"/>
          <w:b w:val="0"/>
          <w:bCs w:val="0"/>
          <w:color w:val="auto"/>
          <w:lang w:val="en-US" w:eastAsia="zh-CN"/>
        </w:rPr>
        <w:t>自主建设“数字法制 智慧司法”平台、无害化处理平台、动物卫生监管、兽药追溯等信息化系统。“雪亮工程”已建成社会资源整合平台，实现31个乡镇</w:t>
      </w:r>
      <w:r>
        <w:rPr>
          <w:rFonts w:hint="eastAsia" w:ascii="仿宋_GB2312" w:hAnsi="仿宋_GB2312" w:cs="仿宋_GB2312"/>
          <w:b w:val="0"/>
          <w:bCs w:val="0"/>
          <w:color w:val="auto"/>
          <w:lang w:val="en-US" w:eastAsia="zh-CN"/>
        </w:rPr>
        <w:t>（开发区）</w:t>
      </w:r>
      <w:r>
        <w:rPr>
          <w:rFonts w:hint="eastAsia" w:ascii="仿宋_GB2312" w:hAnsi="仿宋_GB2312" w:eastAsia="仿宋_GB2312" w:cs="仿宋_GB2312"/>
          <w:b w:val="0"/>
          <w:bCs w:val="0"/>
          <w:color w:val="auto"/>
          <w:lang w:val="en-US" w:eastAsia="zh-CN"/>
        </w:rPr>
        <w:t>综治中心与县公安局监控平台的互联互通；完成公安局原有监控平台的升级改造</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县乡村地区重要部位视频覆盖率达到100%。</w:t>
      </w:r>
    </w:p>
    <w:p>
      <w:pPr>
        <w:pageBreakBefore w:val="0"/>
        <w:kinsoku/>
        <w:wordWrap/>
        <w:topLinePunct w:val="0"/>
        <w:autoSpaceDE/>
        <w:autoSpaceDN/>
        <w:bidi w:val="0"/>
        <w:spacing w:line="580" w:lineRule="exact"/>
        <w:textAlignment w:val="auto"/>
        <w:rPr>
          <w:rFonts w:hint="default" w:ascii="仿宋_GB2312" w:hAnsi="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3.政务服务积极推进。</w:t>
      </w:r>
      <w:r>
        <w:rPr>
          <w:rFonts w:hint="eastAsia" w:ascii="仿宋_GB2312" w:hAnsi="仿宋_GB2312" w:cs="仿宋_GB2312"/>
          <w:b w:val="0"/>
          <w:bCs w:val="0"/>
          <w:color w:val="auto"/>
          <w:sz w:val="32"/>
          <w:szCs w:val="32"/>
          <w:lang w:val="en-US" w:eastAsia="zh-CN"/>
        </w:rPr>
        <w:t>“互联网+政务服务”有序推进，</w:t>
      </w:r>
      <w:r>
        <w:rPr>
          <w:rFonts w:hint="eastAsia" w:ascii="仿宋_GB2312" w:hAnsi="仿宋_GB2312" w:cs="仿宋_GB2312"/>
          <w:color w:val="auto"/>
          <w:sz w:val="32"/>
          <w:szCs w:val="32"/>
          <w:lang w:val="en-US" w:eastAsia="zh-CN"/>
        </w:rPr>
        <w:t>“全省一张网”霍邱分厅融入全国一体化政务服务平台，“减证便民”申请材料综合精简率59.9%，全面实现县政府网站升级改版，新一轮政府机构改革基本完成，县乡村三级为民服务体系进一步健全，网上政务服务工作位居全市前列。行政审批事项办理环节压减至5个以内；工程建设项目审批制度改革工作全面落实；实现“安康码”政务服务，景点预约、扫码就医、服务大厅一码办事等7个应用场景；全县率先部署自助服务设备，推广7X24小时自助服务，完善7X24小时政务服务地图；认领监管目录清单905项，检查实施清单编制率100%。</w:t>
      </w:r>
    </w:p>
    <w:p>
      <w:pPr>
        <w:pageBreakBefore w:val="0"/>
        <w:kinsoku/>
        <w:wordWrap/>
        <w:topLinePunct w:val="0"/>
        <w:autoSpaceDE/>
        <w:autoSpaceDN/>
        <w:bidi w:val="0"/>
        <w:spacing w:line="580" w:lineRule="exact"/>
        <w:ind w:left="0" w:leftChars="0" w:firstLine="643" w:firstLineChars="200"/>
        <w:textAlignment w:val="auto"/>
        <w:rPr>
          <w:rFonts w:hint="eastAsia" w:ascii="仿宋_GB2312" w:hAnsi="仿宋_GB2312" w:cs="仿宋_GB2312"/>
          <w:color w:val="auto"/>
          <w:kern w:val="0"/>
          <w:sz w:val="32"/>
          <w:szCs w:val="32"/>
          <w:lang w:val="en-US" w:eastAsia="zh-CN" w:bidi="ar-SA"/>
        </w:rPr>
      </w:pPr>
      <w:r>
        <w:rPr>
          <w:rFonts w:hint="eastAsia" w:ascii="仿宋_GB2312" w:hAnsi="仿宋_GB2312" w:cs="仿宋_GB2312"/>
          <w:b/>
          <w:bCs/>
          <w:color w:val="auto"/>
          <w:kern w:val="0"/>
          <w:sz w:val="32"/>
          <w:szCs w:val="32"/>
          <w:lang w:val="en-US" w:eastAsia="zh-CN" w:bidi="ar-SA"/>
        </w:rPr>
        <w:t>4.数字化产业发展初显成效。</w:t>
      </w:r>
      <w:r>
        <w:rPr>
          <w:rFonts w:hint="eastAsia" w:ascii="仿宋_GB2312" w:hAnsi="仿宋" w:eastAsia="仿宋_GB2312" w:cs="Arial"/>
          <w:color w:val="111111"/>
        </w:rPr>
        <w:t>创新能力逐渐增强，</w:t>
      </w:r>
      <w:r>
        <w:rPr>
          <w:rFonts w:hint="eastAsia" w:ascii="仿宋_GB2312" w:hAnsi="仿宋_GB2312" w:cs="仿宋_GB2312"/>
          <w:color w:val="auto"/>
          <w:kern w:val="0"/>
          <w:sz w:val="32"/>
          <w:szCs w:val="32"/>
          <w:lang w:val="en-US" w:eastAsia="zh-CN" w:bidi="ar-SA"/>
        </w:rPr>
        <w:t>在产业数字化、数字产业化、产业服务三个领域，结合本地特色资源优势与发展基础，开展</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ascii="仿宋_GB2312" w:hAnsi="仿宋_GB2312" w:cs="仿宋_GB2312"/>
          <w:color w:val="auto"/>
          <w:kern w:val="0"/>
          <w:sz w:val="32"/>
          <w:szCs w:val="32"/>
          <w:lang w:val="en-US" w:eastAsia="zh-CN" w:bidi="ar-SA"/>
        </w:rPr>
        <w:t>应用相关工作并出台相关政策与配套机制。产业数字化方面，持续推进农业、工业数字化转型。基于特色鲜明的农产品，主要依托省级平台开展产品追溯、质量监控工作；以线下农技推广、互动交流为主开展农业服务。数字产业化方面，</w:t>
      </w:r>
      <w:r>
        <w:rPr>
          <w:rFonts w:hint="eastAsia" w:ascii="仿宋_GB2312" w:hAnsi="仿宋" w:eastAsia="仿宋_GB2312" w:cs="Arial"/>
          <w:color w:val="111111"/>
        </w:rPr>
        <w:t>国家高新技术企业</w:t>
      </w:r>
      <w:r>
        <w:rPr>
          <w:rFonts w:ascii="仿宋_GB2312" w:hAnsi="仿宋" w:eastAsia="仿宋_GB2312" w:cs="Arial"/>
          <w:color w:val="111111"/>
        </w:rPr>
        <w:t>11</w:t>
      </w:r>
      <w:r>
        <w:rPr>
          <w:rFonts w:hint="eastAsia" w:ascii="仿宋_GB2312" w:hAnsi="仿宋" w:eastAsia="仿宋_GB2312" w:cs="Arial"/>
          <w:color w:val="111111"/>
        </w:rPr>
        <w:t>家，</w:t>
      </w:r>
      <w:r>
        <w:rPr>
          <w:rFonts w:hint="eastAsia" w:ascii="仿宋_GB2312" w:hAnsi="仿宋_GB2312" w:cs="仿宋_GB2312"/>
          <w:color w:val="auto"/>
          <w:kern w:val="0"/>
          <w:sz w:val="32"/>
          <w:szCs w:val="32"/>
          <w:lang w:val="en-US" w:eastAsia="zh-CN" w:bidi="ar-SA"/>
        </w:rPr>
        <w:t xml:space="preserve">创建省级企业技术中心2个、众创空间1个、市级工业设计中心1个，授权发明专利15件。战略性新兴产业产值增长27.5%。  </w:t>
      </w:r>
    </w:p>
    <w:p>
      <w:pPr>
        <w:pageBreakBefore w:val="0"/>
        <w:kinsoku/>
        <w:wordWrap/>
        <w:topLinePunct w:val="0"/>
        <w:autoSpaceDE/>
        <w:autoSpaceDN/>
        <w:bidi w:val="0"/>
        <w:spacing w:line="580" w:lineRule="exact"/>
        <w:ind w:firstLine="643" w:firstLineChars="200"/>
        <w:textAlignment w:val="auto"/>
        <w:rPr>
          <w:rFonts w:hint="default"/>
          <w:color w:val="auto"/>
          <w:lang w:val="en-US" w:eastAsia="zh-CN"/>
        </w:rPr>
      </w:pP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数字化应用</w:t>
      </w:r>
      <w:r>
        <w:rPr>
          <w:rFonts w:hint="eastAsia" w:ascii="仿宋" w:hAnsi="仿宋" w:eastAsia="仿宋" w:cs="仿宋"/>
          <w:b/>
          <w:color w:val="auto"/>
          <w:sz w:val="32"/>
          <w:szCs w:val="32"/>
        </w:rPr>
        <w:t>前景广阔。</w:t>
      </w:r>
      <w:r>
        <w:rPr>
          <w:rFonts w:hint="eastAsia" w:ascii="仿宋" w:hAnsi="仿宋" w:eastAsia="仿宋" w:cs="仿宋"/>
          <w:bCs/>
          <w:color w:val="auto"/>
          <w:sz w:val="32"/>
          <w:szCs w:val="32"/>
        </w:rPr>
        <w:t>霍邱县是农业大县</w:t>
      </w:r>
      <w:r>
        <w:rPr>
          <w:rFonts w:hint="eastAsia" w:ascii="仿宋" w:hAnsi="仿宋" w:eastAsia="仿宋" w:cs="仿宋"/>
          <w:bCs/>
          <w:color w:val="auto"/>
          <w:sz w:val="32"/>
          <w:szCs w:val="32"/>
          <w:lang w:eastAsia="zh-CN"/>
        </w:rPr>
        <w:t>、人口大县</w:t>
      </w:r>
      <w:r>
        <w:rPr>
          <w:rFonts w:hint="eastAsia" w:ascii="仿宋" w:hAnsi="仿宋" w:eastAsia="仿宋" w:cs="仿宋"/>
          <w:bCs/>
          <w:color w:val="auto"/>
          <w:sz w:val="32"/>
          <w:szCs w:val="32"/>
        </w:rPr>
        <w:t>，</w:t>
      </w:r>
      <w:r>
        <w:rPr>
          <w:rFonts w:hint="eastAsia" w:ascii="仿宋" w:hAnsi="仿宋" w:eastAsia="仿宋" w:cs="仿宋"/>
          <w:color w:val="auto"/>
          <w:sz w:val="32"/>
          <w:szCs w:val="32"/>
        </w:rPr>
        <w:t>同时霍邱县拥有华东第一储量的铁矿，</w:t>
      </w:r>
      <w:r>
        <w:rPr>
          <w:rFonts w:hint="eastAsia" w:ascii="仿宋" w:hAnsi="仿宋" w:eastAsia="仿宋" w:cs="仿宋"/>
          <w:bCs/>
          <w:color w:val="auto"/>
          <w:sz w:val="32"/>
          <w:szCs w:val="32"/>
        </w:rPr>
        <w:t>自然资源丰富</w:t>
      </w:r>
      <w:r>
        <w:rPr>
          <w:rFonts w:hint="eastAsia" w:ascii="仿宋" w:hAnsi="仿宋" w:eastAsia="仿宋" w:cs="仿宋"/>
          <w:bCs/>
          <w:color w:val="auto"/>
          <w:sz w:val="32"/>
          <w:szCs w:val="32"/>
          <w:lang w:eastAsia="zh-CN"/>
        </w:rPr>
        <w:t>。数字化建设在智慧农业、</w:t>
      </w:r>
      <w:r>
        <w:rPr>
          <w:rFonts w:hint="eastAsia" w:ascii="仿宋" w:hAnsi="仿宋" w:eastAsia="仿宋" w:cs="仿宋"/>
          <w:bCs/>
          <w:color w:val="auto"/>
          <w:sz w:val="32"/>
          <w:szCs w:val="32"/>
        </w:rPr>
        <w:t>智慧工厂、智慧矿山等领域都有广阔的应用前景。目前，</w:t>
      </w:r>
      <w:r>
        <w:rPr>
          <w:rFonts w:hint="eastAsia" w:ascii="仿宋" w:hAnsi="仿宋" w:eastAsia="仿宋" w:cs="仿宋"/>
          <w:color w:val="auto"/>
          <w:sz w:val="32"/>
          <w:szCs w:val="32"/>
        </w:rPr>
        <w:t>霍邱县已在高清视频通话、远程医疗、智慧教育、智能监测控制平台等多个领域开展试点</w:t>
      </w:r>
      <w:r>
        <w:rPr>
          <w:rFonts w:hint="eastAsia" w:ascii="仿宋" w:hAnsi="仿宋" w:eastAsia="仿宋" w:cs="仿宋"/>
          <w:color w:val="auto"/>
          <w:sz w:val="32"/>
          <w:szCs w:val="32"/>
          <w:lang w:eastAsia="zh-CN"/>
        </w:rPr>
        <w:t>应用</w:t>
      </w:r>
      <w:r>
        <w:rPr>
          <w:rFonts w:hint="eastAsia" w:ascii="仿宋" w:hAnsi="仿宋" w:eastAsia="仿宋" w:cs="仿宋"/>
          <w:color w:val="auto"/>
          <w:sz w:val="32"/>
          <w:szCs w:val="32"/>
        </w:rPr>
        <w:t>。</w:t>
      </w:r>
      <w:r>
        <w:rPr>
          <w:rFonts w:hint="eastAsia" w:ascii="仿宋_GB2312" w:hAnsi="仿宋_GB2312" w:cs="仿宋_GB2312"/>
          <w:color w:val="auto"/>
          <w:kern w:val="0"/>
          <w:sz w:val="32"/>
          <w:szCs w:val="32"/>
          <w:lang w:val="en-US" w:eastAsia="zh-CN" w:bidi="ar-SA"/>
        </w:rPr>
        <w:t xml:space="preserve">                                                                                                                                                                                                                                                                                                                                                                                                                                                                                                                                                                                                                                                                                                                                                                                                                                                                                                                                                                                </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3" w:name="_Toc23480"/>
      <w:r>
        <w:rPr>
          <w:rFonts w:hint="eastAsia" w:ascii="黑体" w:hAnsi="黑体" w:eastAsia="黑体" w:cs="黑体"/>
          <w:b w:val="0"/>
          <w:bCs w:val="0"/>
          <w:color w:val="auto"/>
          <w:sz w:val="32"/>
          <w:szCs w:val="32"/>
          <w:lang w:val="en-US" w:eastAsia="zh-CN"/>
        </w:rPr>
        <w:t>（二）存在问题</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i w:val="0"/>
          <w:caps w:val="0"/>
          <w:color w:val="auto"/>
          <w:spacing w:val="8"/>
          <w:sz w:val="32"/>
          <w:szCs w:val="32"/>
          <w:shd w:val="clear" w:fill="FFFFFF"/>
          <w:lang w:eastAsia="zh-CN"/>
        </w:rPr>
      </w:pPr>
      <w:r>
        <w:rPr>
          <w:rFonts w:hint="eastAsia" w:ascii="仿宋" w:hAnsi="仿宋" w:eastAsia="仿宋" w:cs="仿宋"/>
          <w:b w:val="0"/>
          <w:bCs w:val="0"/>
          <w:color w:val="auto"/>
          <w:sz w:val="32"/>
          <w:szCs w:val="32"/>
          <w:lang w:val="en-US" w:eastAsia="zh-CN"/>
        </w:rPr>
        <w:t>霍邱县在数字化发展过程中，还面临一定的的问题和不足，主要体现在：</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新型基础设施薄弱</w:t>
      </w:r>
      <w:r>
        <w:rPr>
          <w:rFonts w:hint="eastAsia" w:ascii="仿宋" w:hAnsi="仿宋" w:eastAsia="仿宋" w:cs="仿宋"/>
          <w:b/>
          <w:bCs/>
          <w:color w:val="auto"/>
          <w:sz w:val="32"/>
          <w:szCs w:val="32"/>
          <w:lang w:eastAsia="zh-CN"/>
        </w:rPr>
        <w:t>。</w:t>
      </w:r>
      <w:r>
        <w:rPr>
          <w:rFonts w:hint="eastAsia" w:ascii="仿宋_GB2312" w:hAnsi="仿宋_GB2312" w:cs="仿宋_GB2312"/>
          <w:color w:val="auto"/>
          <w:sz w:val="32"/>
          <w:szCs w:val="32"/>
          <w:lang w:eastAsia="zh-CN"/>
        </w:rPr>
        <w:t>全县在</w:t>
      </w:r>
      <w:r>
        <w:rPr>
          <w:rFonts w:hint="eastAsia" w:ascii="仿宋_GB2312" w:hAnsi="仿宋_GB2312" w:eastAsia="仿宋_GB2312" w:cs="仿宋_GB2312"/>
          <w:color w:val="auto"/>
          <w:sz w:val="32"/>
          <w:szCs w:val="32"/>
        </w:rPr>
        <w:t>云计算、大数据、人工智能等新型基础设施建设相对滞后，向上对接省市数据中心不便，向下无法汇集多个部门的数据信息。对以新一代信息技</w:t>
      </w:r>
      <w:r>
        <w:rPr>
          <w:rFonts w:hint="eastAsia" w:ascii="仿宋_GB2312" w:hAnsi="仿宋_GB2312" w:cs="仿宋_GB2312"/>
          <w:color w:val="auto"/>
          <w:sz w:val="32"/>
          <w:szCs w:val="32"/>
          <w:lang w:eastAsia="zh-CN"/>
        </w:rPr>
        <w:t>术</w:t>
      </w:r>
      <w:r>
        <w:rPr>
          <w:rFonts w:hint="eastAsia" w:ascii="仿宋_GB2312" w:hAnsi="仿宋_GB2312" w:eastAsia="仿宋_GB2312" w:cs="仿宋_GB2312"/>
          <w:color w:val="auto"/>
          <w:sz w:val="32"/>
          <w:szCs w:val="32"/>
        </w:rPr>
        <w:t>认识不足，在发展中未占领先发优势，全县统筹推进力度不够，规划建设顶层设计滞后。</w:t>
      </w:r>
      <w:r>
        <w:rPr>
          <w:rFonts w:hint="eastAsia" w:ascii="仿宋" w:hAnsi="仿宋" w:eastAsia="仿宋" w:cs="仿宋"/>
          <w:b/>
          <w:bCs/>
          <w:color w:val="auto"/>
          <w:sz w:val="32"/>
          <w:szCs w:val="32"/>
          <w:lang w:val="en-US" w:eastAsia="zh-CN"/>
        </w:rPr>
        <w:t>二信息资源分散，数字融合度低。</w:t>
      </w:r>
      <w:r>
        <w:rPr>
          <w:rFonts w:hint="eastAsia" w:ascii="仿宋_GB2312" w:hAnsi="仿宋_GB2312" w:eastAsia="仿宋_GB2312" w:cs="仿宋_GB2312"/>
          <w:color w:val="auto"/>
          <w:sz w:val="32"/>
          <w:szCs w:val="32"/>
          <w:lang w:eastAsia="zh-CN"/>
        </w:rPr>
        <w:t>霍邱</w:t>
      </w:r>
      <w:r>
        <w:rPr>
          <w:rFonts w:hint="eastAsia" w:ascii="仿宋_GB2312" w:hAnsi="仿宋_GB2312" w:eastAsia="仿宋_GB2312" w:cs="仿宋_GB2312"/>
          <w:color w:val="auto"/>
          <w:sz w:val="32"/>
          <w:szCs w:val="32"/>
        </w:rPr>
        <w:t>县尚未建立城市级的数据中心，县</w:t>
      </w:r>
      <w:r>
        <w:rPr>
          <w:rFonts w:hint="eastAsia" w:ascii="仿宋_GB2312" w:hAnsi="仿宋_GB2312" w:cs="仿宋_GB2312"/>
          <w:color w:val="auto"/>
          <w:sz w:val="32"/>
          <w:szCs w:val="32"/>
          <w:lang w:eastAsia="zh-CN"/>
        </w:rPr>
        <w:t>各部门</w:t>
      </w:r>
      <w:r>
        <w:rPr>
          <w:rFonts w:hint="eastAsia" w:ascii="仿宋_GB2312" w:hAnsi="仿宋_GB2312" w:eastAsia="仿宋_GB2312" w:cs="仿宋_GB2312"/>
          <w:color w:val="auto"/>
          <w:sz w:val="32"/>
          <w:szCs w:val="32"/>
        </w:rPr>
        <w:t>应用的信息化系统处于信息孤岛的状态，数据分散在各个部门，</w:t>
      </w:r>
      <w:r>
        <w:rPr>
          <w:rFonts w:hint="eastAsia"/>
          <w:color w:val="auto"/>
          <w:lang w:val="en-US" w:eastAsia="zh-CN"/>
        </w:rPr>
        <w:t>数据共享工作仍需持续推动，</w:t>
      </w:r>
      <w:r>
        <w:rPr>
          <w:rFonts w:hint="eastAsia" w:ascii="仿宋_GB2312" w:hAnsi="仿宋_GB2312" w:eastAsia="仿宋_GB2312" w:cs="仿宋_GB2312"/>
          <w:color w:val="auto"/>
          <w:sz w:val="32"/>
          <w:szCs w:val="32"/>
        </w:rPr>
        <w:t>这种碎片化的数据现状不利于政府大数据的开发和利用，</w:t>
      </w:r>
      <w:bookmarkStart w:id="4" w:name="_Toc10125833"/>
      <w:r>
        <w:rPr>
          <w:rFonts w:hint="eastAsia"/>
          <w:color w:val="auto"/>
          <w:lang w:val="en-US" w:eastAsia="zh-CN"/>
        </w:rPr>
        <w:t>数据管理政策法规仍需进一步健全，人工智能、区块链等前沿数字能力平台尚需统筹建设，以提升城市智能化应用与管理能力。</w:t>
      </w:r>
      <w:bookmarkEnd w:id="4"/>
      <w:r>
        <w:rPr>
          <w:rFonts w:hint="eastAsia" w:ascii="仿宋" w:hAnsi="仿宋" w:eastAsia="仿宋" w:cs="仿宋"/>
          <w:b/>
          <w:bCs/>
          <w:color w:val="auto"/>
          <w:sz w:val="32"/>
          <w:szCs w:val="32"/>
          <w:lang w:val="en-US" w:eastAsia="zh-CN"/>
        </w:rPr>
        <w:t>三经济成长乏力、产业带动缺活力。</w:t>
      </w:r>
      <w:r>
        <w:rPr>
          <w:rFonts w:hint="eastAsia" w:ascii="仿宋_GB2312" w:hAnsi="仿宋_GB2312" w:eastAsia="仿宋_GB2312" w:cs="仿宋_GB2312"/>
          <w:color w:val="auto"/>
          <w:kern w:val="0"/>
          <w:sz w:val="32"/>
          <w:szCs w:val="32"/>
          <w:lang w:val="en-US" w:eastAsia="zh-CN" w:bidi="ar-SA"/>
        </w:rPr>
        <w:t>从工业经济向数字经济、智慧经济发展，霍邱县整体对5G、人工智能、大数据、移动互联网、云计算、物联网等技术的依赖性缺乏，无论是社会治理服务，还是产业发展都需要基于这些技术构成的平台上实现数据的生产、感知、归集、传输、分析应用，相关技术的欠缺，进而导致实体经济的降本增效、创新转型缓慢。</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default" w:ascii="方正黑体_GBK" w:hAnsi="方正黑体_GBK" w:eastAsia="方正黑体_GBK" w:cs="方正黑体_GBK"/>
          <w:i w:val="0"/>
          <w:caps w:val="0"/>
          <w:color w:val="auto"/>
          <w:spacing w:val="8"/>
          <w:sz w:val="32"/>
          <w:szCs w:val="32"/>
          <w:shd w:val="clear" w:fill="FFFFFF"/>
          <w:lang w:val="en-US" w:eastAsia="zh-CN"/>
        </w:rPr>
      </w:pPr>
      <w:bookmarkStart w:id="5" w:name="_Toc18945"/>
      <w:r>
        <w:rPr>
          <w:rFonts w:hint="default" w:ascii="方正黑体_GBK" w:hAnsi="方正黑体_GBK" w:eastAsia="方正黑体_GBK" w:cs="方正黑体_GBK"/>
          <w:i w:val="0"/>
          <w:caps w:val="0"/>
          <w:color w:val="auto"/>
          <w:spacing w:val="8"/>
          <w:sz w:val="32"/>
          <w:szCs w:val="32"/>
          <w:shd w:val="clear" w:fill="FFFFFF"/>
          <w:lang w:eastAsia="zh-CN"/>
        </w:rPr>
        <w:t>二、总体要求</w:t>
      </w:r>
      <w:bookmarkEnd w:id="5"/>
      <w:r>
        <w:rPr>
          <w:rFonts w:hint="eastAsia" w:ascii="方正黑体_GBK" w:hAnsi="方正黑体_GBK" w:eastAsia="方正黑体_GBK" w:cs="方正黑体_GBK"/>
          <w:i w:val="0"/>
          <w:caps w:val="0"/>
          <w:color w:val="auto"/>
          <w:spacing w:val="8"/>
          <w:sz w:val="32"/>
          <w:szCs w:val="32"/>
          <w:shd w:val="clear" w:fill="FFFFFF"/>
          <w:lang w:val="en-US" w:eastAsia="zh-CN"/>
        </w:rPr>
        <w:t xml:space="preserve"> </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6" w:name="_Toc30147"/>
      <w:r>
        <w:rPr>
          <w:rFonts w:hint="eastAsia" w:ascii="黑体" w:hAnsi="黑体" w:eastAsia="黑体" w:cs="黑体"/>
          <w:b w:val="0"/>
          <w:bCs w:val="0"/>
          <w:color w:val="auto"/>
          <w:sz w:val="32"/>
          <w:szCs w:val="32"/>
          <w:lang w:val="en-US" w:eastAsia="zh-CN"/>
        </w:rPr>
        <w:t>（一）指导思想</w:t>
      </w:r>
      <w:bookmarkEnd w:id="6"/>
    </w:p>
    <w:p>
      <w:pPr>
        <w:pageBreakBefore w:val="0"/>
        <w:kinsoku/>
        <w:wordWrap/>
        <w:topLinePunct w:val="0"/>
        <w:autoSpaceDE/>
        <w:autoSpaceDN/>
        <w:bidi w:val="0"/>
        <w:spacing w:line="580" w:lineRule="exact"/>
        <w:textAlignment w:val="auto"/>
        <w:rPr>
          <w:color w:val="auto"/>
        </w:rPr>
      </w:pPr>
      <w:r>
        <w:rPr>
          <w:rFonts w:hint="eastAsia"/>
          <w:color w:val="auto"/>
        </w:rPr>
        <w:t>以</w:t>
      </w:r>
      <w:r>
        <w:rPr>
          <w:rFonts w:hint="eastAsia"/>
          <w:color w:val="auto"/>
          <w:lang w:val="en-US" w:eastAsia="zh-CN"/>
        </w:rPr>
        <w:t>习近平新时代中国特色社会主义思想为指导，</w:t>
      </w:r>
      <w:r>
        <w:rPr>
          <w:rFonts w:hint="eastAsia"/>
          <w:color w:val="auto"/>
        </w:rPr>
        <w:t>全面贯彻党的十九大和十九届二中、三中、四中</w:t>
      </w:r>
      <w:r>
        <w:rPr>
          <w:rFonts w:hint="eastAsia"/>
          <w:color w:val="auto"/>
          <w:lang w:eastAsia="zh-CN"/>
        </w:rPr>
        <w:t>、五中</w:t>
      </w:r>
      <w:r>
        <w:rPr>
          <w:rFonts w:hint="eastAsia"/>
          <w:color w:val="auto"/>
        </w:rPr>
        <w:t>全会精神</w:t>
      </w:r>
      <w:r>
        <w:rPr>
          <w:rFonts w:hint="eastAsia"/>
          <w:color w:val="auto"/>
          <w:lang w:eastAsia="zh-CN"/>
        </w:rPr>
        <w:t>，</w:t>
      </w:r>
      <w:r>
        <w:rPr>
          <w:rFonts w:hint="eastAsia"/>
          <w:color w:val="auto"/>
          <w:lang w:val="en-US" w:eastAsia="zh-CN"/>
        </w:rPr>
        <w:t>深入贯彻建设</w:t>
      </w:r>
      <w:r>
        <w:rPr>
          <w:rFonts w:hint="eastAsia"/>
          <w:color w:val="auto"/>
        </w:rPr>
        <w:t>网络强国、数字中国、智慧</w:t>
      </w:r>
      <w:r>
        <w:rPr>
          <w:rFonts w:hint="eastAsia"/>
          <w:color w:val="auto"/>
          <w:lang w:eastAsia="zh-CN"/>
        </w:rPr>
        <w:t>城市</w:t>
      </w:r>
      <w:r>
        <w:rPr>
          <w:rFonts w:hint="eastAsia"/>
          <w:color w:val="auto"/>
          <w:lang w:val="en-US" w:eastAsia="zh-CN"/>
        </w:rPr>
        <w:t>战略部署</w:t>
      </w:r>
      <w:r>
        <w:rPr>
          <w:rFonts w:hint="eastAsia"/>
          <w:color w:val="auto"/>
        </w:rPr>
        <w:t>，抢抓“长三角一体化”“数字江淮”建设契机，推进政府决策科学化、社会治理精准化、公共服务高效化，持续深化“放管服”改革，优化营商环境，全面提升政府治理能力和治理水平，强化“两个坚持”，实现“两个更大”，奋力推动新时代美好</w:t>
      </w:r>
      <w:r>
        <w:rPr>
          <w:rFonts w:hint="eastAsia"/>
          <w:color w:val="auto"/>
          <w:lang w:eastAsia="zh-CN"/>
        </w:rPr>
        <w:t>霍邱</w:t>
      </w:r>
      <w:r>
        <w:rPr>
          <w:rFonts w:hint="eastAsia"/>
          <w:color w:val="auto"/>
        </w:rPr>
        <w:t>跨越式发展。打造</w:t>
      </w:r>
      <w:r>
        <w:rPr>
          <w:rFonts w:hint="eastAsia"/>
          <w:color w:val="auto"/>
          <w:lang w:eastAsia="zh-CN"/>
        </w:rPr>
        <w:t>霍邱特色“数字霍邱”体系</w:t>
      </w:r>
      <w:r>
        <w:rPr>
          <w:rFonts w:hint="eastAsia"/>
          <w:color w:val="auto"/>
        </w:rPr>
        <w:t>，推动经济、社会、城市高质量发展。</w:t>
      </w:r>
    </w:p>
    <w:p>
      <w:pPr>
        <w:pageBreakBefore w:val="0"/>
        <w:numPr>
          <w:ilvl w:val="0"/>
          <w:numId w:val="1"/>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 w:name="_Toc18393"/>
      <w:r>
        <w:rPr>
          <w:rFonts w:hint="eastAsia" w:ascii="黑体" w:hAnsi="黑体" w:eastAsia="黑体" w:cs="黑体"/>
          <w:b w:val="0"/>
          <w:bCs w:val="0"/>
          <w:color w:val="auto"/>
          <w:sz w:val="32"/>
          <w:szCs w:val="32"/>
          <w:lang w:val="en-US" w:eastAsia="zh-CN"/>
        </w:rPr>
        <w:t>发展目标</w:t>
      </w:r>
      <w:bookmarkEnd w:id="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jc w:val="both"/>
        <w:textAlignment w:val="auto"/>
        <w:rPr>
          <w:rFonts w:hint="default" w:eastAsia="仿宋_GB2312" w:cs="仿宋_GB2312" w:asciiTheme="minorAscii" w:hAnsiTheme="minorAscii"/>
          <w:color w:val="auto"/>
          <w:kern w:val="0"/>
          <w:sz w:val="32"/>
          <w:szCs w:val="32"/>
          <w:lang w:val="en-US" w:eastAsia="zh-CN" w:bidi="ar-SA"/>
        </w:rPr>
      </w:pPr>
      <w:r>
        <w:rPr>
          <w:rFonts w:hint="eastAsia" w:eastAsia="仿宋_GB2312" w:cs="仿宋_GB2312" w:asciiTheme="minorAscii" w:hAnsiTheme="minorAscii"/>
          <w:color w:val="auto"/>
          <w:kern w:val="0"/>
          <w:sz w:val="32"/>
          <w:szCs w:val="32"/>
          <w:lang w:val="en-US" w:eastAsia="zh-CN" w:bidi="ar-SA"/>
        </w:rPr>
        <w:t>到</w:t>
      </w:r>
      <w:r>
        <w:rPr>
          <w:rFonts w:hint="default" w:eastAsia="仿宋_GB2312" w:cs="仿宋_GB2312" w:asciiTheme="minorAscii" w:hAnsiTheme="minorAscii"/>
          <w:color w:val="auto"/>
          <w:kern w:val="0"/>
          <w:sz w:val="32"/>
          <w:szCs w:val="32"/>
          <w:lang w:val="en-US" w:eastAsia="zh-CN" w:bidi="ar-SA"/>
        </w:rPr>
        <w:t>2025年，围绕</w:t>
      </w:r>
      <w:r>
        <w:rPr>
          <w:rFonts w:hint="eastAsia" w:cs="仿宋_GB2312"/>
          <w:color w:val="auto"/>
          <w:kern w:val="0"/>
          <w:sz w:val="32"/>
          <w:szCs w:val="32"/>
          <w:lang w:val="en-US" w:eastAsia="zh-CN" w:bidi="ar-SA"/>
        </w:rPr>
        <w:t>“</w:t>
      </w:r>
      <w:r>
        <w:rPr>
          <w:rFonts w:hint="default" w:eastAsia="仿宋_GB2312" w:cs="仿宋_GB2312" w:asciiTheme="minorAscii" w:hAnsiTheme="minorAscii"/>
          <w:color w:val="auto"/>
          <w:kern w:val="0"/>
          <w:sz w:val="32"/>
          <w:szCs w:val="32"/>
          <w:lang w:val="en-US" w:eastAsia="zh-CN" w:bidi="ar-SA"/>
        </w:rPr>
        <w:t>城市生活和谐宜居、城市管理精细敏捷、政务服务高效协同、产业经济蓬勃发展</w:t>
      </w:r>
      <w:r>
        <w:rPr>
          <w:rFonts w:hint="eastAsia" w:cs="仿宋_GB2312"/>
          <w:color w:val="auto"/>
          <w:kern w:val="0"/>
          <w:sz w:val="32"/>
          <w:szCs w:val="32"/>
          <w:lang w:val="en-US" w:eastAsia="zh-CN" w:bidi="ar-SA"/>
        </w:rPr>
        <w:t>”</w:t>
      </w:r>
      <w:r>
        <w:rPr>
          <w:rFonts w:hint="default" w:eastAsia="仿宋_GB2312" w:cs="仿宋_GB2312" w:asciiTheme="minorAscii" w:hAnsiTheme="minorAscii"/>
          <w:color w:val="auto"/>
          <w:kern w:val="0"/>
          <w:sz w:val="32"/>
          <w:szCs w:val="32"/>
          <w:lang w:val="en-US" w:eastAsia="zh-CN" w:bidi="ar-SA"/>
        </w:rPr>
        <w:t>打造</w:t>
      </w:r>
      <w:r>
        <w:rPr>
          <w:rFonts w:hint="eastAsia" w:cs="仿宋_GB2312"/>
          <w:color w:val="auto"/>
          <w:kern w:val="0"/>
          <w:sz w:val="32"/>
          <w:szCs w:val="32"/>
          <w:lang w:val="en-US" w:eastAsia="zh-CN" w:bidi="ar-SA"/>
        </w:rPr>
        <w:t>“数字霍邱”</w:t>
      </w:r>
      <w:r>
        <w:rPr>
          <w:rFonts w:hint="default" w:eastAsia="仿宋_GB2312" w:cs="仿宋_GB2312" w:asciiTheme="minorAscii" w:hAnsiTheme="minorAscii"/>
          <w:color w:val="auto"/>
          <w:kern w:val="0"/>
          <w:sz w:val="32"/>
          <w:szCs w:val="32"/>
          <w:lang w:val="en-US" w:eastAsia="zh-CN" w:bidi="ar-SA"/>
        </w:rPr>
        <w:t>。数字基础支撑体系趋于完善，数字经济成为经济发展重要增长极，数字政府运行效能显著优化，数字社会治理和服务模式创新，为人民群众提供安全、舒适、便利的现代化和智慧化生活环境。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jc w:val="both"/>
        <w:textAlignment w:val="auto"/>
        <w:rPr>
          <w:rFonts w:hint="default" w:eastAsia="仿宋_GB2312" w:cs="仿宋_GB2312" w:asciiTheme="minorAscii" w:hAnsiTheme="minorAscii"/>
          <w:color w:val="auto"/>
          <w:kern w:val="0"/>
          <w:sz w:val="32"/>
          <w:szCs w:val="32"/>
          <w:lang w:val="en-US" w:eastAsia="zh-CN" w:bidi="ar-SA"/>
        </w:rPr>
      </w:pPr>
      <w:r>
        <w:rPr>
          <w:rFonts w:hint="default" w:eastAsia="仿宋_GB2312" w:cs="仿宋_GB2312" w:asciiTheme="minorAscii" w:hAnsiTheme="minorAscii"/>
          <w:color w:val="auto"/>
          <w:kern w:val="0"/>
          <w:sz w:val="32"/>
          <w:szCs w:val="32"/>
          <w:lang w:val="en-US" w:eastAsia="zh-CN" w:bidi="ar-SA"/>
        </w:rPr>
        <w:t>数字基础全面升级。建成高速、移动、安全、泛在的新一代信息技术基础设施，数据中心规模、计算能力、服务能力，数据资源体系完善，</w:t>
      </w:r>
      <w:r>
        <w:rPr>
          <w:rFonts w:hint="eastAsia" w:cs="仿宋_GB2312"/>
          <w:color w:val="auto"/>
          <w:kern w:val="0"/>
          <w:sz w:val="32"/>
          <w:szCs w:val="32"/>
          <w:lang w:val="en-US" w:eastAsia="zh-CN" w:bidi="ar-SA"/>
        </w:rPr>
        <w:t>霍邱</w:t>
      </w:r>
      <w:r>
        <w:rPr>
          <w:rFonts w:hint="default" w:eastAsia="仿宋_GB2312" w:cs="仿宋_GB2312" w:asciiTheme="minorAscii" w:hAnsiTheme="minorAscii"/>
          <w:color w:val="auto"/>
          <w:kern w:val="0"/>
          <w:sz w:val="32"/>
          <w:szCs w:val="32"/>
          <w:lang w:val="en-US" w:eastAsia="zh-CN" w:bidi="ar-SA"/>
        </w:rPr>
        <w:t>大数据中心高效运行，实现政务、经济、社会数据汇聚共享、融合应用。</w:t>
      </w:r>
    </w:p>
    <w:p>
      <w:pPr>
        <w:pageBreakBefore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eastAsia="仿宋_GB2312"/>
          <w:snapToGrid w:val="0"/>
          <w:spacing w:val="-20"/>
          <w:kern w:val="0"/>
          <w:sz w:val="32"/>
          <w:szCs w:val="32"/>
          <w:lang w:val="zh-CN"/>
        </w:rPr>
      </w:pPr>
      <w:r>
        <w:rPr>
          <w:rFonts w:hint="eastAsia" w:cs="仿宋_GB2312"/>
          <w:color w:val="auto"/>
          <w:kern w:val="0"/>
          <w:sz w:val="32"/>
          <w:szCs w:val="32"/>
          <w:lang w:val="en-US" w:eastAsia="zh-CN" w:bidi="ar-SA"/>
        </w:rPr>
        <w:t>城市生活和谐宜居。全面提升数字惠民能力，补短板、扬优势，聚焦民生服务、环境优化、文化培育等群众感知强的领域，打造全程全时、精准高效的公共服务能力，构筑便捷多元的公共服务体验样板，</w:t>
      </w:r>
      <w:r>
        <w:rPr>
          <w:rFonts w:hint="eastAsia" w:eastAsia="仿宋_GB2312"/>
          <w:snapToGrid w:val="0"/>
          <w:spacing w:val="-20"/>
          <w:kern w:val="0"/>
          <w:sz w:val="32"/>
          <w:szCs w:val="32"/>
          <w:lang w:val="zh-CN"/>
        </w:rPr>
        <w:t>打造多样化、智慧化、人性化的民生服务。</w:t>
      </w:r>
      <w:bookmarkStart w:id="8" w:name="_Toc14068"/>
      <w:bookmarkStart w:id="9" w:name="_Toc26104"/>
    </w:p>
    <w:p>
      <w:pPr>
        <w:pageBreakBefore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eastAsia="仿宋_GB2312" w:cs="仿宋_GB2312" w:asciiTheme="minorAscii" w:hAnsiTheme="minorAscii"/>
          <w:color w:val="auto"/>
          <w:kern w:val="0"/>
          <w:sz w:val="32"/>
          <w:szCs w:val="32"/>
          <w:lang w:val="en-US" w:eastAsia="zh-CN" w:bidi="ar-SA"/>
        </w:rPr>
      </w:pPr>
      <w:r>
        <w:rPr>
          <w:rFonts w:hint="default" w:eastAsia="仿宋_GB2312" w:cs="仿宋_GB2312" w:asciiTheme="minorAscii" w:hAnsiTheme="minorAscii"/>
          <w:color w:val="auto"/>
          <w:kern w:val="0"/>
          <w:sz w:val="32"/>
          <w:szCs w:val="32"/>
          <w:lang w:val="en-US" w:eastAsia="zh-CN" w:bidi="ar-SA"/>
        </w:rPr>
        <w:t>城市管理精细敏捷</w:t>
      </w:r>
      <w:r>
        <w:rPr>
          <w:rFonts w:hint="eastAsia" w:eastAsia="仿宋_GB2312" w:cs="仿宋_GB2312" w:asciiTheme="minorAscii" w:hAnsiTheme="minorAscii"/>
          <w:color w:val="auto"/>
          <w:kern w:val="0"/>
          <w:sz w:val="32"/>
          <w:szCs w:val="32"/>
          <w:lang w:val="en-US" w:eastAsia="zh-CN" w:bidi="ar-SA"/>
        </w:rPr>
        <w:t>。到2023年，智慧城市运营管理中心全面建成，以“精细化城市治理”为方向目标，持续推动城市协同治理体制创新，到2025年，城市智能运行管理能力基本完善，以“体制+能力”相结合方式推进城市精细化治理之路，树立数字城市管理标杆。</w:t>
      </w:r>
      <w:bookmarkEnd w:id="8"/>
      <w:bookmarkEnd w:id="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jc w:val="both"/>
        <w:textAlignment w:val="auto"/>
        <w:rPr>
          <w:rFonts w:hint="eastAsia" w:cs="仿宋_GB2312"/>
          <w:color w:val="auto"/>
          <w:kern w:val="0"/>
          <w:sz w:val="32"/>
          <w:szCs w:val="32"/>
          <w:lang w:val="en-US" w:eastAsia="zh-CN" w:bidi="ar-SA"/>
        </w:rPr>
      </w:pPr>
      <w:r>
        <w:rPr>
          <w:rFonts w:hint="eastAsia" w:cs="仿宋_GB2312"/>
          <w:color w:val="auto"/>
          <w:kern w:val="0"/>
          <w:sz w:val="32"/>
          <w:szCs w:val="32"/>
          <w:lang w:val="en-US" w:eastAsia="zh-CN" w:bidi="ar-SA"/>
        </w:rPr>
        <w:t>政务服务高效协同。</w:t>
      </w:r>
      <w:r>
        <w:rPr>
          <w:rFonts w:hint="default" w:cs="仿宋_GB2312"/>
          <w:color w:val="auto"/>
          <w:kern w:val="0"/>
          <w:sz w:val="32"/>
          <w:szCs w:val="32"/>
          <w:lang w:val="en-US" w:eastAsia="zh-CN" w:bidi="ar-SA"/>
        </w:rPr>
        <w:t>政府科学决策和精细治理能力显著提升，为企业、群众主动提供个性化、智慧化的政务服务，让</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数据跑路</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代替</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群众跑腿</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，做强</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皖事通办</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，实现</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皖（万）事如意</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县级政务服务事项实现100%网上可办。</w:t>
      </w:r>
    </w:p>
    <w:p>
      <w:pPr>
        <w:pageBreakBefore w:val="0"/>
        <w:kinsoku/>
        <w:wordWrap/>
        <w:topLinePunct w:val="0"/>
        <w:autoSpaceDE/>
        <w:autoSpaceDN/>
        <w:bidi w:val="0"/>
        <w:spacing w:line="580" w:lineRule="exact"/>
        <w:ind w:firstLine="640" w:firstLineChars="200"/>
        <w:textAlignment w:val="auto"/>
        <w:rPr>
          <w:rFonts w:hint="default" w:cs="仿宋_GB2312"/>
          <w:color w:val="auto"/>
          <w:kern w:val="0"/>
          <w:sz w:val="32"/>
          <w:szCs w:val="32"/>
          <w:lang w:val="en-US" w:eastAsia="zh-CN" w:bidi="ar-SA"/>
        </w:rPr>
      </w:pPr>
      <w:r>
        <w:rPr>
          <w:rFonts w:hint="eastAsia" w:cs="仿宋_GB2312"/>
          <w:color w:val="auto"/>
          <w:kern w:val="0"/>
          <w:sz w:val="32"/>
          <w:szCs w:val="32"/>
          <w:lang w:val="en-US" w:eastAsia="zh-CN" w:bidi="ar-SA"/>
        </w:rPr>
        <w:t>产业经济蓬勃发展。深度聚焦产业转型发展，全面推动传统优势产业数字化转型升级，聚力培育新兴产业及生态，打造产业发展新动能；发挥红色、绿色资源优势，推动旅游兴市，实现</w:t>
      </w:r>
      <w:r>
        <w:rPr>
          <w:rFonts w:hint="eastAsia" w:ascii="仿宋_GB2312" w:eastAsia="仿宋_GB2312"/>
          <w:snapToGrid w:val="0"/>
          <w:spacing w:val="-20"/>
          <w:kern w:val="0"/>
          <w:sz w:val="32"/>
          <w:szCs w:val="32"/>
        </w:rPr>
        <w:t>“合肥都市圈”、“数字长三角”</w:t>
      </w:r>
      <w:r>
        <w:rPr>
          <w:rFonts w:hint="eastAsia" w:ascii="仿宋" w:hAnsi="仿宋" w:eastAsia="仿宋" w:cs="仿宋"/>
          <w:color w:val="auto"/>
          <w:sz w:val="32"/>
          <w:szCs w:val="32"/>
          <w:lang w:eastAsia="zh-CN"/>
        </w:rPr>
        <w:t>产业</w:t>
      </w:r>
      <w:r>
        <w:rPr>
          <w:rFonts w:hint="eastAsia" w:ascii="仿宋" w:hAnsi="仿宋" w:eastAsia="仿宋" w:cs="仿宋"/>
          <w:color w:val="auto"/>
          <w:sz w:val="32"/>
          <w:szCs w:val="32"/>
        </w:rPr>
        <w:t>链深度融合。</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eastAsia" w:ascii="方正黑体_GBK" w:hAnsi="方正黑体_GBK" w:eastAsia="方正黑体_GBK" w:cs="方正黑体_GBK"/>
          <w:i w:val="0"/>
          <w:caps w:val="0"/>
          <w:color w:val="auto"/>
          <w:spacing w:val="8"/>
          <w:sz w:val="32"/>
          <w:szCs w:val="32"/>
          <w:shd w:val="clear" w:fill="FFFFFF"/>
          <w:lang w:eastAsia="zh-CN"/>
        </w:rPr>
      </w:pPr>
      <w:bookmarkStart w:id="10" w:name="_Toc51340745"/>
      <w:bookmarkStart w:id="11" w:name="_Toc20776"/>
      <w:r>
        <w:rPr>
          <w:rFonts w:hint="eastAsia" w:ascii="方正黑体_GBK" w:hAnsi="方正黑体_GBK" w:eastAsia="方正黑体_GBK" w:cs="方正黑体_GBK"/>
          <w:i w:val="0"/>
          <w:caps w:val="0"/>
          <w:color w:val="auto"/>
          <w:spacing w:val="8"/>
          <w:sz w:val="32"/>
          <w:szCs w:val="32"/>
          <w:shd w:val="clear" w:fill="FFFFFF"/>
          <w:lang w:eastAsia="zh-CN"/>
        </w:rPr>
        <w:t>三、设计架构</w:t>
      </w:r>
      <w:bookmarkEnd w:id="10"/>
      <w:bookmarkEnd w:id="11"/>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12" w:name="_Toc30433"/>
      <w:r>
        <w:rPr>
          <w:rFonts w:hint="eastAsia" w:ascii="黑体" w:hAnsi="黑体" w:eastAsia="黑体" w:cs="黑体"/>
          <w:b w:val="0"/>
          <w:bCs w:val="0"/>
          <w:color w:val="auto"/>
          <w:sz w:val="32"/>
          <w:szCs w:val="32"/>
          <w:lang w:val="en-US" w:eastAsia="zh-CN"/>
        </w:rPr>
        <w:t>（一）总体架构</w:t>
      </w:r>
      <w:bookmarkEnd w:id="12"/>
    </w:p>
    <w:p>
      <w:pPr>
        <w:pageBreakBefore w:val="0"/>
        <w:kinsoku/>
        <w:wordWrap/>
        <w:topLinePunct w:val="0"/>
        <w:autoSpaceDE/>
        <w:autoSpaceDN/>
        <w:bidi w:val="0"/>
        <w:spacing w:line="580" w:lineRule="exact"/>
        <w:textAlignment w:val="auto"/>
        <w:rPr>
          <w:rFonts w:hint="eastAsia"/>
          <w:color w:val="auto"/>
          <w:lang w:val="en-US" w:eastAsia="zh-CN"/>
        </w:rPr>
      </w:pPr>
      <w:r>
        <w:rPr>
          <w:rFonts w:hint="eastAsia"/>
          <w:color w:val="auto"/>
          <w:lang w:val="en-US" w:eastAsia="zh-CN"/>
        </w:rPr>
        <w:t>采用“1+N+1”体系建设“数字霍邱”。以“一个中心、N类应用、1个平台”为统领，建设融合指挥、全局感知、监测预警、智能决策、事件管理于“1”体的智慧城市运营中心，打造城市治理、产业发展、民生服务“N”个智慧应用，建设共享交换、时空数据服务、物联网、AI等技术“1”体化数字平台，逐步构筑完善的“数字霍邱”总体布局。</w:t>
      </w:r>
    </w:p>
    <w:p>
      <w:pPr>
        <w:pStyle w:val="3"/>
        <w:pageBreakBefore w:val="0"/>
        <w:kinsoku/>
        <w:wordWrap/>
        <w:topLinePunct w:val="0"/>
        <w:autoSpaceDE/>
        <w:autoSpaceDN/>
        <w:bidi w:val="0"/>
        <w:spacing w:line="580" w:lineRule="exact"/>
        <w:ind w:left="0" w:leftChars="0" w:firstLine="0" w:firstLineChars="0"/>
        <w:textAlignment w:val="auto"/>
        <w:rPr>
          <w:rFonts w:hint="eastAsia" w:eastAsia="楷体"/>
          <w:color w:val="auto"/>
          <w:lang w:eastAsia="zh-CN"/>
        </w:rPr>
      </w:pPr>
      <w:bookmarkStart w:id="13" w:name="_Toc26637"/>
      <w:bookmarkStart w:id="14" w:name="_Toc7689"/>
      <w:r>
        <w:rPr>
          <w:rFonts w:hint="eastAsia" w:eastAsia="楷体"/>
          <w:color w:val="auto"/>
          <w:lang w:eastAsia="zh-CN"/>
        </w:rPr>
        <w:drawing>
          <wp:inline distT="0" distB="0" distL="114300" distR="114300">
            <wp:extent cx="5268595" cy="2489835"/>
            <wp:effectExtent l="0" t="0" r="8255" b="5715"/>
            <wp:docPr id="3" name="图片 3" descr="WPS图片标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标注"/>
                    <pic:cNvPicPr>
                      <a:picLocks noChangeAspect="1"/>
                    </pic:cNvPicPr>
                  </pic:nvPicPr>
                  <pic:blipFill>
                    <a:blip r:embed="rId8"/>
                    <a:stretch>
                      <a:fillRect/>
                    </a:stretch>
                  </pic:blipFill>
                  <pic:spPr>
                    <a:xfrm>
                      <a:off x="0" y="0"/>
                      <a:ext cx="5268595" cy="2489835"/>
                    </a:xfrm>
                    <a:prstGeom prst="rect">
                      <a:avLst/>
                    </a:prstGeom>
                  </pic:spPr>
                </pic:pic>
              </a:graphicData>
            </a:graphic>
          </wp:inline>
        </w:drawing>
      </w:r>
      <w:bookmarkEnd w:id="13"/>
      <w:bookmarkEnd w:id="14"/>
    </w:p>
    <w:p>
      <w:pPr>
        <w:pStyle w:val="5"/>
        <w:pageBreakBefore w:val="0"/>
        <w:kinsoku/>
        <w:wordWrap/>
        <w:topLinePunct w:val="0"/>
        <w:autoSpaceDE/>
        <w:autoSpaceDN/>
        <w:bidi w:val="0"/>
        <w:spacing w:line="580" w:lineRule="exact"/>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15" w:name="_Toc50382954"/>
      <w:r>
        <w:rPr>
          <w:rFonts w:hint="eastAsia"/>
          <w:color w:val="auto"/>
        </w:rPr>
        <w:t>图示：总体架构图</w:t>
      </w:r>
      <w:bookmarkEnd w:id="15"/>
      <w:bookmarkStart w:id="16" w:name="_Toc51340746"/>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default" w:ascii="黑体" w:hAnsi="黑体" w:eastAsia="黑体" w:cs="黑体"/>
          <w:b w:val="0"/>
          <w:bCs w:val="0"/>
          <w:color w:val="auto"/>
          <w:sz w:val="32"/>
          <w:szCs w:val="32"/>
          <w:lang w:val="en-US" w:eastAsia="zh-CN"/>
        </w:rPr>
      </w:pPr>
      <w:bookmarkStart w:id="17" w:name="_Toc25844"/>
      <w:r>
        <w:rPr>
          <w:rFonts w:hint="eastAsia" w:ascii="黑体" w:hAnsi="黑体" w:eastAsia="黑体" w:cs="黑体"/>
          <w:b w:val="0"/>
          <w:bCs w:val="0"/>
          <w:color w:val="auto"/>
          <w:sz w:val="32"/>
          <w:szCs w:val="32"/>
          <w:lang w:val="en-US" w:eastAsia="zh-CN"/>
        </w:rPr>
        <w:t>（二）业务架构</w:t>
      </w:r>
      <w:bookmarkEnd w:id="16"/>
      <w:bookmarkEnd w:id="17"/>
    </w:p>
    <w:p>
      <w:pPr>
        <w:pageBreakBefore w:val="0"/>
        <w:kinsoku/>
        <w:wordWrap/>
        <w:topLinePunct w:val="0"/>
        <w:autoSpaceDE/>
        <w:autoSpaceDN/>
        <w:bidi w:val="0"/>
        <w:spacing w:line="580" w:lineRule="exact"/>
        <w:ind w:firstLine="42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根据霍邱智慧城市建设实施总体思路，充分考虑架构的灵活性、弹性和可扩展性，构建总体业务框架：</w:t>
      </w:r>
    </w:p>
    <w:p>
      <w:pPr>
        <w:pStyle w:val="6"/>
        <w:pageBreakBefore w:val="0"/>
        <w:kinsoku/>
        <w:wordWrap/>
        <w:topLinePunct w:val="0"/>
        <w:autoSpaceDE/>
        <w:autoSpaceDN/>
        <w:bidi w:val="0"/>
        <w:spacing w:line="580" w:lineRule="exact"/>
        <w:ind w:firstLine="422"/>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lang w:eastAsia="zh-CN"/>
        </w:rPr>
        <w:t>”</w:t>
      </w:r>
      <w:r>
        <w:rPr>
          <w:rFonts w:hint="eastAsia" w:ascii="仿宋_GB2312" w:hAnsi="仿宋_GB2312" w:cs="仿宋_GB2312"/>
          <w:b/>
          <w:bCs/>
          <w:color w:val="auto"/>
          <w:lang w:eastAsia="zh-CN"/>
        </w:rPr>
        <w:t>个</w:t>
      </w:r>
      <w:r>
        <w:rPr>
          <w:rFonts w:hint="eastAsia"/>
          <w:b/>
          <w:bCs/>
          <w:color w:val="auto"/>
          <w:lang w:val="en-US" w:eastAsia="zh-CN"/>
        </w:rPr>
        <w:t>智慧城市运营管理平台：</w:t>
      </w:r>
      <w:r>
        <w:rPr>
          <w:rFonts w:hint="eastAsia" w:ascii="仿宋_GB2312" w:hAnsi="仿宋_GB2312" w:eastAsia="仿宋_GB2312" w:cs="仿宋_GB2312"/>
          <w:b w:val="0"/>
          <w:bCs w:val="0"/>
          <w:color w:val="auto"/>
          <w:lang w:eastAsia="zh-CN"/>
        </w:rPr>
        <w:t>该系统面向城市管理者,从城市综合管理角度出发,将原有和新建的各类业务系统依据统一的标准进行接入,</w:t>
      </w:r>
      <w:r>
        <w:rPr>
          <w:rFonts w:hint="eastAsia" w:ascii="仿宋_GB2312" w:hAnsi="仿宋_GB2312" w:eastAsia="仿宋_GB2312" w:cs="仿宋_GB2312"/>
          <w:color w:val="auto"/>
          <w:szCs w:val="20"/>
          <w:lang w:val="zh-CN" w:eastAsia="zh-CN"/>
        </w:rPr>
        <w:t>实现数据的全面融合以及城市运行综合管理，实现物理世界和虚拟城市空间的统一和一体化管理服务，洞悉城市运行各类维度信息状态与分布情况，全面、直观地总览城市运行态势，最终形成从人员、设备、监控、案件、任务、预案、消息通知与推送业务全周期管理的城市运行管理。</w:t>
      </w:r>
    </w:p>
    <w:p>
      <w:pPr>
        <w:pageBreakBefore w:val="0"/>
        <w:kinsoku/>
        <w:wordWrap/>
        <w:topLinePunct w:val="0"/>
        <w:autoSpaceDE/>
        <w:autoSpaceDN/>
        <w:bidi w:val="0"/>
        <w:spacing w:line="580" w:lineRule="exact"/>
        <w:ind w:firstLine="42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kern w:val="0"/>
          <w:sz w:val="32"/>
          <w:szCs w:val="32"/>
          <w:lang w:val="en-US" w:eastAsia="zh-CN" w:bidi="ar-SA"/>
        </w:rPr>
        <w:t>“</w:t>
      </w:r>
      <w:r>
        <w:rPr>
          <w:rFonts w:hint="eastAsia" w:ascii="仿宋_GB2312" w:hAnsi="仿宋_GB2312" w:cs="仿宋_GB2312"/>
          <w:b/>
          <w:bCs/>
          <w:color w:val="auto"/>
          <w:kern w:val="0"/>
          <w:sz w:val="32"/>
          <w:szCs w:val="32"/>
          <w:lang w:val="en-US" w:eastAsia="zh-CN" w:bidi="ar-SA"/>
        </w:rPr>
        <w:t>N</w:t>
      </w:r>
      <w:r>
        <w:rPr>
          <w:rFonts w:hint="eastAsia" w:ascii="仿宋_GB2312" w:hAnsi="仿宋_GB2312" w:eastAsia="仿宋_GB2312" w:cs="仿宋_GB2312"/>
          <w:b/>
          <w:bCs/>
          <w:color w:val="auto"/>
          <w:kern w:val="0"/>
          <w:sz w:val="32"/>
          <w:szCs w:val="32"/>
          <w:lang w:val="en-US" w:eastAsia="zh-CN" w:bidi="ar-SA"/>
        </w:rPr>
        <w:t>”</w:t>
      </w:r>
      <w:r>
        <w:rPr>
          <w:rFonts w:hint="eastAsia" w:ascii="仿宋_GB2312" w:hAnsi="仿宋_GB2312" w:cs="仿宋_GB2312"/>
          <w:b/>
          <w:bCs/>
          <w:color w:val="auto"/>
          <w:kern w:val="0"/>
          <w:sz w:val="32"/>
          <w:szCs w:val="32"/>
          <w:lang w:val="en-US" w:eastAsia="zh-CN" w:bidi="ar-SA"/>
        </w:rPr>
        <w:t>个</w:t>
      </w:r>
      <w:r>
        <w:rPr>
          <w:rFonts w:hint="eastAsia" w:ascii="仿宋_GB2312" w:hAnsi="仿宋_GB2312" w:eastAsia="仿宋_GB2312" w:cs="仿宋_GB2312"/>
          <w:b/>
          <w:bCs/>
          <w:color w:val="auto"/>
          <w:kern w:val="0"/>
          <w:sz w:val="32"/>
          <w:szCs w:val="32"/>
          <w:lang w:val="en-US" w:eastAsia="zh-CN" w:bidi="ar-SA"/>
        </w:rPr>
        <w:t>智慧应用</w:t>
      </w:r>
      <w:r>
        <w:rPr>
          <w:rFonts w:hint="eastAsia" w:ascii="仿宋_GB2312" w:hAnsi="仿宋_GB2312" w:eastAsia="仿宋_GB2312" w:cs="仿宋_GB2312"/>
          <w:b/>
          <w:color w:val="auto"/>
        </w:rPr>
        <w:t>：</w:t>
      </w:r>
      <w:r>
        <w:rPr>
          <w:rFonts w:hint="eastAsia" w:ascii="仿宋_GB2312" w:hAnsi="仿宋_GB2312" w:eastAsia="仿宋_GB2312" w:cs="仿宋_GB2312"/>
          <w:color w:val="auto"/>
        </w:rPr>
        <w:t>在城市</w:t>
      </w:r>
      <w:r>
        <w:rPr>
          <w:rFonts w:hint="eastAsia" w:ascii="仿宋_GB2312" w:hAnsi="仿宋_GB2312" w:eastAsia="仿宋_GB2312" w:cs="仿宋_GB2312"/>
          <w:color w:val="auto"/>
          <w:lang w:eastAsia="zh-CN"/>
        </w:rPr>
        <w:t>城市运行管理</w:t>
      </w:r>
      <w:r>
        <w:rPr>
          <w:rFonts w:hint="eastAsia" w:ascii="仿宋_GB2312" w:hAnsi="仿宋_GB2312" w:eastAsia="仿宋_GB2312" w:cs="仿宋_GB2312"/>
          <w:color w:val="auto"/>
        </w:rPr>
        <w:t>平台上，将建设各类智慧场景应用，为各业务部门工作提供有力抓手，提升业务部门</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ascii="仿宋_GB2312" w:hAnsi="仿宋_GB2312" w:eastAsia="仿宋_GB2312" w:cs="仿宋_GB2312"/>
          <w:color w:val="auto"/>
        </w:rPr>
        <w:t>水平，提升业务部门工作效率。同时智慧应用提供移动终端APP等各种便捷服务方式，使广大群众感受到智慧城市建设带来的便利，提升群众获得感。</w:t>
      </w:r>
    </w:p>
    <w:p>
      <w:pPr>
        <w:pageBreakBefore w:val="0"/>
        <w:kinsoku/>
        <w:wordWrap/>
        <w:topLinePunct w:val="0"/>
        <w:autoSpaceDE/>
        <w:autoSpaceDN/>
        <w:bidi w:val="0"/>
        <w:spacing w:line="580" w:lineRule="exact"/>
        <w:ind w:firstLine="420"/>
        <w:textAlignment w:val="auto"/>
        <w:rPr>
          <w:rFonts w:hint="eastAsia" w:ascii="仿宋_GB2312" w:hAnsi="仿宋_GB2312" w:eastAsia="仿宋_GB2312" w:cs="仿宋_GB2312"/>
          <w:color w:val="auto"/>
        </w:rPr>
      </w:pPr>
      <w:r>
        <w:rPr>
          <w:rFonts w:hint="default" w:ascii="仿宋_GB2312" w:hAnsi="仿宋_GB2312" w:cs="仿宋_GB2312"/>
          <w:b/>
          <w:color w:val="auto"/>
          <w:lang w:val="en-US" w:eastAsia="zh-CN"/>
        </w:rPr>
        <w:t>“</w:t>
      </w:r>
      <w:r>
        <w:rPr>
          <w:rFonts w:hint="eastAsia" w:ascii="仿宋_GB2312" w:hAnsi="仿宋_GB2312" w:cs="仿宋_GB2312"/>
          <w:b/>
          <w:color w:val="auto"/>
          <w:lang w:val="en-US" w:eastAsia="zh-CN"/>
        </w:rPr>
        <w:t>1</w:t>
      </w:r>
      <w:r>
        <w:rPr>
          <w:rFonts w:hint="default" w:ascii="仿宋_GB2312" w:hAnsi="仿宋_GB2312" w:cs="仿宋_GB2312"/>
          <w:b/>
          <w:color w:val="auto"/>
          <w:lang w:val="en-US" w:eastAsia="zh-CN"/>
        </w:rPr>
        <w:t>”</w:t>
      </w:r>
      <w:r>
        <w:rPr>
          <w:rFonts w:hint="eastAsia" w:ascii="仿宋_GB2312" w:hAnsi="仿宋_GB2312" w:cs="仿宋_GB2312"/>
          <w:b/>
          <w:color w:val="auto"/>
          <w:lang w:val="en-US" w:eastAsia="zh-CN"/>
        </w:rPr>
        <w:t>个数字</w:t>
      </w:r>
      <w:r>
        <w:rPr>
          <w:rFonts w:hint="eastAsia" w:ascii="仿宋_GB2312" w:hAnsi="仿宋_GB2312" w:eastAsia="仿宋_GB2312" w:cs="仿宋_GB2312"/>
          <w:b/>
          <w:color w:val="auto"/>
        </w:rPr>
        <w:t>平台</w:t>
      </w:r>
      <w:r>
        <w:rPr>
          <w:rFonts w:hint="eastAsia" w:ascii="仿宋_GB2312" w:hAnsi="仿宋_GB2312" w:cs="仿宋_GB2312"/>
          <w:b/>
          <w:color w:val="auto"/>
          <w:lang w:val="en-US" w:eastAsia="zh-CN"/>
        </w:rPr>
        <w:t>:</w:t>
      </w:r>
      <w:r>
        <w:rPr>
          <w:rFonts w:hint="eastAsia" w:ascii="仿宋_GB2312" w:hAnsi="仿宋_GB2312" w:eastAsia="仿宋_GB2312" w:cs="仿宋_GB2312"/>
          <w:color w:val="auto"/>
        </w:rPr>
        <w:t>包括</w:t>
      </w:r>
      <w:r>
        <w:rPr>
          <w:rFonts w:hint="eastAsia" w:ascii="仿宋_GB2312" w:hAnsi="仿宋_GB2312" w:cs="仿宋_GB2312"/>
          <w:color w:val="auto"/>
          <w:lang w:eastAsia="zh-CN"/>
        </w:rPr>
        <w:t>共享交换</w:t>
      </w:r>
      <w:r>
        <w:rPr>
          <w:rFonts w:hint="eastAsia" w:ascii="仿宋_GB2312" w:hAnsi="仿宋_GB2312" w:eastAsia="仿宋_GB2312" w:cs="仿宋_GB2312"/>
          <w:color w:val="auto"/>
        </w:rPr>
        <w:t>平台、物联网平台、视频云平台、时空信息服务平台、人工智能平台和能力开放平台</w:t>
      </w:r>
      <w:r>
        <w:rPr>
          <w:rFonts w:hint="eastAsia" w:ascii="仿宋_GB2312" w:hAnsi="仿宋_GB2312" w:cs="仿宋_GB2312"/>
          <w:color w:val="auto"/>
          <w:lang w:eastAsia="zh-CN"/>
        </w:rPr>
        <w:t>、区块链平台</w:t>
      </w:r>
      <w:r>
        <w:rPr>
          <w:rFonts w:hint="eastAsia" w:ascii="仿宋_GB2312" w:hAnsi="仿宋_GB2312" w:eastAsia="仿宋_GB2312" w:cs="仿宋_GB2312"/>
          <w:color w:val="auto"/>
        </w:rPr>
        <w:t>等，为霍邱智慧城市实现视频资源、物联网资源、大数据资源、音视频通信资源、地理信息资源的统筹管理，同时在信息资源上构建人工智能平台，针对城市管理、企业及</w:t>
      </w:r>
      <w:r>
        <w:rPr>
          <w:rFonts w:hint="eastAsia" w:ascii="仿宋_GB2312" w:hAnsi="仿宋_GB2312" w:cs="仿宋_GB2312"/>
          <w:color w:val="auto"/>
          <w:lang w:eastAsia="zh-CN"/>
        </w:rPr>
        <w:t>群众</w:t>
      </w:r>
      <w:r>
        <w:rPr>
          <w:rFonts w:hint="eastAsia" w:ascii="仿宋_GB2312" w:hAnsi="仿宋_GB2312" w:eastAsia="仿宋_GB2312" w:cs="仿宋_GB2312"/>
          <w:color w:val="auto"/>
        </w:rPr>
        <w:t>服务提供基础的算法库。这些能力通过能力开放平台对外开放，政府单位及企业都可以调用这些能力，直接开发上层应用，大大节省基础资源的投入。同时平台汇聚的数据，在标准规划和数据安全规范的指导下对外开放，促进数字产业发展。</w:t>
      </w:r>
    </w:p>
    <w:p>
      <w:pPr>
        <w:pageBreakBefore w:val="0"/>
        <w:kinsoku/>
        <w:wordWrap/>
        <w:topLinePunct w:val="0"/>
        <w:autoSpaceDE/>
        <w:autoSpaceDN/>
        <w:bidi w:val="0"/>
        <w:spacing w:line="580" w:lineRule="exact"/>
        <w:ind w:firstLine="42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同时也将开展智慧城市标准规范体系、智慧城市信息安全保障系统建设，保障</w:t>
      </w:r>
      <w:r>
        <w:rPr>
          <w:rFonts w:hint="eastAsia" w:ascii="仿宋_GB2312" w:hAnsi="仿宋_GB2312" w:cs="仿宋_GB2312"/>
          <w:color w:val="auto"/>
          <w:lang w:eastAsia="zh-CN"/>
        </w:rPr>
        <w:t>“数字霍邱”</w:t>
      </w:r>
      <w:r>
        <w:rPr>
          <w:rFonts w:hint="eastAsia" w:ascii="仿宋_GB2312" w:hAnsi="仿宋_GB2312" w:eastAsia="仿宋_GB2312" w:cs="仿宋_GB2312"/>
          <w:color w:val="auto"/>
        </w:rPr>
        <w:t>建设的顺利推进。</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eastAsia" w:ascii="方正黑体_GBK" w:hAnsi="方正黑体_GBK" w:eastAsia="方正黑体_GBK" w:cs="方正黑体_GBK"/>
          <w:i w:val="0"/>
          <w:caps w:val="0"/>
          <w:color w:val="auto"/>
          <w:spacing w:val="8"/>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eastAsia" w:ascii="方正黑体_GBK" w:hAnsi="方正黑体_GBK" w:eastAsia="方正黑体_GBK" w:cs="方正黑体_GBK"/>
          <w:i w:val="0"/>
          <w:caps w:val="0"/>
          <w:color w:val="auto"/>
          <w:spacing w:val="8"/>
          <w:sz w:val="32"/>
          <w:szCs w:val="32"/>
          <w:shd w:val="clear" w:fill="FFFFFF"/>
          <w:lang w:val="en-US" w:eastAsia="zh-CN"/>
        </w:rPr>
      </w:pPr>
      <w:bookmarkStart w:id="18" w:name="_Toc22191"/>
      <w:r>
        <w:rPr>
          <w:rFonts w:hint="eastAsia" w:ascii="方正黑体_GBK" w:hAnsi="方正黑体_GBK" w:eastAsia="方正黑体_GBK" w:cs="方正黑体_GBK"/>
          <w:i w:val="0"/>
          <w:caps w:val="0"/>
          <w:color w:val="auto"/>
          <w:spacing w:val="8"/>
          <w:sz w:val="32"/>
          <w:szCs w:val="32"/>
          <w:shd w:val="clear" w:fill="FFFFFF"/>
          <w:lang w:val="en-US" w:eastAsia="zh-CN"/>
        </w:rPr>
        <w:t>四、主要任务及重点工程</w:t>
      </w:r>
      <w:bookmarkEnd w:id="18"/>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19" w:name="_Toc31518"/>
      <w:r>
        <w:rPr>
          <w:rFonts w:hint="eastAsia" w:ascii="黑体" w:hAnsi="黑体" w:eastAsia="黑体" w:cs="黑体"/>
          <w:b w:val="0"/>
          <w:bCs w:val="0"/>
          <w:color w:val="auto"/>
          <w:sz w:val="32"/>
          <w:szCs w:val="32"/>
          <w:lang w:val="en-US" w:eastAsia="zh-CN"/>
        </w:rPr>
        <w:t>（一）基础设施建设</w:t>
      </w:r>
      <w:bookmarkEnd w:id="19"/>
    </w:p>
    <w:p>
      <w:pPr>
        <w:pStyle w:val="3"/>
        <w:keepNext/>
        <w:keepLines/>
        <w:pageBreakBefore w:val="0"/>
        <w:widowControl w:val="0"/>
        <w:numPr>
          <w:ilvl w:val="0"/>
          <w:numId w:val="0"/>
        </w:numPr>
        <w:tabs>
          <w:tab w:val="left" w:pos="280"/>
        </w:tabs>
        <w:kinsoku/>
        <w:wordWrap/>
        <w:overflowPunct/>
        <w:topLinePunct w:val="0"/>
        <w:autoSpaceDE/>
        <w:autoSpaceDN/>
        <w:bidi w:val="0"/>
        <w:adjustRightInd/>
        <w:snapToGrid/>
        <w:spacing w:beforeLines="0" w:afterLines="0" w:line="580" w:lineRule="exact"/>
        <w:ind w:firstLine="643" w:firstLineChars="200"/>
        <w:textAlignment w:val="auto"/>
        <w:rPr>
          <w:rFonts w:hint="eastAsia" w:ascii="楷体" w:hAnsi="楷体" w:eastAsia="楷体" w:cs="楷体"/>
          <w:b/>
          <w:bCs/>
          <w:color w:val="auto"/>
          <w:sz w:val="32"/>
          <w:szCs w:val="32"/>
          <w:lang w:val="en-US" w:eastAsia="zh-CN"/>
        </w:rPr>
      </w:pPr>
      <w:bookmarkStart w:id="20" w:name="_Toc19767"/>
      <w:bookmarkStart w:id="21" w:name="_Toc18464"/>
      <w:bookmarkStart w:id="22" w:name="_Toc23888"/>
      <w:r>
        <w:rPr>
          <w:rFonts w:hint="eastAsia" w:ascii="楷体" w:hAnsi="楷体" w:cs="楷体"/>
          <w:b/>
          <w:bCs/>
          <w:color w:val="auto"/>
          <w:sz w:val="32"/>
          <w:szCs w:val="32"/>
          <w:lang w:val="en-US" w:eastAsia="zh-CN"/>
        </w:rPr>
        <w:t>1</w:t>
      </w:r>
      <w:r>
        <w:rPr>
          <w:rFonts w:hint="eastAsia" w:ascii="楷体" w:hAnsi="楷体" w:eastAsia="楷体" w:cs="楷体"/>
          <w:b/>
          <w:bCs/>
          <w:color w:val="auto"/>
          <w:sz w:val="32"/>
          <w:szCs w:val="32"/>
          <w:lang w:val="en-US" w:eastAsia="zh-CN"/>
        </w:rPr>
        <w:t>.推进基础通信网络建设升级</w:t>
      </w:r>
      <w:bookmarkEnd w:id="20"/>
      <w:bookmarkEnd w:id="21"/>
      <w:bookmarkEnd w:id="22"/>
      <w:r>
        <w:rPr>
          <w:rFonts w:hint="eastAsia" w:ascii="楷体" w:hAnsi="楷体" w:eastAsia="楷体" w:cs="楷体"/>
          <w:b/>
          <w:bCs/>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依托“网络强国”战略实施，加快构建高效骨干光纤网络，完善“最后一公里”接入，推进城市千兆光纤到楼入户，打造高水平全光网</w:t>
      </w:r>
      <w:r>
        <w:rPr>
          <w:rFonts w:hint="eastAsia" w:ascii="仿宋_GB2312" w:hAnsi="宋体" w:eastAsia="仿宋_GB2312" w:cs="宋体"/>
          <w:color w:val="auto"/>
          <w:kern w:val="0"/>
          <w:sz w:val="32"/>
          <w:szCs w:val="32"/>
          <w:lang w:eastAsia="zh-CN"/>
        </w:rPr>
        <w:t>县</w:t>
      </w:r>
      <w:r>
        <w:rPr>
          <w:rFonts w:hint="eastAsia" w:ascii="仿宋_GB2312" w:hAnsi="宋体" w:eastAsia="仿宋_GB2312" w:cs="宋体"/>
          <w:color w:val="auto"/>
          <w:kern w:val="0"/>
          <w:sz w:val="32"/>
          <w:szCs w:val="32"/>
        </w:rPr>
        <w:t>。出台政策文件推进通信管道、通信基站等电信基础设施共建共享，加强电信基础设施建设与城市建设规划统筹衔接。提升人流密集的公共场所和重点区域用户上网速率，增强用户体验感。加快5G网络设施在</w:t>
      </w:r>
      <w:r>
        <w:rPr>
          <w:rFonts w:hint="eastAsia" w:ascii="仿宋_GB2312" w:hAnsi="宋体" w:eastAsia="仿宋_GB2312" w:cs="宋体"/>
          <w:color w:val="auto"/>
          <w:kern w:val="0"/>
          <w:sz w:val="32"/>
          <w:szCs w:val="32"/>
          <w:lang w:eastAsia="zh-CN"/>
        </w:rPr>
        <w:t>霍邱</w:t>
      </w:r>
      <w:r>
        <w:rPr>
          <w:rFonts w:hint="eastAsia" w:ascii="仿宋_GB2312" w:hAnsi="宋体" w:eastAsia="仿宋_GB2312" w:cs="宋体"/>
          <w:color w:val="auto"/>
          <w:kern w:val="0"/>
          <w:sz w:val="32"/>
          <w:szCs w:val="32"/>
        </w:rPr>
        <w:t>全域的商用部署，推动5G网络在工业互联网</w:t>
      </w:r>
      <w:r>
        <w:rPr>
          <w:rFonts w:hint="eastAsia" w:ascii="仿宋_GB2312" w:hAnsi="宋体" w:cs="宋体"/>
          <w:color w:val="auto"/>
          <w:kern w:val="0"/>
          <w:sz w:val="32"/>
          <w:szCs w:val="32"/>
          <w:lang w:eastAsia="zh-CN"/>
        </w:rPr>
        <w:t>、智慧教育</w:t>
      </w: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eastAsia="zh-CN"/>
        </w:rPr>
        <w:t>智慧</w:t>
      </w:r>
      <w:r>
        <w:rPr>
          <w:rFonts w:hint="eastAsia" w:ascii="仿宋_GB2312" w:hAnsi="宋体" w:eastAsia="仿宋_GB2312" w:cs="宋体"/>
          <w:color w:val="auto"/>
          <w:kern w:val="0"/>
          <w:sz w:val="32"/>
          <w:szCs w:val="32"/>
        </w:rPr>
        <w:t>交通、</w:t>
      </w:r>
      <w:r>
        <w:rPr>
          <w:rFonts w:hint="eastAsia" w:ascii="仿宋_GB2312" w:hAnsi="宋体" w:cs="宋体"/>
          <w:color w:val="auto"/>
          <w:kern w:val="0"/>
          <w:sz w:val="32"/>
          <w:szCs w:val="32"/>
          <w:lang w:eastAsia="zh-CN"/>
        </w:rPr>
        <w:t>智慧</w:t>
      </w:r>
      <w:r>
        <w:rPr>
          <w:rFonts w:hint="eastAsia" w:ascii="仿宋_GB2312" w:hAnsi="宋体" w:eastAsia="仿宋_GB2312" w:cs="宋体"/>
          <w:color w:val="auto"/>
          <w:kern w:val="0"/>
          <w:sz w:val="32"/>
          <w:szCs w:val="32"/>
        </w:rPr>
        <w:t>医疗等领域的共建共享。</w:t>
      </w:r>
    </w:p>
    <w:p>
      <w:pPr>
        <w:pStyle w:val="3"/>
        <w:keepNext/>
        <w:keepLines/>
        <w:pageBreakBefore w:val="0"/>
        <w:widowControl w:val="0"/>
        <w:numPr>
          <w:ilvl w:val="0"/>
          <w:numId w:val="0"/>
        </w:numPr>
        <w:tabs>
          <w:tab w:val="left" w:pos="280"/>
        </w:tabs>
        <w:kinsoku/>
        <w:wordWrap/>
        <w:overflowPunct/>
        <w:topLinePunct w:val="0"/>
        <w:autoSpaceDE/>
        <w:autoSpaceDN/>
        <w:bidi w:val="0"/>
        <w:adjustRightInd/>
        <w:snapToGrid/>
        <w:spacing w:beforeLines="0" w:afterLines="0" w:line="580" w:lineRule="exact"/>
        <w:ind w:firstLine="643" w:firstLineChars="200"/>
        <w:textAlignment w:val="auto"/>
        <w:rPr>
          <w:rFonts w:hint="default" w:ascii="楷体" w:hAnsi="楷体" w:eastAsia="楷体" w:cs="楷体"/>
          <w:b/>
          <w:bCs/>
          <w:color w:val="auto"/>
          <w:sz w:val="32"/>
          <w:szCs w:val="32"/>
          <w:lang w:val="en-US" w:eastAsia="zh-CN"/>
        </w:rPr>
      </w:pPr>
      <w:bookmarkStart w:id="23" w:name="_Toc31426"/>
      <w:bookmarkStart w:id="24" w:name="_Toc31898"/>
      <w:r>
        <w:rPr>
          <w:rFonts w:hint="eastAsia" w:ascii="楷体" w:hAnsi="楷体" w:cs="楷体"/>
          <w:b/>
          <w:bCs/>
          <w:color w:val="auto"/>
          <w:sz w:val="32"/>
          <w:szCs w:val="32"/>
          <w:lang w:val="en-US" w:eastAsia="zh-CN"/>
        </w:rPr>
        <w:t>2</w:t>
      </w:r>
      <w:r>
        <w:rPr>
          <w:rFonts w:hint="eastAsia" w:ascii="楷体" w:hAnsi="楷体" w:eastAsia="楷体" w:cs="楷体"/>
          <w:b/>
          <w:bCs/>
          <w:color w:val="auto"/>
          <w:sz w:val="32"/>
          <w:szCs w:val="32"/>
          <w:lang w:val="en-US" w:eastAsia="zh-CN"/>
        </w:rPr>
        <w:t>.建设</w:t>
      </w:r>
      <w:r>
        <w:rPr>
          <w:rFonts w:hint="eastAsia" w:ascii="楷体" w:hAnsi="楷体" w:cs="楷体"/>
          <w:b/>
          <w:bCs/>
          <w:color w:val="auto"/>
          <w:sz w:val="32"/>
          <w:szCs w:val="32"/>
          <w:lang w:val="en-US" w:eastAsia="zh-CN"/>
        </w:rPr>
        <w:t>数据中心及云平台</w:t>
      </w:r>
      <w:bookmarkEnd w:id="23"/>
      <w:bookmarkEnd w:id="24"/>
    </w:p>
    <w:p>
      <w:pPr>
        <w:pageBreakBefore w:val="0"/>
        <w:kinsoku/>
        <w:wordWrap/>
        <w:topLinePunct w:val="0"/>
        <w:autoSpaceDE/>
        <w:autoSpaceDN/>
        <w:bidi w:val="0"/>
        <w:spacing w:line="580" w:lineRule="exact"/>
        <w:ind w:firstLine="420"/>
        <w:textAlignment w:val="auto"/>
        <w:rPr>
          <w:rFonts w:hint="eastAsia" w:eastAsia="仿宋_GB2312"/>
          <w:color w:val="auto"/>
          <w:lang w:eastAsia="zh-CN"/>
        </w:rPr>
      </w:pPr>
      <w:r>
        <w:rPr>
          <w:rFonts w:hint="eastAsia"/>
          <w:color w:val="auto"/>
          <w:lang w:eastAsia="zh-CN"/>
        </w:rPr>
        <w:t>数据中心</w:t>
      </w:r>
      <w:r>
        <w:rPr>
          <w:rFonts w:hint="eastAsia"/>
          <w:color w:val="auto"/>
        </w:rPr>
        <w:t>是霍邱县</w:t>
      </w:r>
      <w:r>
        <w:rPr>
          <w:rFonts w:hint="eastAsia"/>
          <w:color w:val="auto"/>
          <w:lang w:eastAsia="zh-CN"/>
        </w:rPr>
        <w:t>数字化建设</w:t>
      </w:r>
      <w:r>
        <w:rPr>
          <w:rFonts w:hint="eastAsia"/>
          <w:color w:val="auto"/>
        </w:rPr>
        <w:t>的基础资源底座，</w:t>
      </w:r>
      <w:r>
        <w:rPr>
          <w:rFonts w:hint="eastAsia"/>
        </w:rPr>
        <w:t>为</w:t>
      </w:r>
      <w:r>
        <w:rPr>
          <w:rFonts w:hint="eastAsia"/>
          <w:lang w:eastAsia="zh-CN"/>
        </w:rPr>
        <w:t>“数字霍邱”</w:t>
      </w:r>
      <w:r>
        <w:rPr>
          <w:rFonts w:hint="eastAsia"/>
        </w:rPr>
        <w:t>提供主机资源、存储资源、网络资源、安全防护等，为霍邱智慧城市管理、企业、居民等提供计算和存储资源，</w:t>
      </w:r>
      <w:r>
        <w:rPr>
          <w:rFonts w:hint="eastAsia"/>
          <w:color w:val="auto"/>
        </w:rPr>
        <w:t>为“</w:t>
      </w:r>
      <w:r>
        <w:rPr>
          <w:rFonts w:hint="eastAsia"/>
          <w:color w:val="auto"/>
          <w:lang w:eastAsia="zh-CN"/>
        </w:rPr>
        <w:t>城市运营管理平台</w:t>
      </w:r>
      <w:r>
        <w:rPr>
          <w:rFonts w:hint="eastAsia"/>
          <w:color w:val="auto"/>
        </w:rPr>
        <w:t>及智慧应用”项目提供开放的、通用的、标准的、自主的、可靠的、丰富的、可运行</w:t>
      </w:r>
      <w:r>
        <w:rPr>
          <w:rFonts w:hint="eastAsia"/>
          <w:color w:val="auto"/>
          <w:lang w:eastAsia="zh-CN"/>
        </w:rPr>
        <w:t>、可控制</w:t>
      </w:r>
      <w:r>
        <w:rPr>
          <w:rFonts w:hint="eastAsia"/>
          <w:color w:val="auto"/>
        </w:rPr>
        <w:t>的基础</w:t>
      </w:r>
      <w:r>
        <w:rPr>
          <w:rFonts w:hint="eastAsia"/>
          <w:color w:val="auto"/>
          <w:lang w:eastAsia="zh-CN"/>
        </w:rPr>
        <w:t>数据</w:t>
      </w:r>
      <w:r>
        <w:rPr>
          <w:rFonts w:hint="eastAsia"/>
          <w:color w:val="auto"/>
        </w:rPr>
        <w:t>支撑服务</w:t>
      </w:r>
      <w:r>
        <w:rPr>
          <w:rFonts w:hint="eastAsia"/>
          <w:color w:val="auto"/>
          <w:lang w:eastAsia="zh-CN"/>
        </w:rPr>
        <w:t>。</w:t>
      </w:r>
      <w:r>
        <w:rPr>
          <w:rFonts w:hint="eastAsia"/>
        </w:rPr>
        <w:t>实现对各类计算、存储、网络等基础资源的云化抽象建模、资源池管理、自动调度、流程编排，以及标准化。</w:t>
      </w:r>
    </w:p>
    <w:p>
      <w:pPr>
        <w:pageBreakBefore w:val="0"/>
        <w:kinsoku/>
        <w:wordWrap/>
        <w:topLinePunct w:val="0"/>
        <w:autoSpaceDE/>
        <w:autoSpaceDN/>
        <w:bidi w:val="0"/>
        <w:spacing w:line="580" w:lineRule="exact"/>
        <w:textAlignment w:val="auto"/>
        <w:rPr>
          <w:color w:val="auto"/>
          <w:lang w:val="zh-CN"/>
        </w:rPr>
      </w:pPr>
      <w:r>
        <w:rPr>
          <w:rFonts w:hint="eastAsia"/>
          <w:color w:val="auto"/>
          <w:lang w:val="zh-CN"/>
        </w:rPr>
        <w:t>数据采集方面，利用系统接口采集、物联网采集、互联网采集等多渠道数据接入方式，获得政务部门数据、企业数据、公民数据、互联网数据、物联网数据等多类型数据信息。</w:t>
      </w:r>
    </w:p>
    <w:p>
      <w:pPr>
        <w:pageBreakBefore w:val="0"/>
        <w:kinsoku/>
        <w:wordWrap/>
        <w:topLinePunct w:val="0"/>
        <w:autoSpaceDE/>
        <w:autoSpaceDN/>
        <w:bidi w:val="0"/>
        <w:spacing w:line="580" w:lineRule="exact"/>
        <w:textAlignment w:val="auto"/>
        <w:rPr>
          <w:color w:val="auto"/>
          <w:lang w:val="zh-CN"/>
        </w:rPr>
      </w:pPr>
      <w:r>
        <w:rPr>
          <w:rFonts w:hint="eastAsia"/>
          <w:color w:val="auto"/>
          <w:lang w:val="zh-CN"/>
        </w:rPr>
        <w:t>数据治理方面，完善数据目录、建立统一的数据标准、整理融合数据，持续更新现有部门数据库和包含人口、法人、信用等在内的基础数据库，并构建面向政务、经济、交通、教育等不同业务领域的数据归集共享目录，形成支撑政务、民生、经济、文旅、环保、城管等重大课题研究的专题数据库，推动数据与服务的深度融合，为城市运行分析提供全面、科学的数据保障，实现数据价值挖掘及共享。</w:t>
      </w:r>
    </w:p>
    <w:p>
      <w:pPr>
        <w:pageBreakBefore w:val="0"/>
        <w:kinsoku/>
        <w:wordWrap/>
        <w:topLinePunct w:val="0"/>
        <w:autoSpaceDE/>
        <w:autoSpaceDN/>
        <w:bidi w:val="0"/>
        <w:spacing w:line="580" w:lineRule="exact"/>
        <w:textAlignment w:val="auto"/>
        <w:rPr>
          <w:color w:val="auto"/>
          <w:lang w:val="zh-CN"/>
        </w:rPr>
      </w:pPr>
      <w:r>
        <w:rPr>
          <w:rFonts w:hint="eastAsia"/>
          <w:color w:val="auto"/>
          <w:lang w:val="zh-CN"/>
        </w:rPr>
        <w:t>数据服务方面，在严格数据安全保障下，基于大数据资源为各政府部门提供数据共享、分析展现、智能分析决策等数据服务，为社会公众提供数据应用</w:t>
      </w:r>
      <w:r>
        <w:rPr>
          <w:color w:val="auto"/>
          <w:lang w:val="zh-CN"/>
        </w:rPr>
        <w:t>API、公共数据开放等</w:t>
      </w:r>
      <w:r>
        <w:rPr>
          <w:rFonts w:hint="eastAsia"/>
          <w:color w:val="auto"/>
          <w:lang w:val="zh-CN"/>
        </w:rPr>
        <w:t>数据</w:t>
      </w:r>
      <w:r>
        <w:rPr>
          <w:color w:val="auto"/>
          <w:lang w:val="zh-CN"/>
        </w:rPr>
        <w:t>服务</w:t>
      </w:r>
      <w:r>
        <w:rPr>
          <w:rFonts w:hint="eastAsia"/>
          <w:color w:val="auto"/>
          <w:lang w:val="zh-CN"/>
        </w:rPr>
        <w:t>，支撑数据应用</w:t>
      </w:r>
      <w:r>
        <w:rPr>
          <w:color w:val="auto"/>
          <w:lang w:val="zh-CN"/>
        </w:rPr>
        <w:t>。</w:t>
      </w:r>
    </w:p>
    <w:p>
      <w:pPr>
        <w:pageBreakBefore w:val="0"/>
        <w:kinsoku/>
        <w:wordWrap/>
        <w:topLinePunct w:val="0"/>
        <w:autoSpaceDE/>
        <w:autoSpaceDN/>
        <w:bidi w:val="0"/>
        <w:spacing w:line="580" w:lineRule="exact"/>
        <w:textAlignment w:val="auto"/>
        <w:rPr>
          <w:lang w:val="zh-CN"/>
        </w:rPr>
      </w:pPr>
      <w:r>
        <w:rPr>
          <w:rFonts w:hint="eastAsia"/>
          <w:color w:val="auto"/>
          <w:lang w:val="zh-CN"/>
        </w:rPr>
        <w:t>数据应用方面，面向政务部门打造支撑政府治理、城市管理等各类业务的智慧应用系统，同时支持第三方商业开发、公众、</w:t>
      </w:r>
      <w:r>
        <w:rPr>
          <w:color w:val="auto"/>
          <w:lang w:val="zh-CN"/>
        </w:rPr>
        <w:t>企业服务应用</w:t>
      </w:r>
      <w:r>
        <w:rPr>
          <w:rFonts w:hint="eastAsia"/>
          <w:color w:val="auto"/>
          <w:lang w:val="zh-CN"/>
        </w:rPr>
        <w:t>，</w:t>
      </w:r>
      <w:r>
        <w:rPr>
          <w:color w:val="auto"/>
          <w:lang w:val="zh-CN"/>
        </w:rPr>
        <w:t>促进信息消费、数据价值提升</w:t>
      </w:r>
      <w:r>
        <w:rPr>
          <w:rFonts w:hint="eastAsia"/>
          <w:color w:val="auto"/>
          <w:lang w:val="zh-CN"/>
        </w:rPr>
        <w:t>，支撑城市发展</w:t>
      </w:r>
      <w:r>
        <w:rPr>
          <w:color w:val="auto"/>
          <w:lang w:val="zh-CN"/>
        </w:rPr>
        <w:t>。</w:t>
      </w:r>
    </w:p>
    <w:p>
      <w:pPr>
        <w:pStyle w:val="3"/>
        <w:keepNext/>
        <w:keepLines/>
        <w:pageBreakBefore w:val="0"/>
        <w:widowControl w:val="0"/>
        <w:numPr>
          <w:ilvl w:val="0"/>
          <w:numId w:val="0"/>
        </w:numPr>
        <w:tabs>
          <w:tab w:val="left" w:pos="280"/>
        </w:tabs>
        <w:kinsoku/>
        <w:wordWrap/>
        <w:overflowPunct/>
        <w:topLinePunct w:val="0"/>
        <w:autoSpaceDE/>
        <w:autoSpaceDN/>
        <w:bidi w:val="0"/>
        <w:adjustRightInd/>
        <w:snapToGrid/>
        <w:spacing w:beforeLines="0" w:afterLines="0" w:line="580" w:lineRule="exact"/>
        <w:ind w:firstLine="643" w:firstLineChars="200"/>
        <w:textAlignment w:val="auto"/>
        <w:rPr>
          <w:rFonts w:hint="default" w:ascii="楷体" w:hAnsi="楷体" w:eastAsia="楷体" w:cs="楷体"/>
          <w:b/>
          <w:bCs/>
          <w:color w:val="auto"/>
          <w:sz w:val="32"/>
          <w:szCs w:val="32"/>
          <w:lang w:val="en-US" w:eastAsia="zh-CN"/>
        </w:rPr>
      </w:pPr>
      <w:bookmarkStart w:id="25" w:name="_Toc27995"/>
      <w:bookmarkStart w:id="26" w:name="_Toc30356"/>
      <w:bookmarkStart w:id="27" w:name="_Toc22605"/>
      <w:r>
        <w:rPr>
          <w:rFonts w:hint="eastAsia" w:ascii="楷体" w:hAnsi="楷体" w:cs="楷体"/>
          <w:b/>
          <w:bCs/>
          <w:color w:val="auto"/>
          <w:sz w:val="32"/>
          <w:szCs w:val="32"/>
          <w:lang w:val="en-US" w:eastAsia="zh-CN"/>
        </w:rPr>
        <w:t>3</w:t>
      </w:r>
      <w:r>
        <w:rPr>
          <w:rFonts w:hint="eastAsia" w:ascii="楷体" w:hAnsi="楷体" w:eastAsia="楷体" w:cs="楷体"/>
          <w:b/>
          <w:bCs/>
          <w:color w:val="auto"/>
          <w:sz w:val="32"/>
          <w:szCs w:val="32"/>
          <w:lang w:val="en-US" w:eastAsia="zh-CN"/>
        </w:rPr>
        <w:t>.建设智慧城市运行管理平台</w:t>
      </w:r>
      <w:bookmarkEnd w:id="25"/>
      <w:bookmarkEnd w:id="26"/>
      <w:bookmarkEnd w:id="27"/>
    </w:p>
    <w:p>
      <w:pPr>
        <w:pageBreakBefore w:val="0"/>
        <w:kinsoku/>
        <w:wordWrap/>
        <w:topLinePunct w:val="0"/>
        <w:autoSpaceDE/>
        <w:autoSpaceDN/>
        <w:bidi w:val="0"/>
        <w:spacing w:line="580" w:lineRule="exact"/>
        <w:ind w:firstLine="420"/>
        <w:textAlignment w:val="auto"/>
        <w:rPr>
          <w:color w:val="auto"/>
        </w:rPr>
      </w:pPr>
      <w:r>
        <w:rPr>
          <w:rFonts w:hint="eastAsia"/>
          <w:color w:val="auto"/>
        </w:rPr>
        <w:t>智慧城市运行管理平台按照充分利旧、整合资源的原则，统一规划，集</w:t>
      </w:r>
      <w:r>
        <w:rPr>
          <w:rFonts w:hint="eastAsia"/>
          <w:color w:val="auto"/>
          <w:lang w:eastAsia="zh-CN"/>
        </w:rPr>
        <w:t>约节约</w:t>
      </w:r>
      <w:r>
        <w:rPr>
          <w:rFonts w:hint="eastAsia"/>
          <w:color w:val="auto"/>
        </w:rPr>
        <w:t>建设资金，提高建设速度，遵循国家标准，建设霍邱县智慧城市运行管理平台。</w:t>
      </w:r>
    </w:p>
    <w:p>
      <w:pPr>
        <w:pageBreakBefore w:val="0"/>
        <w:kinsoku/>
        <w:wordWrap/>
        <w:topLinePunct w:val="0"/>
        <w:autoSpaceDE/>
        <w:autoSpaceDN/>
        <w:bidi w:val="0"/>
        <w:spacing w:line="580" w:lineRule="exact"/>
        <w:ind w:firstLine="420"/>
        <w:textAlignment w:val="auto"/>
        <w:rPr>
          <w:color w:val="auto"/>
        </w:rPr>
      </w:pPr>
      <w:r>
        <w:rPr>
          <w:rFonts w:hint="eastAsia"/>
          <w:color w:val="auto"/>
        </w:rPr>
        <w:t>建立健全视频图像共享应用机制、安全使用审核制度和技术标准体系，实现智慧城市项目下辖的各部门的视频资源汇聚管理和运维监控，确保智慧城市运行管理平台各应用系统之间的互联互通，打造高效稳定的网络传输通道，构建信息安全可控的安全防护体系，最大限度满足政府各</w:t>
      </w:r>
      <w:r>
        <w:rPr>
          <w:rFonts w:hint="eastAsia"/>
          <w:color w:val="auto"/>
          <w:lang w:eastAsia="zh-CN"/>
        </w:rPr>
        <w:t>政务</w:t>
      </w:r>
      <w:r>
        <w:rPr>
          <w:rFonts w:hint="eastAsia"/>
          <w:color w:val="auto"/>
        </w:rPr>
        <w:t>部门共建共享需求。建立和完善运维管理标准体系和地方平台考核系统，加强对各级各有关部门视频监控建设联网应用等工作的有效监督和综合管理。</w:t>
      </w:r>
    </w:p>
    <w:p>
      <w:pPr>
        <w:pageBreakBefore w:val="0"/>
        <w:kinsoku/>
        <w:wordWrap/>
        <w:topLinePunct w:val="0"/>
        <w:autoSpaceDE/>
        <w:autoSpaceDN/>
        <w:bidi w:val="0"/>
        <w:spacing w:line="580" w:lineRule="exact"/>
        <w:ind w:firstLine="420"/>
        <w:textAlignment w:val="auto"/>
        <w:rPr>
          <w:color w:val="auto"/>
        </w:rPr>
      </w:pPr>
      <w:r>
        <w:rPr>
          <w:rFonts w:hint="eastAsia"/>
          <w:color w:val="auto"/>
        </w:rPr>
        <w:t>智慧城市运行管理平台最终目标是要解决城市管理方式粗放，缺乏“精细管理”、管理职责不清，缺乏“处置标准”、部门各自为政，缺乏“综合协调”、处置被动滞后，缺乏“监督评价”的问题。通过单元网格管理法、部件事件管理法、监管分离管理体制、闭环化管理流程、长效化考核评价，要实现更好地管人、管事、管流程，把原来需耗费大量人力、物力、财力、时间才能做到的事情让各种机器设备来做，让系统来做，通过进一步解放人力，优化城市管理流程，让城市管理变得更智慧、更简单、更规范，从而大幅提高城市管理效率。</w:t>
      </w:r>
    </w:p>
    <w:p>
      <w:pPr>
        <w:pageBreakBefore w:val="0"/>
        <w:kinsoku/>
        <w:wordWrap/>
        <w:topLinePunct w:val="0"/>
        <w:autoSpaceDE/>
        <w:autoSpaceDN/>
        <w:bidi w:val="0"/>
        <w:spacing w:line="580" w:lineRule="exact"/>
        <w:ind w:firstLine="420"/>
        <w:textAlignment w:val="auto"/>
        <w:rPr>
          <w:rFonts w:hint="eastAsia"/>
          <w:color w:val="auto"/>
        </w:rPr>
      </w:pPr>
      <w:r>
        <w:rPr>
          <w:rFonts w:hint="eastAsia"/>
          <w:color w:val="auto"/>
        </w:rPr>
        <w:t>智慧城市运行管理平台整合串联城市管理各项业务，结合当地实际，将智慧城管系统、智慧水务系统、智慧应急系统、智慧砂石管理系统等方面业务串联起来，突出业务协同一体化平台核心地位，强化协同效率，将建设打造成智慧城运业务协同一体化的城市管理大平台。利用原有高位考核机制，进一步提升各业务部门的考核监督水平。</w:t>
      </w:r>
      <w:bookmarkStart w:id="28" w:name="_Toc30677"/>
      <w:bookmarkStart w:id="29" w:name="_Toc3708"/>
      <w:bookmarkStart w:id="30" w:name="_Toc11458"/>
    </w:p>
    <w:p>
      <w:pPr>
        <w:pageBreakBefore w:val="0"/>
        <w:numPr>
          <w:numId w:val="0"/>
        </w:numPr>
        <w:kinsoku/>
        <w:wordWrap/>
        <w:topLinePunct w:val="0"/>
        <w:autoSpaceDE/>
        <w:autoSpaceDN/>
        <w:bidi w:val="0"/>
        <w:spacing w:line="580" w:lineRule="exact"/>
        <w:ind w:firstLine="643" w:firstLineChars="200"/>
        <w:textAlignment w:val="auto"/>
        <w:rPr>
          <w:rFonts w:hint="eastAsia" w:ascii="楷体" w:hAnsi="楷体" w:eastAsia="楷体" w:cs="楷体"/>
          <w:b/>
          <w:bCs/>
          <w:color w:val="auto"/>
          <w:sz w:val="32"/>
          <w:szCs w:val="32"/>
          <w:lang w:val="en-US" w:eastAsia="zh-CN"/>
        </w:rPr>
      </w:pPr>
      <w:bookmarkStart w:id="93" w:name="_GoBack"/>
      <w:bookmarkEnd w:id="93"/>
      <w:r>
        <w:rPr>
          <w:rFonts w:hint="eastAsia" w:ascii="楷体" w:hAnsi="楷体" w:eastAsia="楷体" w:cs="楷体"/>
          <w:b/>
          <w:bCs/>
          <w:color w:val="auto"/>
          <w:sz w:val="32"/>
          <w:szCs w:val="32"/>
          <w:lang w:val="en-US" w:eastAsia="zh-CN"/>
        </w:rPr>
        <w:t>4.加强</w:t>
      </w:r>
      <w:r>
        <w:rPr>
          <w:rFonts w:hint="eastAsia" w:ascii="楷体" w:hAnsi="楷体" w:cs="楷体"/>
          <w:b/>
          <w:bCs/>
          <w:color w:val="auto"/>
          <w:sz w:val="32"/>
          <w:szCs w:val="32"/>
          <w:lang w:val="en-US" w:eastAsia="zh-CN"/>
        </w:rPr>
        <w:t>电子</w:t>
      </w:r>
      <w:r>
        <w:rPr>
          <w:rFonts w:hint="eastAsia" w:ascii="楷体" w:hAnsi="楷体" w:eastAsia="楷体" w:cs="楷体"/>
          <w:b/>
          <w:bCs/>
          <w:color w:val="auto"/>
          <w:sz w:val="32"/>
          <w:szCs w:val="32"/>
          <w:lang w:val="en-US" w:eastAsia="zh-CN"/>
        </w:rPr>
        <w:t>政务外网</w:t>
      </w:r>
      <w:bookmarkEnd w:id="28"/>
      <w:r>
        <w:rPr>
          <w:rFonts w:hint="eastAsia" w:ascii="楷体" w:hAnsi="楷体" w:cs="楷体"/>
          <w:b/>
          <w:bCs/>
          <w:color w:val="auto"/>
          <w:sz w:val="32"/>
          <w:szCs w:val="32"/>
          <w:lang w:val="en-US" w:eastAsia="zh-CN"/>
        </w:rPr>
        <w:t>管理</w:t>
      </w:r>
      <w:bookmarkEnd w:id="29"/>
      <w:bookmarkEnd w:id="30"/>
      <w:r>
        <w:rPr>
          <w:rFonts w:hint="eastAsia" w:ascii="楷体" w:hAnsi="楷体" w:eastAsia="楷体" w:cs="楷体"/>
          <w:b/>
          <w:bCs/>
          <w:color w:val="auto"/>
          <w:sz w:val="32"/>
          <w:szCs w:val="32"/>
          <w:lang w:val="en-US" w:eastAsia="zh-CN"/>
        </w:rPr>
        <w:t xml:space="preserve"> </w:t>
      </w:r>
    </w:p>
    <w:p>
      <w:pPr>
        <w:pageBreakBefore w:val="0"/>
        <w:numPr>
          <w:numId w:val="0"/>
        </w:numPr>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加快电子政务外网“纵向到底、横向到边”改造提升，推动 IPv4 和 IPv6 双</w:t>
      </w:r>
      <w:r>
        <w:rPr>
          <w:rFonts w:hint="eastAsia" w:ascii="仿宋_GB2312" w:hAnsi="仿宋_GB2312" w:cs="仿宋_GB2312"/>
          <w:color w:val="auto"/>
          <w:kern w:val="0"/>
          <w:sz w:val="32"/>
          <w:szCs w:val="32"/>
          <w:lang w:eastAsia="zh-CN"/>
        </w:rPr>
        <w:t>线</w:t>
      </w:r>
      <w:r>
        <w:rPr>
          <w:rFonts w:hint="eastAsia" w:ascii="仿宋_GB2312" w:hAnsi="仿宋_GB2312" w:eastAsia="仿宋_GB2312" w:cs="仿宋_GB2312"/>
          <w:color w:val="auto"/>
          <w:kern w:val="0"/>
          <w:sz w:val="32"/>
          <w:szCs w:val="32"/>
        </w:rPr>
        <w:t>接入</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lang w:val="en-US" w:eastAsia="zh-CN"/>
        </w:rPr>
        <w:t>指导有关政务部门对部署在电子政务外网上的应用开展登记保护定级、备案、测评工作</w:t>
      </w:r>
      <w:r>
        <w:rPr>
          <w:rFonts w:hint="eastAsia" w:ascii="仿宋_GB2312" w:hAnsi="仿宋_GB2312" w:eastAsia="仿宋_GB2312" w:cs="仿宋_GB2312"/>
          <w:color w:val="auto"/>
          <w:kern w:val="0"/>
          <w:sz w:val="32"/>
          <w:szCs w:val="32"/>
        </w:rPr>
        <w:t>加强各类专网建设运维的统筹整合，</w:t>
      </w:r>
      <w:r>
        <w:rPr>
          <w:rFonts w:hint="eastAsia" w:ascii="仿宋_GB2312" w:hAnsi="仿宋_GB2312" w:eastAsia="仿宋_GB2312" w:cs="仿宋_GB2312"/>
          <w:color w:val="auto"/>
          <w:kern w:val="0"/>
          <w:sz w:val="32"/>
          <w:szCs w:val="32"/>
          <w:u w:val="none"/>
        </w:rPr>
        <w:t>逐步推进民政、卫健、自然资源和规划等重点业务部门非涉密业务从专网到</w:t>
      </w:r>
      <w:r>
        <w:rPr>
          <w:rFonts w:hint="eastAsia" w:ascii="仿宋_GB2312" w:hAnsi="仿宋_GB2312" w:cs="仿宋_GB2312"/>
          <w:color w:val="auto"/>
          <w:kern w:val="0"/>
          <w:sz w:val="32"/>
          <w:szCs w:val="32"/>
          <w:u w:val="none"/>
          <w:lang w:eastAsia="zh-CN"/>
        </w:rPr>
        <w:t>电子</w:t>
      </w:r>
      <w:r>
        <w:rPr>
          <w:rFonts w:hint="eastAsia" w:ascii="仿宋_GB2312" w:hAnsi="仿宋_GB2312" w:eastAsia="仿宋_GB2312" w:cs="仿宋_GB2312"/>
          <w:color w:val="auto"/>
          <w:kern w:val="0"/>
          <w:sz w:val="32"/>
          <w:szCs w:val="32"/>
          <w:u w:val="none"/>
        </w:rPr>
        <w:t>政务外网整合迁移。</w:t>
      </w:r>
      <w:r>
        <w:rPr>
          <w:rFonts w:hint="eastAsia" w:ascii="仿宋_GB2312" w:hAnsi="仿宋_GB2312" w:eastAsia="仿宋_GB2312" w:cs="仿宋_GB2312"/>
          <w:color w:val="auto"/>
          <w:kern w:val="0"/>
          <w:sz w:val="32"/>
          <w:szCs w:val="32"/>
        </w:rPr>
        <w:t>按照部门设施不扩建、不新建，全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统筹规划、集中部署、增量优先原则，建设逻辑统一的政务云服务体系，为</w:t>
      </w:r>
      <w:r>
        <w:rPr>
          <w:rFonts w:hint="eastAsia" w:ascii="仿宋_GB2312" w:hAnsi="仿宋_GB2312" w:eastAsia="仿宋_GB2312" w:cs="仿宋_GB2312"/>
          <w:color w:val="auto"/>
          <w:kern w:val="0"/>
          <w:sz w:val="32"/>
          <w:szCs w:val="32"/>
          <w:lang w:eastAsia="zh-CN"/>
        </w:rPr>
        <w:t>县乡</w:t>
      </w:r>
      <w:r>
        <w:rPr>
          <w:rFonts w:hint="eastAsia" w:ascii="仿宋_GB2312" w:hAnsi="仿宋_GB2312" w:eastAsia="仿宋_GB2312" w:cs="仿宋_GB2312"/>
          <w:color w:val="auto"/>
          <w:kern w:val="0"/>
          <w:sz w:val="32"/>
          <w:szCs w:val="32"/>
        </w:rPr>
        <w:t>两级提供统一的云基础设施服务。加快同城双活、异地灾备数据中心建设，形成两地三中心架构。梳理整合各类政务云服务，推动全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非涉密政务信息系统向统一政务云迁移，加快现有政务信息系统的整合改造和“僵尸”系统的全面清理，形成政务上云的统一工作格局。</w:t>
      </w:r>
    </w:p>
    <w:p>
      <w:pPr>
        <w:pStyle w:val="3"/>
        <w:keepNext/>
        <w:keepLines/>
        <w:pageBreakBefore w:val="0"/>
        <w:widowControl w:val="0"/>
        <w:numPr>
          <w:ilvl w:val="0"/>
          <w:numId w:val="0"/>
        </w:numPr>
        <w:tabs>
          <w:tab w:val="left" w:pos="280"/>
        </w:tabs>
        <w:kinsoku/>
        <w:wordWrap/>
        <w:overflowPunct/>
        <w:topLinePunct w:val="0"/>
        <w:autoSpaceDE/>
        <w:autoSpaceDN/>
        <w:bidi w:val="0"/>
        <w:adjustRightInd/>
        <w:snapToGrid/>
        <w:spacing w:beforeLines="0" w:afterLines="0" w:line="580" w:lineRule="exact"/>
        <w:ind w:firstLine="643" w:firstLineChars="200"/>
        <w:textAlignment w:val="auto"/>
        <w:rPr>
          <w:rFonts w:hint="eastAsia" w:ascii="楷体" w:hAnsi="楷体" w:eastAsia="楷体" w:cs="楷体"/>
          <w:b/>
          <w:bCs/>
          <w:color w:val="auto"/>
          <w:sz w:val="32"/>
          <w:szCs w:val="32"/>
          <w:lang w:val="en-US" w:eastAsia="zh-CN"/>
        </w:rPr>
      </w:pPr>
      <w:bookmarkStart w:id="31" w:name="_Toc12440601"/>
      <w:bookmarkEnd w:id="31"/>
      <w:bookmarkStart w:id="32" w:name="_Toc14110"/>
      <w:bookmarkStart w:id="33" w:name="_Toc18813"/>
      <w:bookmarkStart w:id="34" w:name="_Toc10446"/>
      <w:bookmarkStart w:id="35" w:name="_Toc24182"/>
      <w:r>
        <w:rPr>
          <w:rFonts w:hint="eastAsia" w:ascii="楷体" w:hAnsi="楷体" w:cs="楷体"/>
          <w:b/>
          <w:bCs/>
          <w:color w:val="auto"/>
          <w:sz w:val="32"/>
          <w:szCs w:val="32"/>
          <w:lang w:val="en-US" w:eastAsia="zh-CN"/>
        </w:rPr>
        <w:t>5</w:t>
      </w:r>
      <w:r>
        <w:rPr>
          <w:rFonts w:hint="eastAsia" w:ascii="楷体" w:hAnsi="楷体" w:eastAsia="楷体" w:cs="楷体"/>
          <w:b/>
          <w:bCs/>
          <w:color w:val="auto"/>
          <w:sz w:val="32"/>
          <w:szCs w:val="32"/>
          <w:lang w:val="en-US" w:eastAsia="zh-CN"/>
        </w:rPr>
        <w:t>.建设公共数字基础平台</w:t>
      </w:r>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统筹</w:t>
      </w:r>
      <w:r>
        <w:rPr>
          <w:rFonts w:hint="eastAsia" w:ascii="仿宋_GB2312" w:hAnsi="宋体" w:eastAsia="仿宋_GB2312" w:cs="宋体"/>
          <w:color w:val="auto"/>
          <w:kern w:val="0"/>
          <w:sz w:val="32"/>
          <w:szCs w:val="32"/>
          <w:lang w:eastAsia="zh-CN"/>
        </w:rPr>
        <w:t>建设大</w:t>
      </w:r>
      <w:r>
        <w:rPr>
          <w:rFonts w:hint="eastAsia" w:ascii="仿宋_GB2312" w:hAnsi="宋体" w:eastAsia="仿宋_GB2312" w:cs="宋体"/>
          <w:color w:val="auto"/>
          <w:kern w:val="0"/>
          <w:sz w:val="32"/>
          <w:szCs w:val="32"/>
        </w:rPr>
        <w:t>数据中心、内容分发网络(CDN)等新型应用基础设施的规划与建设，深化</w:t>
      </w:r>
      <w:r>
        <w:rPr>
          <w:rFonts w:hint="eastAsia" w:ascii="仿宋_GB2312" w:hAnsi="宋体" w:eastAsia="仿宋_GB2312" w:cs="宋体"/>
          <w:color w:val="auto"/>
          <w:kern w:val="0"/>
          <w:sz w:val="32"/>
          <w:szCs w:val="32"/>
          <w:lang w:eastAsia="zh-CN"/>
        </w:rPr>
        <w:t>霍邱</w:t>
      </w:r>
      <w:r>
        <w:rPr>
          <w:rFonts w:hint="eastAsia" w:ascii="仿宋_GB2312" w:hAnsi="宋体" w:eastAsia="仿宋_GB2312" w:cs="宋体"/>
          <w:color w:val="auto"/>
          <w:kern w:val="0"/>
          <w:sz w:val="32"/>
          <w:szCs w:val="32"/>
        </w:rPr>
        <w:t>城市大数据平台与</w:t>
      </w:r>
      <w:r>
        <w:rPr>
          <w:rFonts w:hint="eastAsia" w:ascii="仿宋_GB2312" w:hAnsi="宋体" w:eastAsia="仿宋_GB2312" w:cs="宋体"/>
          <w:color w:val="auto"/>
          <w:kern w:val="0"/>
          <w:sz w:val="32"/>
          <w:szCs w:val="32"/>
          <w:lang w:eastAsia="zh-CN"/>
        </w:rPr>
        <w:t>县</w:t>
      </w:r>
      <w:r>
        <w:rPr>
          <w:rFonts w:hint="eastAsia" w:ascii="仿宋_GB2312" w:hAnsi="宋体" w:eastAsia="仿宋_GB2312" w:cs="宋体"/>
          <w:color w:val="auto"/>
          <w:kern w:val="0"/>
          <w:sz w:val="32"/>
          <w:szCs w:val="32"/>
        </w:rPr>
        <w:t>公共数据共享交换平台建设，积极推动公共数字基础平台上云。</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集成一批统一</w:t>
      </w:r>
      <w:r>
        <w:rPr>
          <w:rFonts w:hint="eastAsia" w:ascii="仿宋_GB2312" w:hAnsi="宋体" w:cs="宋体"/>
          <w:color w:val="auto"/>
          <w:kern w:val="0"/>
          <w:sz w:val="32"/>
          <w:szCs w:val="32"/>
          <w:lang w:eastAsia="zh-CN"/>
        </w:rPr>
        <w:t>的</w:t>
      </w:r>
      <w:r>
        <w:rPr>
          <w:rFonts w:hint="eastAsia" w:ascii="仿宋_GB2312" w:hAnsi="宋体" w:eastAsia="仿宋_GB2312" w:cs="宋体"/>
          <w:color w:val="auto"/>
          <w:kern w:val="0"/>
          <w:sz w:val="32"/>
          <w:szCs w:val="32"/>
        </w:rPr>
        <w:t>电子证照、电子印章、</w:t>
      </w:r>
      <w:r>
        <w:rPr>
          <w:rFonts w:hint="eastAsia" w:ascii="仿宋_GB2312" w:hAnsi="宋体" w:cs="宋体"/>
          <w:color w:val="auto"/>
          <w:kern w:val="0"/>
          <w:sz w:val="32"/>
          <w:szCs w:val="32"/>
          <w:lang w:eastAsia="zh-CN"/>
        </w:rPr>
        <w:t>电子档案</w:t>
      </w:r>
      <w:r>
        <w:rPr>
          <w:rFonts w:hint="eastAsia" w:ascii="仿宋_GB2312" w:hAnsi="宋体" w:eastAsia="仿宋_GB2312" w:cs="宋体"/>
          <w:color w:val="auto"/>
          <w:kern w:val="0"/>
          <w:sz w:val="32"/>
          <w:szCs w:val="32"/>
        </w:rPr>
        <w:t>等</w:t>
      </w:r>
      <w:r>
        <w:rPr>
          <w:rFonts w:hint="eastAsia" w:ascii="仿宋_GB2312" w:hAnsi="宋体" w:cs="宋体"/>
          <w:color w:val="auto"/>
          <w:kern w:val="0"/>
          <w:sz w:val="32"/>
          <w:szCs w:val="32"/>
          <w:lang w:eastAsia="zh-CN"/>
        </w:rPr>
        <w:t>电子数据</w:t>
      </w:r>
      <w:r>
        <w:rPr>
          <w:rFonts w:hint="eastAsia" w:ascii="仿宋_GB2312" w:hAnsi="宋体" w:eastAsia="仿宋_GB2312" w:cs="宋体"/>
          <w:color w:val="auto"/>
          <w:kern w:val="0"/>
          <w:sz w:val="32"/>
          <w:szCs w:val="32"/>
        </w:rPr>
        <w:t>支撑，推动各部门、乡镇</w:t>
      </w:r>
      <w:r>
        <w:rPr>
          <w:rFonts w:hint="eastAsia" w:ascii="仿宋_GB2312" w:hAnsi="宋体" w:cs="宋体"/>
          <w:color w:val="auto"/>
          <w:kern w:val="0"/>
          <w:sz w:val="32"/>
          <w:szCs w:val="32"/>
          <w:lang w:val="en-US" w:eastAsia="zh-CN"/>
        </w:rPr>
        <w:t>(开发区)</w:t>
      </w:r>
      <w:r>
        <w:rPr>
          <w:rFonts w:hint="eastAsia" w:ascii="仿宋_GB2312" w:hAnsi="宋体" w:eastAsia="仿宋_GB2312" w:cs="宋体"/>
          <w:color w:val="auto"/>
          <w:kern w:val="0"/>
          <w:sz w:val="32"/>
          <w:szCs w:val="32"/>
        </w:rPr>
        <w:t>新建及存量电子政务系统向</w:t>
      </w:r>
      <w:r>
        <w:rPr>
          <w:rFonts w:hint="eastAsia" w:ascii="仿宋_GB2312" w:hAnsi="宋体" w:eastAsia="仿宋_GB2312" w:cs="宋体"/>
          <w:color w:val="auto"/>
          <w:kern w:val="0"/>
          <w:sz w:val="32"/>
          <w:szCs w:val="32"/>
          <w:lang w:eastAsia="zh-CN"/>
        </w:rPr>
        <w:t>县</w:t>
      </w:r>
      <w:r>
        <w:rPr>
          <w:rFonts w:hint="eastAsia" w:ascii="仿宋_GB2312" w:hAnsi="宋体" w:eastAsia="仿宋_GB2312" w:cs="宋体"/>
          <w:color w:val="auto"/>
          <w:kern w:val="0"/>
          <w:sz w:val="32"/>
          <w:szCs w:val="32"/>
        </w:rPr>
        <w:t>级数字政务云平台集中部署，最大化利用存量数字存储、计算与通信设备，避免盲目投资与资源浪费。积极推动数据中心绿色化发展，推进数据中心的集约化、规模化发展。加快推进支持数字经济发展的实验基础设施建设，发展面向机器人、智能终端等新产品新装备的专用试验场地。</w:t>
      </w:r>
    </w:p>
    <w:p>
      <w:pPr>
        <w:pStyle w:val="3"/>
        <w:keepNext/>
        <w:keepLines/>
        <w:pageBreakBefore w:val="0"/>
        <w:widowControl w:val="0"/>
        <w:numPr>
          <w:ilvl w:val="0"/>
          <w:numId w:val="0"/>
        </w:numPr>
        <w:tabs>
          <w:tab w:val="left" w:pos="280"/>
        </w:tabs>
        <w:kinsoku/>
        <w:wordWrap/>
        <w:overflowPunct/>
        <w:topLinePunct w:val="0"/>
        <w:autoSpaceDE/>
        <w:autoSpaceDN/>
        <w:bidi w:val="0"/>
        <w:adjustRightInd/>
        <w:snapToGrid/>
        <w:spacing w:beforeLines="0" w:afterLines="0" w:line="580" w:lineRule="exact"/>
        <w:ind w:firstLine="643" w:firstLineChars="200"/>
        <w:textAlignment w:val="auto"/>
        <w:rPr>
          <w:rFonts w:hint="eastAsia" w:ascii="楷体" w:hAnsi="楷体" w:eastAsia="楷体" w:cs="楷体"/>
          <w:b/>
          <w:bCs/>
          <w:color w:val="auto"/>
          <w:sz w:val="32"/>
          <w:szCs w:val="32"/>
          <w:lang w:val="en-US" w:eastAsia="zh-CN"/>
        </w:rPr>
      </w:pPr>
      <w:bookmarkStart w:id="36" w:name="_Toc12440602"/>
      <w:bookmarkEnd w:id="36"/>
      <w:bookmarkStart w:id="37" w:name="_Toc30412"/>
      <w:bookmarkStart w:id="38" w:name="_Toc22029"/>
      <w:bookmarkStart w:id="39" w:name="_Toc9880"/>
      <w:r>
        <w:rPr>
          <w:rFonts w:hint="eastAsia" w:ascii="楷体" w:hAnsi="楷体" w:cs="楷体"/>
          <w:b/>
          <w:bCs/>
          <w:color w:val="auto"/>
          <w:sz w:val="32"/>
          <w:szCs w:val="32"/>
          <w:lang w:val="en-US" w:eastAsia="zh-CN"/>
        </w:rPr>
        <w:t>6</w:t>
      </w:r>
      <w:r>
        <w:rPr>
          <w:rFonts w:hint="eastAsia" w:ascii="楷体" w:hAnsi="楷体" w:eastAsia="楷体" w:cs="楷体"/>
          <w:b/>
          <w:bCs/>
          <w:color w:val="auto"/>
          <w:sz w:val="32"/>
          <w:szCs w:val="32"/>
          <w:lang w:val="en-US" w:eastAsia="zh-CN"/>
        </w:rPr>
        <w:t>.统筹建设智慧城市感知体系</w:t>
      </w:r>
      <w:bookmarkEnd w:id="37"/>
      <w:bookmarkEnd w:id="38"/>
      <w:bookmarkEnd w:id="39"/>
      <w:r>
        <w:rPr>
          <w:rFonts w:hint="eastAsia" w:ascii="楷体" w:hAnsi="楷体" w:eastAsia="楷体" w:cs="楷体"/>
          <w:b/>
          <w:bCs/>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统筹建设城市物联网感知体系。</w:t>
      </w:r>
      <w:r>
        <w:rPr>
          <w:rFonts w:hint="eastAsia" w:ascii="仿宋_GB2312" w:hAnsi="仿宋_GB2312" w:eastAsia="仿宋_GB2312" w:cs="仿宋_GB2312"/>
          <w:color w:val="auto"/>
          <w:kern w:val="0"/>
          <w:sz w:val="32"/>
          <w:szCs w:val="32"/>
        </w:rPr>
        <w:t>面向市政管理、城市生活、公共安全、环境监测、</w:t>
      </w:r>
      <w:r>
        <w:rPr>
          <w:rFonts w:hint="eastAsia" w:ascii="仿宋_GB2312" w:hAnsi="仿宋_GB2312" w:cs="仿宋_GB2312"/>
          <w:color w:val="auto"/>
          <w:kern w:val="0"/>
          <w:sz w:val="32"/>
          <w:szCs w:val="32"/>
          <w:lang w:eastAsia="zh-CN"/>
        </w:rPr>
        <w:t>工业生产、</w:t>
      </w:r>
      <w:r>
        <w:rPr>
          <w:rFonts w:hint="eastAsia" w:ascii="仿宋_GB2312" w:hAnsi="仿宋_GB2312" w:eastAsia="仿宋_GB2312" w:cs="仿宋_GB2312"/>
          <w:color w:val="auto"/>
          <w:kern w:val="0"/>
          <w:sz w:val="32"/>
          <w:szCs w:val="32"/>
        </w:rPr>
        <w:t>农业生产、交通出行等领域应用需求，推进各类智能化基础设施和感知网络统筹规划、集约建设。以“物联</w:t>
      </w:r>
      <w:r>
        <w:rPr>
          <w:rFonts w:hint="eastAsia" w:ascii="仿宋_GB2312" w:hAnsi="仿宋_GB2312" w:eastAsia="仿宋_GB2312" w:cs="仿宋_GB2312"/>
          <w:color w:val="auto"/>
          <w:kern w:val="0"/>
          <w:sz w:val="32"/>
          <w:szCs w:val="32"/>
          <w:lang w:eastAsia="zh-CN"/>
        </w:rPr>
        <w:t>霍邱</w:t>
      </w:r>
      <w:r>
        <w:rPr>
          <w:rFonts w:hint="eastAsia" w:ascii="仿宋_GB2312" w:hAnsi="仿宋_GB2312" w:eastAsia="仿宋_GB2312" w:cs="仿宋_GB2312"/>
          <w:color w:val="auto"/>
          <w:kern w:val="0"/>
          <w:sz w:val="32"/>
          <w:szCs w:val="32"/>
        </w:rPr>
        <w:t>”建设为牵引，在政务云上建设全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统一的物联网平台，推进各种物联网前端设备按统一标准接入平台，推动全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公共部门物联感知统一设施管理、统一数据管理、统一安全认证及权限管理，为各</w:t>
      </w:r>
      <w:r>
        <w:rPr>
          <w:rFonts w:hint="eastAsia" w:ascii="仿宋_GB2312" w:hAnsi="仿宋_GB2312" w:cs="仿宋_GB2312"/>
          <w:color w:val="auto"/>
          <w:kern w:val="0"/>
          <w:sz w:val="32"/>
          <w:szCs w:val="32"/>
          <w:lang w:eastAsia="zh-CN"/>
        </w:rPr>
        <w:t>政务</w:t>
      </w:r>
      <w:r>
        <w:rPr>
          <w:rFonts w:hint="eastAsia" w:ascii="仿宋_GB2312" w:hAnsi="仿宋_GB2312" w:eastAsia="仿宋_GB2312" w:cs="仿宋_GB2312"/>
          <w:color w:val="auto"/>
          <w:kern w:val="0"/>
          <w:sz w:val="32"/>
          <w:szCs w:val="32"/>
        </w:rPr>
        <w:t>部门提供便捷高效的物联网应用服务，推进物联感知数据分析挖掘和有效利用。</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建设一体化视频监控体系。</w:t>
      </w:r>
      <w:r>
        <w:rPr>
          <w:rFonts w:hint="eastAsia" w:ascii="仿宋_GB2312" w:hAnsi="仿宋_GB2312" w:eastAsia="仿宋_GB2312" w:cs="仿宋_GB2312"/>
          <w:color w:val="auto"/>
          <w:kern w:val="0"/>
          <w:sz w:val="32"/>
          <w:szCs w:val="32"/>
        </w:rPr>
        <w:t>加快推进“雪亮工程”建设与应用，推动建设集约化、联网规范化、应用智能化，持续深化“全域覆盖、全网共享、全时可用、全程可控”公共安全视频监控建设联网，加强城市、农村、路网沿线等视频监控点位统筹布局，梯次推进重点区域、要害部位、关键场所视频监控工程建设。强化城乡结合部、乡村公共区域、重点林区和风景名胜区等视频监控建设，推动构建城乡一体化的视频监控体系。强化系统联网，健全共享机制，全面加快推进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公共和社会视频监控资源联网共享和应用服务。加大视频检索、图像增强、人像比对、智能识别、数据挖掘等智能分析力度，结合智能预警、无线射频、地理信息、北斗导航等技术工具，增强全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视频监控资源的智能化分析与应用水平。</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color w:val="auto"/>
        </w:rPr>
      </w:pPr>
      <w:r>
        <w:rPr>
          <w:rFonts w:hint="eastAsia" w:ascii="仿宋_GB2312" w:hAnsi="宋体" w:eastAsia="仿宋_GB2312" w:cs="宋体"/>
          <w:b w:val="0"/>
          <w:bCs w:val="0"/>
          <w:color w:val="auto"/>
          <w:kern w:val="0"/>
          <w:sz w:val="32"/>
          <w:szCs w:val="32"/>
        </w:rPr>
        <w:t>推进智慧城市时空信息云平台建设。</w:t>
      </w:r>
      <w:r>
        <w:rPr>
          <w:rFonts w:hint="eastAsia" w:ascii="仿宋_GB2312" w:hAnsi="宋体" w:eastAsia="仿宋_GB2312" w:cs="宋体"/>
          <w:color w:val="auto"/>
          <w:kern w:val="0"/>
          <w:sz w:val="32"/>
          <w:szCs w:val="32"/>
        </w:rPr>
        <w:t>在全</w:t>
      </w:r>
      <w:r>
        <w:rPr>
          <w:rFonts w:hint="eastAsia" w:ascii="仿宋_GB2312" w:hAnsi="宋体" w:eastAsia="仿宋_GB2312" w:cs="宋体"/>
          <w:color w:val="auto"/>
          <w:kern w:val="0"/>
          <w:sz w:val="32"/>
          <w:szCs w:val="32"/>
          <w:lang w:eastAsia="zh-CN"/>
        </w:rPr>
        <w:t>县</w:t>
      </w:r>
      <w:r>
        <w:rPr>
          <w:rFonts w:hint="eastAsia" w:ascii="仿宋_GB2312" w:hAnsi="宋体" w:eastAsia="仿宋_GB2312" w:cs="宋体"/>
          <w:color w:val="auto"/>
          <w:kern w:val="0"/>
          <w:sz w:val="32"/>
          <w:szCs w:val="32"/>
        </w:rPr>
        <w:t>地理空间框架建设基础上，推进智慧城市时空信息云平台建设，丰富全</w:t>
      </w:r>
      <w:r>
        <w:rPr>
          <w:rFonts w:hint="eastAsia" w:ascii="仿宋_GB2312" w:hAnsi="宋体" w:eastAsia="仿宋_GB2312" w:cs="宋体"/>
          <w:color w:val="auto"/>
          <w:kern w:val="0"/>
          <w:sz w:val="32"/>
          <w:szCs w:val="32"/>
          <w:lang w:eastAsia="zh-CN"/>
        </w:rPr>
        <w:t>县</w:t>
      </w:r>
      <w:r>
        <w:rPr>
          <w:rFonts w:hint="eastAsia" w:ascii="仿宋_GB2312" w:hAnsi="宋体" w:eastAsia="仿宋_GB2312" w:cs="宋体"/>
          <w:color w:val="auto"/>
          <w:kern w:val="0"/>
          <w:sz w:val="32"/>
          <w:szCs w:val="32"/>
        </w:rPr>
        <w:t>时空数据资源，形成时序化的基础时空数据、时空信息专题数据、物联网实时感知数据、互联网在线抓取数据和根据本地特色扩展数据，构成城市各项应用所需的地上地下、室内室外、虚实一体、开放、鲜活的时空数据资源。鼓励并拓展时空信息云平台在国土空间规划、市政建设与管理、自然资源开发利用、生态文明建设以及公众服务中的智能化应用，为其在三维空间和时间交织构成的四维环境中提供时空基础，实现基于统一时空基础下的规划</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布局、分析和决策。</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kern w:val="0"/>
          <w:sz w:val="32"/>
          <w:szCs w:val="32"/>
          <w:lang w:val="en-US" w:eastAsia="zh-CN" w:bidi="ar-SA"/>
        </w:rPr>
      </w:pPr>
      <w:bookmarkStart w:id="40" w:name="_Toc2599"/>
      <w:bookmarkStart w:id="41" w:name="_Toc13236"/>
      <w:r>
        <w:rPr>
          <w:rFonts w:hint="eastAsia" w:ascii="楷体" w:hAnsi="楷体" w:eastAsia="楷体" w:cs="楷体"/>
          <w:b/>
          <w:bCs/>
          <w:color w:val="auto"/>
          <w:kern w:val="0"/>
          <w:sz w:val="32"/>
          <w:szCs w:val="32"/>
          <w:lang w:val="en-US" w:eastAsia="zh-CN" w:bidi="ar-SA"/>
        </w:rPr>
        <w:t>7.建立统一信息安全防护体系</w:t>
      </w:r>
      <w:bookmarkEnd w:id="40"/>
      <w:bookmarkEnd w:id="41"/>
      <w:r>
        <w:rPr>
          <w:rFonts w:hint="eastAsia" w:ascii="楷体" w:hAnsi="楷体" w:eastAsia="楷体" w:cs="楷体"/>
          <w:b/>
          <w:bCs/>
          <w:color w:val="auto"/>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加强统一的全</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信息安全管理，全面落实风险评估、等级保护、应急管理等监管制度，完善信息安全基础设施，加强对政务云、政务网络、重要信息资源库等关键信息基础设施的安全监管和防护。围绕“事前发现、事中防护、事后应对”全流程，面向云网端架构，建设由云监测平台、云防护平台、反欺诈平台和城市安全态势感知中心组成的“三平台一中心”可视化网络与信息安全防护体系。加强城市统一身份认证管理。加强基于大数据的网络舆情监测管理。</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42" w:name="_Toc29365"/>
      <w:r>
        <w:rPr>
          <w:rFonts w:hint="eastAsia" w:ascii="黑体" w:hAnsi="黑体" w:eastAsia="黑体" w:cs="黑体"/>
          <w:b w:val="0"/>
          <w:bCs w:val="0"/>
          <w:color w:val="auto"/>
          <w:sz w:val="32"/>
          <w:szCs w:val="32"/>
          <w:lang w:val="en-US" w:eastAsia="zh-CN"/>
        </w:rPr>
        <w:t>（二）深入建设数字政府，提升公共服务水平</w:t>
      </w:r>
      <w:bookmarkEnd w:id="42"/>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1.大力推进“互联网+”政务服务</w:t>
      </w:r>
    </w:p>
    <w:p>
      <w:pPr>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以“一张网”改革为契机，依托“皖事通办”平台公共应用支撑能力，建设完善安徽政务服务网霍邱门户，将其打造成为“互联网+”政务的主平台。</w:t>
      </w:r>
      <w:r>
        <w:rPr>
          <w:rFonts w:hint="eastAsia" w:ascii="仿宋_GB2312" w:hAnsi="仿宋_GB2312" w:cs="仿宋_GB2312"/>
          <w:color w:val="auto"/>
          <w:sz w:val="32"/>
          <w:szCs w:val="32"/>
          <w:lang w:val="en-US" w:eastAsia="zh-CN"/>
        </w:rPr>
        <w:t>通过电子印章、电子证照和电子档案在政务服务中的互信互认，减少用户材料的重复提交，推动政务服务事项跨部门、跨层级、全流程最多跑一次，甚至一次不用跑。</w:t>
      </w:r>
      <w:r>
        <w:rPr>
          <w:rFonts w:hint="eastAsia" w:ascii="仿宋_GB2312" w:hAnsi="仿宋_GB2312" w:eastAsia="仿宋_GB2312" w:cs="仿宋_GB2312"/>
          <w:color w:val="auto"/>
          <w:kern w:val="2"/>
          <w:sz w:val="32"/>
          <w:szCs w:val="32"/>
          <w:lang w:val="en-US" w:eastAsia="zh-CN" w:bidi="ar-SA"/>
        </w:rPr>
        <w:t>加快构建面向公民社保、医疗、养老、纳税、信用等的“一号”管理体制，实施“一号一窗一网”工程，创新政务服务内容与流程，提升服务效率。以身份证号为基础，积极构建跨部门、跨区域、跨行业的电子证照库，一次生成、多方复用，一库管理、互认共享。切实推进政务服务标准化、规范化，构建综合政务服务窗口和统一的政务服务信息系统，推进“前台综合受理、后台分类审批、统一窗口出件”的服务模式，加快实现政务信息资源跨部门、跨层级、跨区域互通和协同共享。整合实体政务服务大厅、政府网站、移动客户端、自助终端、服务热线等不同渠道的用户认证，形成基于公民身份号码的线上线下互认的群众办事统一身份认证体系，运用大数据技术，开展跨领域、跨渠道的综合分析，加大发展个性化推荐等主动服务。</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2.着力发展“互联网+”民生服务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提升现代化城市治理水平，以城市数字能力平台为支撑，利用人工智能、大数据、区块链等技术，助力治理交通、医疗、教育、旅游、社区</w:t>
      </w:r>
      <w:r>
        <w:rPr>
          <w:rFonts w:hint="eastAsia" w:ascii="仿宋_GB2312" w:hAnsi="仿宋_GB2312" w:cs="仿宋_GB2312"/>
          <w:color w:val="auto"/>
          <w:kern w:val="2"/>
          <w:sz w:val="32"/>
          <w:szCs w:val="32"/>
          <w:lang w:val="en-US" w:eastAsia="zh-CN" w:bidi="ar-SA"/>
        </w:rPr>
        <w:t>、养老</w:t>
      </w:r>
      <w:r>
        <w:rPr>
          <w:rFonts w:hint="eastAsia" w:ascii="仿宋_GB2312" w:hAnsi="仿宋_GB2312" w:eastAsia="仿宋_GB2312" w:cs="仿宋_GB2312"/>
          <w:color w:val="auto"/>
          <w:kern w:val="2"/>
          <w:sz w:val="32"/>
          <w:szCs w:val="32"/>
          <w:lang w:val="en-US" w:eastAsia="zh-CN" w:bidi="ar-SA"/>
        </w:rPr>
        <w:t>等领域应用的精准分析、精准决策与执行跟踪。大力发展智慧交通，努力提高交通运输设施、设备的</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和智能化水平，以交通管理、实时路况、应急指挥、电子收费等领域为重点，推进智慧交通应用系统建设，提升道路管理与出行的智慧化水平，实施红绿灯自动控制系统、停车诱导系统和智能停车收费扩面工程，提升城区交通科技管理能力。大力推进</w:t>
      </w:r>
      <w:r>
        <w:rPr>
          <w:rFonts w:hint="eastAsia" w:ascii="仿宋_GB2312" w:hAnsi="仿宋_GB2312" w:cs="仿宋_GB2312"/>
          <w:color w:val="auto"/>
          <w:kern w:val="2"/>
          <w:sz w:val="32"/>
          <w:szCs w:val="32"/>
          <w:lang w:val="en-US" w:eastAsia="zh-CN" w:bidi="ar-SA"/>
        </w:rPr>
        <w:t>智慧医疗</w:t>
      </w:r>
      <w:r>
        <w:rPr>
          <w:rFonts w:hint="eastAsia" w:ascii="仿宋_GB2312" w:hAnsi="仿宋_GB2312" w:eastAsia="仿宋_GB2312" w:cs="仿宋_GB2312"/>
          <w:color w:val="auto"/>
          <w:kern w:val="2"/>
          <w:sz w:val="32"/>
          <w:szCs w:val="32"/>
          <w:lang w:val="en-US" w:eastAsia="zh-CN" w:bidi="ar-SA"/>
        </w:rPr>
        <w:t>，建设覆盖城乡各类卫生医疗机构的</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化网络体系，完善就医各环节信息化服务系统，推进向智慧医院转变，大力发展</w:t>
      </w:r>
      <w:r>
        <w:rPr>
          <w:rFonts w:hint="eastAsia" w:ascii="仿宋_GB2312" w:hAnsi="仿宋_GB2312" w:cs="仿宋_GB2312"/>
          <w:color w:val="auto"/>
          <w:kern w:val="2"/>
          <w:sz w:val="32"/>
          <w:szCs w:val="32"/>
          <w:lang w:val="en-US" w:eastAsia="zh-CN" w:bidi="ar-SA"/>
        </w:rPr>
        <w:t>网上预约挂号</w:t>
      </w:r>
      <w:r>
        <w:rPr>
          <w:rFonts w:hint="eastAsia" w:ascii="仿宋_GB2312" w:hAnsi="仿宋_GB2312" w:eastAsia="仿宋_GB2312" w:cs="仿宋_GB2312"/>
          <w:color w:val="auto"/>
          <w:kern w:val="2"/>
          <w:sz w:val="32"/>
          <w:szCs w:val="32"/>
          <w:lang w:val="en-US" w:eastAsia="zh-CN" w:bidi="ar-SA"/>
        </w:rPr>
        <w:t>、智能分</w:t>
      </w:r>
      <w:r>
        <w:rPr>
          <w:rFonts w:hint="eastAsia" w:ascii="仿宋_GB2312" w:hAnsi="仿宋_GB2312" w:cs="仿宋_GB2312"/>
          <w:color w:val="auto"/>
          <w:kern w:val="2"/>
          <w:sz w:val="32"/>
          <w:szCs w:val="32"/>
          <w:lang w:val="en-US" w:eastAsia="zh-CN" w:bidi="ar-SA"/>
        </w:rPr>
        <w:t>级诊疗</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远程会诊服务</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业务协同管理、电子病历处方及慢性病人群管理</w:t>
      </w:r>
      <w:r>
        <w:rPr>
          <w:rFonts w:hint="eastAsia" w:ascii="仿宋_GB2312" w:hAnsi="仿宋_GB2312" w:eastAsia="仿宋_GB2312" w:cs="仿宋_GB2312"/>
          <w:color w:val="auto"/>
          <w:kern w:val="2"/>
          <w:sz w:val="32"/>
          <w:szCs w:val="32"/>
          <w:lang w:val="en-US" w:eastAsia="zh-CN" w:bidi="ar-SA"/>
        </w:rPr>
        <w:t>等服务。着力发展智慧教育，推进智能化教学管理平台</w:t>
      </w:r>
      <w:r>
        <w:rPr>
          <w:rFonts w:hint="eastAsia" w:ascii="仿宋_GB2312" w:hAnsi="仿宋_GB2312" w:cs="仿宋_GB2312"/>
          <w:color w:val="auto"/>
          <w:kern w:val="2"/>
          <w:sz w:val="32"/>
          <w:szCs w:val="32"/>
          <w:lang w:val="en-US" w:eastAsia="zh-CN" w:bidi="ar-SA"/>
        </w:rPr>
        <w:t>建设</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深度打造智慧教学、智慧学习、智慧管理、智慧生活、智慧文化等内容的智慧学校完整版。全面实现智慧学校建设班级全覆盖，助推全县优质教育均衡发展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积极推进智慧旅游。</w:t>
      </w:r>
      <w:r>
        <w:rPr>
          <w:rFonts w:hint="eastAsia" w:ascii="仿宋_GB2312" w:hAnsi="仿宋_GB2312" w:eastAsia="仿宋_GB2312" w:cs="仿宋_GB2312"/>
          <w:color w:val="auto"/>
          <w:kern w:val="2"/>
          <w:sz w:val="32"/>
          <w:szCs w:val="32"/>
          <w:lang w:val="en-US" w:eastAsia="zh-CN" w:bidi="ar-SA"/>
        </w:rPr>
        <w:t>建立全县旅游数据中心，努力实现旅游数据的全域化获取、共享和应用，为旅游服务、管理、营销等方面提供数据依据。积极推进智慧安居服务，加快智慧家居系统、智慧楼宇、智慧社区建设，为</w:t>
      </w:r>
      <w:r>
        <w:rPr>
          <w:rFonts w:hint="eastAsia" w:ascii="仿宋_GB2312" w:hAnsi="仿宋_GB2312" w:cs="仿宋_GB2312"/>
          <w:color w:val="auto"/>
          <w:kern w:val="2"/>
          <w:sz w:val="32"/>
          <w:szCs w:val="32"/>
          <w:lang w:val="en-US" w:eastAsia="zh-CN" w:bidi="ar-SA"/>
        </w:rPr>
        <w:t>群众</w:t>
      </w:r>
      <w:r>
        <w:rPr>
          <w:rFonts w:hint="eastAsia" w:ascii="仿宋_GB2312" w:hAnsi="仿宋_GB2312" w:eastAsia="仿宋_GB2312" w:cs="仿宋_GB2312"/>
          <w:color w:val="auto"/>
          <w:kern w:val="2"/>
          <w:sz w:val="32"/>
          <w:szCs w:val="32"/>
          <w:lang w:val="en-US" w:eastAsia="zh-CN" w:bidi="ar-SA"/>
        </w:rPr>
        <w:t>提供智能化的家庭</w:t>
      </w:r>
      <w:r>
        <w:rPr>
          <w:rFonts w:hint="eastAsia" w:ascii="仿宋_GB2312" w:hAnsi="仿宋_GB2312" w:cs="仿宋_GB2312"/>
          <w:color w:val="auto"/>
          <w:kern w:val="2"/>
          <w:sz w:val="32"/>
          <w:szCs w:val="32"/>
          <w:lang w:val="en-US" w:eastAsia="zh-CN" w:bidi="ar-SA"/>
        </w:rPr>
        <w:t>和</w:t>
      </w:r>
      <w:r>
        <w:rPr>
          <w:rFonts w:hint="eastAsia" w:ascii="仿宋_GB2312" w:hAnsi="仿宋_GB2312" w:eastAsia="仿宋_GB2312" w:cs="仿宋_GB2312"/>
          <w:color w:val="auto"/>
          <w:kern w:val="2"/>
          <w:sz w:val="32"/>
          <w:szCs w:val="32"/>
          <w:lang w:val="en-US" w:eastAsia="zh-CN" w:bidi="ar-SA"/>
        </w:rPr>
        <w:t>社区服务。</w:t>
      </w:r>
      <w:r>
        <w:rPr>
          <w:rFonts w:hint="eastAsia" w:ascii="仿宋_GB2312" w:hAnsi="仿宋_GB2312" w:cs="仿宋_GB2312"/>
          <w:color w:val="auto"/>
          <w:kern w:val="2"/>
          <w:sz w:val="32"/>
          <w:szCs w:val="32"/>
          <w:lang w:val="en-US" w:eastAsia="zh-CN" w:bidi="ar-SA"/>
        </w:rPr>
        <w:t>大力发展智慧养老，推进智慧健康养老服务，有效整合养老服务资源，提升养老服务智慧化水平，</w:t>
      </w:r>
      <w:r>
        <w:rPr>
          <w:rFonts w:hint="eastAsia" w:ascii="仿宋_GB2312" w:hAnsi="仿宋_GB2312" w:eastAsia="仿宋_GB2312" w:cs="仿宋_GB2312"/>
          <w:color w:val="auto"/>
          <w:kern w:val="2"/>
          <w:sz w:val="32"/>
          <w:szCs w:val="32"/>
          <w:lang w:val="en-US" w:eastAsia="zh-CN" w:bidi="ar-SA"/>
        </w:rPr>
        <w:t>推动个人、家庭、养老服务机构、社区及专业医疗机构间的信息互联互通和资源优化配置，提供智慧化、个性化、多样化、便利化的养老产品和服务。</w:t>
      </w:r>
    </w:p>
    <w:p>
      <w:pPr>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3.加快推进“互联网+”监管服务</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right="0" w:rightChars="0" w:firstLine="640" w:firstLineChars="200"/>
        <w:jc w:val="both"/>
        <w:textAlignment w:val="auto"/>
        <w:rPr>
          <w:rFonts w:hint="eastAsia"/>
          <w:color w:val="auto"/>
        </w:rPr>
      </w:pPr>
      <w:r>
        <w:rPr>
          <w:rFonts w:hint="eastAsia" w:ascii="仿宋_GB2312" w:hAnsi="仿宋_GB2312" w:eastAsia="仿宋_GB2312" w:cs="仿宋_GB2312"/>
          <w:color w:val="auto"/>
          <w:kern w:val="2"/>
          <w:sz w:val="32"/>
          <w:szCs w:val="32"/>
          <w:lang w:val="en-US" w:eastAsia="zh-CN" w:bidi="ar-SA"/>
        </w:rPr>
        <w:t>加快推进社会治安监控、</w:t>
      </w:r>
      <w:r>
        <w:rPr>
          <w:rFonts w:hint="eastAsia" w:ascii="仿宋_GB2312" w:hAnsi="仿宋_GB2312" w:cs="仿宋_GB2312"/>
          <w:color w:val="auto"/>
          <w:kern w:val="2"/>
          <w:sz w:val="32"/>
          <w:szCs w:val="32"/>
          <w:lang w:val="en-US" w:eastAsia="zh-CN" w:bidi="ar-SA"/>
        </w:rPr>
        <w:t>雪亮工程</w:t>
      </w:r>
      <w:r>
        <w:rPr>
          <w:rFonts w:hint="eastAsia" w:ascii="仿宋_GB2312" w:hAnsi="仿宋_GB2312" w:eastAsia="仿宋_GB2312" w:cs="仿宋_GB2312"/>
          <w:color w:val="auto"/>
          <w:kern w:val="2"/>
          <w:sz w:val="32"/>
          <w:szCs w:val="32"/>
          <w:lang w:val="en-US" w:eastAsia="zh-CN" w:bidi="ar-SA"/>
        </w:rPr>
        <w:t>、安全生产监管、食品药品安全监管、环境监测、疫情预警等信息系统建设，加强物联网设备在重点监管服务领域的部署水平，实现监管数据的自动化采集。</w:t>
      </w:r>
      <w:r>
        <w:rPr>
          <w:rFonts w:hint="default" w:ascii="仿宋_GB2312" w:hAnsi="仿宋_GB2312" w:eastAsia="仿宋_GB2312" w:cs="仿宋_GB2312"/>
          <w:color w:val="auto"/>
          <w:kern w:val="2"/>
          <w:sz w:val="32"/>
          <w:szCs w:val="32"/>
          <w:lang w:val="en-US" w:eastAsia="zh-CN" w:bidi="ar-SA"/>
        </w:rPr>
        <w:t>联通各级各部门监管业务系统，汇聚各重点行业、重点领域监管平台数据以及各级政府部门、社会投诉举报、第三方平台等数据，加强监管信息归集共享，将政府履职过程中形成的行政检查、行政处罚、行政强制等信息以及司法判决、违法失信、抽查抽检等信息进行关联整合，并归集到相关市场主体名下。充分运用大数据等技术，加强对风险的跟踪预警。依法加强行政执法监督，建立行政执法监督平台，持续提升行政执法标准化、规范化、精细化水平。</w:t>
      </w:r>
    </w:p>
    <w:p>
      <w:pPr>
        <w:pageBreakBefore w:val="0"/>
        <w:numPr>
          <w:ilvl w:val="0"/>
          <w:numId w:val="1"/>
        </w:numPr>
        <w:kinsoku/>
        <w:wordWrap/>
        <w:topLinePunct w:val="0"/>
        <w:autoSpaceDE/>
        <w:autoSpaceDN/>
        <w:bidi w:val="0"/>
        <w:spacing w:beforeLines="0" w:afterLines="0" w:line="580" w:lineRule="exact"/>
        <w:ind w:left="0" w:leftChars="0" w:firstLine="640" w:firstLineChars="200"/>
        <w:textAlignment w:val="auto"/>
        <w:outlineLvl w:val="1"/>
        <w:rPr>
          <w:rFonts w:hint="eastAsia" w:ascii="黑体" w:hAnsi="黑体" w:eastAsia="黑体" w:cs="黑体"/>
          <w:b w:val="0"/>
          <w:bCs w:val="0"/>
          <w:color w:val="auto"/>
          <w:sz w:val="32"/>
          <w:szCs w:val="32"/>
          <w:lang w:val="en-US" w:eastAsia="zh-CN"/>
        </w:rPr>
      </w:pPr>
      <w:bookmarkStart w:id="43" w:name="_Toc22503"/>
      <w:r>
        <w:rPr>
          <w:rFonts w:hint="eastAsia" w:ascii="黑体" w:hAnsi="黑体" w:eastAsia="黑体" w:cs="黑体"/>
          <w:b w:val="0"/>
          <w:bCs w:val="0"/>
          <w:color w:val="auto"/>
          <w:sz w:val="32"/>
          <w:szCs w:val="32"/>
          <w:lang w:val="en-US" w:eastAsia="zh-CN"/>
        </w:rPr>
        <w:t>社会治理现代化</w:t>
      </w:r>
      <w:bookmarkEnd w:id="43"/>
    </w:p>
    <w:p>
      <w:pPr>
        <w:pStyle w:val="3"/>
        <w:pageBreakBefore w:val="0"/>
        <w:kinsoku/>
        <w:wordWrap/>
        <w:topLinePunct w:val="0"/>
        <w:autoSpaceDE/>
        <w:autoSpaceDN/>
        <w:bidi w:val="0"/>
        <w:spacing w:line="580" w:lineRule="exact"/>
        <w:textAlignment w:val="auto"/>
        <w:rPr>
          <w:rFonts w:hint="default" w:ascii="楷体" w:hAnsi="楷体" w:eastAsia="楷体" w:cs="楷体"/>
          <w:b/>
          <w:bCs/>
          <w:color w:val="auto"/>
          <w:kern w:val="0"/>
          <w:sz w:val="32"/>
          <w:szCs w:val="32"/>
          <w:lang w:val="en-US" w:eastAsia="zh-CN" w:bidi="ar-SA"/>
        </w:rPr>
      </w:pPr>
      <w:bookmarkStart w:id="44" w:name="_Toc7463"/>
      <w:bookmarkStart w:id="45" w:name="_Toc32455"/>
      <w:bookmarkStart w:id="46" w:name="_Toc544"/>
      <w:r>
        <w:rPr>
          <w:rFonts w:hint="eastAsia" w:ascii="楷体" w:hAnsi="楷体" w:cs="楷体"/>
          <w:b/>
          <w:bCs/>
          <w:color w:val="auto"/>
          <w:kern w:val="0"/>
          <w:sz w:val="32"/>
          <w:szCs w:val="32"/>
          <w:lang w:val="en-US" w:eastAsia="zh-CN" w:bidi="ar-SA"/>
        </w:rPr>
        <w:t>1.</w:t>
      </w:r>
      <w:r>
        <w:rPr>
          <w:rFonts w:hint="default" w:ascii="楷体" w:hAnsi="楷体" w:eastAsia="楷体" w:cs="楷体"/>
          <w:b/>
          <w:bCs/>
          <w:color w:val="auto"/>
          <w:kern w:val="0"/>
          <w:sz w:val="32"/>
          <w:szCs w:val="32"/>
          <w:lang w:val="en-US" w:eastAsia="zh-CN" w:bidi="ar-SA"/>
        </w:rPr>
        <w:t>智慧城管</w:t>
      </w:r>
      <w:bookmarkEnd w:id="44"/>
      <w:bookmarkEnd w:id="45"/>
      <w:bookmarkEnd w:id="46"/>
    </w:p>
    <w:p>
      <w:pPr>
        <w:pageBreakBefore w:val="0"/>
        <w:kinsoku/>
        <w:wordWrap/>
        <w:topLinePunct w:val="0"/>
        <w:autoSpaceDE/>
        <w:autoSpaceDN/>
        <w:bidi w:val="0"/>
        <w:spacing w:line="580" w:lineRule="exact"/>
        <w:textAlignment w:val="auto"/>
        <w:rPr>
          <w:rFonts w:hint="eastAsia"/>
          <w:color w:val="auto"/>
          <w:lang w:val="en-US" w:eastAsia="zh-CN"/>
        </w:rPr>
      </w:pPr>
      <w:r>
        <w:rPr>
          <w:rFonts w:hint="default"/>
          <w:color w:val="auto"/>
        </w:rPr>
        <w:t>依托</w:t>
      </w:r>
      <w:r>
        <w:rPr>
          <w:rFonts w:hint="eastAsia"/>
          <w:color w:val="auto"/>
          <w:lang w:eastAsia="zh-CN"/>
        </w:rPr>
        <w:t>县</w:t>
      </w:r>
      <w:r>
        <w:rPr>
          <w:rFonts w:hint="default"/>
          <w:color w:val="auto"/>
        </w:rPr>
        <w:t>电子政务外网，整合全</w:t>
      </w:r>
      <w:r>
        <w:rPr>
          <w:rFonts w:hint="eastAsia"/>
          <w:color w:val="auto"/>
          <w:lang w:eastAsia="zh-CN"/>
        </w:rPr>
        <w:t>县</w:t>
      </w:r>
      <w:r>
        <w:rPr>
          <w:rFonts w:hint="default"/>
          <w:color w:val="auto"/>
        </w:rPr>
        <w:t>城市管理数据资源，建设全</w:t>
      </w:r>
      <w:r>
        <w:rPr>
          <w:rFonts w:hint="eastAsia"/>
          <w:color w:val="auto"/>
          <w:lang w:eastAsia="zh-CN"/>
        </w:rPr>
        <w:t>县</w:t>
      </w:r>
      <w:r>
        <w:rPr>
          <w:rFonts w:hint="default"/>
          <w:color w:val="auto"/>
        </w:rPr>
        <w:t>智慧城管数据中心，实现市县级智慧城管系统联通、数据共享、协同办公。建设完善</w:t>
      </w:r>
      <w:r>
        <w:rPr>
          <w:rFonts w:hint="eastAsia"/>
          <w:color w:val="auto"/>
          <w:lang w:eastAsia="zh-CN"/>
        </w:rPr>
        <w:t>县</w:t>
      </w:r>
      <w:r>
        <w:rPr>
          <w:rFonts w:hint="default"/>
          <w:color w:val="auto"/>
        </w:rPr>
        <w:t>级智慧城管平台，与住建、生态环境、公安等部门信息共享，提高协调效率，实现城市问题快速化、精细化处置。优化升级便民惠民服务系统，畅通广大</w:t>
      </w:r>
      <w:r>
        <w:rPr>
          <w:rFonts w:hint="eastAsia"/>
          <w:color w:val="auto"/>
          <w:lang w:eastAsia="zh-CN"/>
        </w:rPr>
        <w:t>群众</w:t>
      </w:r>
      <w:r>
        <w:rPr>
          <w:rFonts w:hint="default"/>
          <w:color w:val="auto"/>
        </w:rPr>
        <w:t>参与城市管理渠道。</w:t>
      </w:r>
    </w:p>
    <w:p>
      <w:pPr>
        <w:pStyle w:val="3"/>
        <w:pageBreakBefore w:val="0"/>
        <w:kinsoku/>
        <w:wordWrap/>
        <w:topLinePunct w:val="0"/>
        <w:autoSpaceDE/>
        <w:autoSpaceDN/>
        <w:bidi w:val="0"/>
        <w:spacing w:line="580" w:lineRule="exact"/>
        <w:textAlignment w:val="auto"/>
        <w:rPr>
          <w:rFonts w:hint="eastAsia" w:ascii="楷体" w:hAnsi="楷体" w:eastAsia="楷体" w:cs="楷体"/>
          <w:b/>
          <w:bCs/>
          <w:color w:val="auto"/>
          <w:kern w:val="0"/>
          <w:sz w:val="32"/>
          <w:szCs w:val="32"/>
          <w:lang w:val="en-US" w:eastAsia="zh-CN" w:bidi="ar-SA"/>
        </w:rPr>
      </w:pPr>
      <w:bookmarkStart w:id="47" w:name="_Toc29879"/>
      <w:bookmarkStart w:id="48" w:name="_Toc13812"/>
      <w:bookmarkStart w:id="49" w:name="_Toc6870"/>
      <w:bookmarkStart w:id="50" w:name="_Toc54189532"/>
      <w:r>
        <w:rPr>
          <w:rFonts w:hint="eastAsia" w:ascii="楷体" w:hAnsi="楷体" w:cs="楷体"/>
          <w:b/>
          <w:bCs/>
          <w:color w:val="auto"/>
          <w:kern w:val="0"/>
          <w:sz w:val="32"/>
          <w:szCs w:val="32"/>
          <w:lang w:val="en-US" w:eastAsia="zh-CN" w:bidi="ar-SA"/>
        </w:rPr>
        <w:t>2.</w:t>
      </w:r>
      <w:r>
        <w:rPr>
          <w:rFonts w:hint="eastAsia" w:ascii="楷体" w:hAnsi="楷体" w:eastAsia="楷体" w:cs="楷体"/>
          <w:b/>
          <w:bCs/>
          <w:color w:val="auto"/>
          <w:kern w:val="0"/>
          <w:sz w:val="32"/>
          <w:szCs w:val="32"/>
          <w:lang w:val="en-US" w:eastAsia="zh-CN" w:bidi="ar-SA"/>
        </w:rPr>
        <w:t>建设霍邱县综合运行管理中心</w:t>
      </w:r>
      <w:bookmarkEnd w:id="47"/>
      <w:bookmarkEnd w:id="48"/>
      <w:bookmarkEnd w:id="49"/>
      <w:r>
        <w:rPr>
          <w:rFonts w:hint="eastAsia" w:ascii="楷体" w:hAnsi="楷体" w:eastAsia="楷体" w:cs="楷体"/>
          <w:b/>
          <w:bCs/>
          <w:color w:val="auto"/>
          <w:kern w:val="0"/>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color w:val="auto"/>
          <w:sz w:val="32"/>
          <w:szCs w:val="32"/>
        </w:rPr>
      </w:pPr>
      <w:r>
        <w:rPr>
          <w:rFonts w:hint="eastAsia" w:ascii="仿宋_GB2312" w:hAnsi="宋体" w:eastAsia="仿宋_GB2312" w:cs="仿宋_GB2312"/>
          <w:b w:val="0"/>
          <w:bCs/>
          <w:color w:val="auto"/>
          <w:kern w:val="0"/>
          <w:sz w:val="32"/>
          <w:szCs w:val="32"/>
          <w:lang w:val="en-US" w:eastAsia="zh-CN" w:bidi="ar"/>
        </w:rPr>
        <w:t>建设霍邱县综合运行管理中心，</w:t>
      </w:r>
      <w:r>
        <w:rPr>
          <w:rFonts w:hint="eastAsia" w:ascii="仿宋_GB2312" w:hAnsi="宋体" w:eastAsia="仿宋_GB2312" w:cs="仿宋_GB2312"/>
          <w:color w:val="auto"/>
          <w:kern w:val="0"/>
          <w:sz w:val="32"/>
          <w:szCs w:val="32"/>
          <w:lang w:val="en-US" w:eastAsia="zh-CN" w:bidi="ar"/>
        </w:rPr>
        <w:t>同时作为霍邱县城</w:t>
      </w:r>
      <w:r>
        <w:rPr>
          <w:rFonts w:hint="eastAsia" w:ascii="仿宋_GB2312" w:hAnsi="仿宋_GB2312" w:eastAsia="仿宋_GB2312" w:cs="仿宋_GB2312"/>
          <w:color w:val="auto"/>
          <w:kern w:val="0"/>
          <w:sz w:val="32"/>
          <w:szCs w:val="32"/>
          <w:lang w:val="en-US" w:eastAsia="zh-CN" w:bidi="ar"/>
        </w:rPr>
        <w:t>市数据管理中心、综合信息指挥中心、应急指挥中心、社情民意中心、新型智慧城市成果展示中心，将“业务协同、决策会商、一体指挥、参观接待”集于一体。</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eastAsia"/>
          <w:color w:val="auto"/>
          <w:lang w:val="en-US" w:eastAsia="zh-CN"/>
        </w:rPr>
      </w:pPr>
      <w:r>
        <w:rPr>
          <w:rFonts w:hint="eastAsia" w:ascii="仿宋_GB2312" w:hAnsi="仿宋_GB2312" w:eastAsia="仿宋_GB2312" w:cs="仿宋_GB2312"/>
          <w:b w:val="0"/>
          <w:bCs/>
          <w:color w:val="auto"/>
          <w:kern w:val="0"/>
          <w:sz w:val="32"/>
          <w:szCs w:val="32"/>
          <w:lang w:val="en-US" w:eastAsia="zh-CN" w:bidi="ar"/>
        </w:rPr>
        <w:t>构建综合运行管理平台</w:t>
      </w:r>
      <w:r>
        <w:rPr>
          <w:rFonts w:hint="eastAsia" w:ascii="仿宋_GB2312" w:hAnsi="仿宋_GB2312" w:eastAsia="仿宋_GB2312" w:cs="仿宋_GB2312"/>
          <w:color w:val="auto"/>
          <w:kern w:val="0"/>
          <w:sz w:val="32"/>
          <w:szCs w:val="32"/>
          <w:lang w:val="en-US" w:eastAsia="zh-CN" w:bidi="ar"/>
        </w:rPr>
        <w:t>，提升政府统揽全局、综合治理、精准管控的能力。按照国家新型智慧城市评价体系，构建覆盖霍</w:t>
      </w:r>
      <w:r>
        <w:rPr>
          <w:rFonts w:hint="eastAsia"/>
          <w:color w:val="auto"/>
          <w:lang w:val="en-US" w:eastAsia="zh-CN"/>
        </w:rPr>
        <w:t xml:space="preserve">邱全域的城市运行感知全景图，为社会经济发展提供预测预警、分析决策。强化党建引领，着重深化城市综合治理能力，基于霍邱县统建的社会综合治理平台，在确保“五级联动”的基础上，着重深化“三治融合”霍邱特色，探索设立“三治融合”指数。针对涉及生产生活的重点领域，实现对城市重大风险的实时监测和预警。构建基于融合通信的一体指挥能力，实现各通信系统间的互联互通，辅助跨部门一体化指挥。 </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80" w:lineRule="exact"/>
        <w:ind w:leftChars="200"/>
        <w:jc w:val="left"/>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3.推进智慧档案管理建设</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eastAsia="仿宋_GB2312" w:cs="仿宋_GB2312" w:asciiTheme="minorAscii" w:hAnsiTheme="minorAscii"/>
          <w:color w:val="auto"/>
          <w:kern w:val="0"/>
          <w:sz w:val="32"/>
          <w:szCs w:val="32"/>
          <w:lang w:val="en-US" w:eastAsia="zh-CN" w:bidi="ar-SA"/>
        </w:rPr>
        <w:t>建设智慧档案馆，通过各类采集终端和多种网络技术，实现物联网、互联网、移动互联网等网络的互通，随时采集环境信息和实体档案的动态信息，增强智慧档案信息的获取和反馈。建立广覆盖、多样化、多途径的档案信息服务体系，为群众和社会组织提供智慧服务和个性化服务。</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51" w:name="_Toc3362"/>
      <w:r>
        <w:rPr>
          <w:rFonts w:hint="eastAsia" w:ascii="黑体" w:hAnsi="黑体" w:eastAsia="黑体" w:cs="黑体"/>
          <w:b w:val="0"/>
          <w:bCs w:val="0"/>
          <w:color w:val="auto"/>
          <w:sz w:val="32"/>
          <w:szCs w:val="32"/>
          <w:lang w:val="en-US" w:eastAsia="zh-CN"/>
        </w:rPr>
        <w:t>（四）完善城市管理应用体系</w:t>
      </w:r>
      <w:bookmarkEnd w:id="51"/>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80" w:lineRule="exact"/>
        <w:ind w:firstLine="643" w:firstLineChars="200"/>
        <w:textAlignment w:val="auto"/>
        <w:rPr>
          <w:rFonts w:hint="eastAsia" w:ascii="楷体" w:hAnsi="楷体" w:eastAsia="楷体" w:cs="楷体"/>
          <w:b/>
          <w:bCs/>
          <w:color w:val="auto"/>
          <w:lang w:val="en-US" w:eastAsia="zh-CN"/>
        </w:rPr>
      </w:pPr>
      <w:bookmarkStart w:id="52" w:name="_Toc26499"/>
      <w:bookmarkStart w:id="53" w:name="_Toc30690"/>
      <w:r>
        <w:rPr>
          <w:rFonts w:hint="eastAsia" w:ascii="楷体" w:hAnsi="楷体" w:eastAsia="楷体" w:cs="楷体"/>
          <w:b/>
          <w:bCs/>
          <w:color w:val="auto"/>
          <w:lang w:val="en-US" w:eastAsia="zh-CN"/>
        </w:rPr>
        <w:t>1.提升城乡公共安全综合治理能力</w:t>
      </w:r>
      <w:bookmarkEnd w:id="52"/>
      <w:bookmarkEnd w:id="53"/>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80" w:lineRule="exact"/>
        <w:ind w:firstLine="640" w:firstLineChars="200"/>
        <w:textAlignment w:val="auto"/>
        <w:rPr>
          <w:rFonts w:hint="eastAsia" w:ascii="楷体" w:hAnsi="楷体" w:eastAsia="楷体" w:cs="楷体"/>
          <w:b/>
          <w:bCs/>
          <w:color w:val="auto"/>
          <w:lang w:val="en-US" w:eastAsia="zh-CN"/>
        </w:rPr>
      </w:pPr>
      <w:bookmarkStart w:id="54" w:name="_Toc20712"/>
      <w:bookmarkStart w:id="55" w:name="_Toc16156"/>
      <w:r>
        <w:rPr>
          <w:rFonts w:hint="eastAsia" w:ascii="仿宋_GB2312" w:hAnsi="宋体" w:eastAsia="仿宋_GB2312" w:cs="仿宋_GB2312"/>
          <w:color w:val="auto"/>
          <w:kern w:val="0"/>
          <w:sz w:val="32"/>
          <w:szCs w:val="32"/>
          <w:lang w:val="en-US" w:eastAsia="zh-CN" w:bidi="ar"/>
        </w:rPr>
        <w:t>加强城市基础设施安全建设</w:t>
      </w:r>
      <w:r>
        <w:rPr>
          <w:rFonts w:hint="eastAsia" w:ascii="仿宋_GB2312" w:hAnsi="宋体"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推动雪亮工程，完善公共安全视频网络，实现“全域覆盖、全网共享、全时可用、全程可控”的公共安全视频监控建设联网应用；完善县级社会治安综合治理信息平台，构建县、乡镇</w:t>
      </w:r>
      <w:r>
        <w:rPr>
          <w:rFonts w:hint="eastAsia" w:ascii="仿宋_GB2312" w:hAnsi="宋体" w:cs="仿宋_GB2312"/>
          <w:color w:val="auto"/>
          <w:kern w:val="0"/>
          <w:sz w:val="32"/>
          <w:szCs w:val="32"/>
          <w:lang w:val="en-US" w:eastAsia="zh-CN" w:bidi="ar"/>
        </w:rPr>
        <w:t>（开发区）</w:t>
      </w:r>
      <w:r>
        <w:rPr>
          <w:rFonts w:hint="eastAsia" w:ascii="仿宋_GB2312" w:hAnsi="宋体" w:eastAsia="仿宋_GB2312" w:cs="仿宋_GB2312"/>
          <w:color w:val="auto"/>
          <w:kern w:val="0"/>
          <w:sz w:val="32"/>
          <w:szCs w:val="32"/>
          <w:lang w:val="en-US" w:eastAsia="zh-CN" w:bidi="ar"/>
        </w:rPr>
        <w:t>两级联动的数字化社会治安防控体系，实现基层网格信息数据与综治信息平台互联互通，提升基层网格化服务管理</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ascii="仿宋_GB2312" w:hAnsi="宋体" w:eastAsia="仿宋_GB2312" w:cs="仿宋_GB2312"/>
          <w:color w:val="auto"/>
          <w:kern w:val="0"/>
          <w:sz w:val="32"/>
          <w:szCs w:val="32"/>
          <w:lang w:val="en-US" w:eastAsia="zh-CN" w:bidi="ar"/>
        </w:rPr>
        <w:t>水平。强化公安信息、社会治安信息、互联网信息、视频信息等数据资源的汇聚整合、综合应用与智能研判，提升公共安全事件监测预警、侦查破案、治安防控、社会治理、反恐维稳等能力。发展智慧警务，推进人脸识别、视频结构化、智能感知、空间地理信息等技术在社会治安领域的应用。加强智慧社区建设，对全县小区出入口等重点位置监测，实现人员、车辆的可管可控，同时将智慧社区建设纳入到老旧小区改造，特别是封闭式小区改造的民生工程中。</w:t>
      </w:r>
      <w:bookmarkEnd w:id="54"/>
      <w:bookmarkEnd w:id="55"/>
    </w:p>
    <w:p>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80" w:lineRule="exact"/>
        <w:ind w:firstLine="643" w:firstLineChars="200"/>
        <w:textAlignment w:val="auto"/>
        <w:rPr>
          <w:rFonts w:hint="eastAsia" w:ascii="楷体" w:hAnsi="楷体" w:eastAsia="楷体" w:cs="楷体"/>
          <w:b/>
          <w:bCs/>
          <w:color w:val="auto"/>
          <w:lang w:val="en-US" w:eastAsia="zh-CN"/>
        </w:rPr>
      </w:pPr>
      <w:bookmarkStart w:id="56" w:name="_Toc16587"/>
      <w:bookmarkStart w:id="57" w:name="_Toc2556"/>
      <w:r>
        <w:rPr>
          <w:rFonts w:hint="eastAsia" w:ascii="楷体" w:hAnsi="楷体" w:eastAsia="楷体" w:cs="楷体"/>
          <w:b/>
          <w:bCs/>
          <w:color w:val="auto"/>
          <w:lang w:val="en-US" w:eastAsia="zh-CN"/>
        </w:rPr>
        <w:t>2.提升全县交通综合治理能力</w:t>
      </w:r>
      <w:bookmarkEnd w:id="56"/>
      <w:bookmarkEnd w:id="57"/>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left="0"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建设智慧交通一体化云平台，构建交通综合指挥监控一张图，实现全县交通的统一管理、统一指挥；建设交通大脑，为制定面向市民出行服务、交通问题综合策略和公共政策决策提供支持；构建动静结合的违法监控环境，将道路交通安全信息资源与社会信息资源融合创新，打造“数字交警”管理运行新形态；推广无感停车和车路协同应用拓展，实现智慧化服务水平的提升。</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default" w:ascii="楷体" w:hAnsi="楷体" w:eastAsia="楷体" w:cs="楷体"/>
          <w:b/>
          <w:bCs/>
          <w:color w:val="auto"/>
          <w:lang w:val="en-US" w:eastAsia="zh-CN"/>
        </w:rPr>
      </w:pPr>
      <w:bookmarkStart w:id="58" w:name="_Toc27611"/>
      <w:bookmarkStart w:id="59" w:name="_Toc32677"/>
      <w:r>
        <w:rPr>
          <w:rFonts w:hint="eastAsia" w:ascii="楷体" w:hAnsi="楷体" w:eastAsia="楷体" w:cs="楷体"/>
          <w:b/>
          <w:bCs/>
          <w:color w:val="auto"/>
          <w:lang w:val="en-US" w:eastAsia="zh-CN"/>
        </w:rPr>
        <w:t>3.提升水利资源治理水平</w:t>
      </w:r>
      <w:bookmarkEnd w:id="58"/>
      <w:bookmarkEnd w:id="59"/>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Chars="0" w:firstLine="640" w:firstLineChars="200"/>
        <w:textAlignment w:val="auto"/>
        <w:rPr>
          <w:color w:val="auto"/>
        </w:rPr>
      </w:pPr>
      <w:r>
        <w:rPr>
          <w:rFonts w:hint="eastAsia" w:ascii="仿宋_GB2312" w:hAnsi="仿宋_GB2312" w:eastAsia="仿宋_GB2312" w:cs="仿宋_GB2312"/>
          <w:b w:val="0"/>
          <w:bCs w:val="0"/>
          <w:color w:val="auto"/>
          <w:kern w:val="2"/>
          <w:sz w:val="32"/>
          <w:szCs w:val="32"/>
          <w:lang w:val="en-US" w:eastAsia="zh-CN" w:bidi="ar-SA"/>
        </w:rPr>
        <w:t>以“水利工程补短板、水利行业强监管”为目标，通过物联感知、云平台、大数据、人工智能和移动互联网等技术，结合BIM、GIS等基础平台，实现水利工程可视化动态监管，创新AI+水利数据模型，助力霍邱县工程水利、民生水利、资源水利、生态水利建设，为政府、主管部门决策提供智慧化手段，为社会公众参与水利信息管理和监管提供便捷窗口。</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lang w:val="en-US" w:eastAsia="zh-CN"/>
        </w:rPr>
      </w:pPr>
      <w:bookmarkStart w:id="60" w:name="_Toc13311"/>
      <w:bookmarkStart w:id="61" w:name="_Toc15797"/>
      <w:r>
        <w:rPr>
          <w:rFonts w:hint="eastAsia" w:ascii="楷体" w:hAnsi="楷体" w:eastAsia="楷体" w:cs="楷体"/>
          <w:b/>
          <w:bCs/>
          <w:color w:val="auto"/>
          <w:lang w:val="en-US" w:eastAsia="zh-CN"/>
        </w:rPr>
        <w:t>4.提升应急管理数字化水平</w:t>
      </w:r>
      <w:bookmarkEnd w:id="60"/>
      <w:bookmarkEnd w:id="6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rPr>
        <w:t>完善应急指挥体系，推动应急响应和指挥决策一体化平台建设，深化应急管理领域业务联防联动，提升突发事件监测、预警和应急处置能力。推动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级应急平台向上与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省应急管理综合应用平台衔接，向下贯通各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开发区</w:t>
      </w:r>
      <w:r>
        <w:rPr>
          <w:rFonts w:hint="eastAsia" w:ascii="仿宋_GB2312" w:hAnsi="仿宋_GB2312" w:eastAsia="仿宋_GB2312" w:cs="仿宋_GB2312"/>
          <w:color w:val="auto"/>
          <w:sz w:val="32"/>
          <w:szCs w:val="32"/>
        </w:rPr>
        <w:t>）应急平台，形成一体化全覆盖的应急管理体系。构建应急管理大数据资源服务体系，整合应急、公安、市场监管、地质、消防、气象等信息，促进应急管理数据共享。加强应急大数据挖掘分析应用，开展应急事件、风险源等数据关联分析、预测预警和综合研判，提高应急响应和指挥决策支撑能力。</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lang w:val="en-US" w:eastAsia="zh-CN"/>
        </w:rPr>
      </w:pPr>
      <w:bookmarkStart w:id="62" w:name="_Toc17782"/>
      <w:bookmarkStart w:id="63" w:name="_Toc20061"/>
      <w:r>
        <w:rPr>
          <w:rFonts w:hint="eastAsia" w:ascii="楷体" w:hAnsi="楷体" w:eastAsia="楷体" w:cs="楷体"/>
          <w:b/>
          <w:bCs/>
          <w:color w:val="auto"/>
          <w:lang w:val="en-US" w:eastAsia="zh-CN"/>
        </w:rPr>
        <w:t>5.提升环境治理监测水平</w:t>
      </w:r>
      <w:bookmarkEnd w:id="62"/>
      <w:bookmarkEnd w:id="63"/>
      <w:r>
        <w:rPr>
          <w:rFonts w:hint="eastAsia" w:ascii="楷体" w:hAnsi="楷体" w:eastAsia="楷体" w:cs="楷体"/>
          <w:b/>
          <w:bCs/>
          <w:color w:val="auto"/>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加强生态环境数据资源规划，推动生态环境数据规范采集、整合与共享，构建覆盖环境全业务的大数据资源体系。</w:t>
      </w:r>
      <w:r>
        <w:rPr>
          <w:rFonts w:hint="eastAsia" w:ascii="仿宋_GB2312" w:hAnsi="仿宋_GB2312" w:eastAsia="仿宋_GB2312" w:cs="仿宋_GB2312"/>
          <w:color w:val="auto"/>
          <w:sz w:val="32"/>
          <w:szCs w:val="32"/>
          <w:lang w:val="en-US" w:eastAsia="zh-CN"/>
        </w:rPr>
        <w:t>以“监测全覆盖，过程全监管，决策全智能，企业无遗漏，风险无盲点，服务无死角”的“三全三无”创新管理理念，打造生态环境监测体系应用，实现环境有效管理、智能决策以及精准服务的环境管理新格局，全面助力打赢污染防治攻坚战，改善霍邱环境质量，建成美丽霍邱。</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lang w:val="en-US" w:eastAsia="zh-CN"/>
        </w:rPr>
      </w:pPr>
      <w:bookmarkStart w:id="64" w:name="_Toc12979"/>
      <w:bookmarkStart w:id="65" w:name="_Toc4854"/>
      <w:r>
        <w:rPr>
          <w:rFonts w:hint="eastAsia" w:ascii="楷体" w:hAnsi="楷体" w:eastAsia="楷体" w:cs="楷体"/>
          <w:b/>
          <w:bCs/>
          <w:color w:val="auto"/>
          <w:lang w:val="en-US" w:eastAsia="zh-CN"/>
        </w:rPr>
        <w:t>6.提升市场监管数字化水平</w:t>
      </w:r>
      <w:bookmarkEnd w:id="64"/>
      <w:bookmarkEnd w:id="65"/>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加快市场监管大数据中心建设，形成“大平台支撑、大数据慧治、大系统融合、大服务惠民、大监管共治”的数字化市场监管发展格局。构建市场监管大数据资源体系，创新数据采集整合方式，整合市场监管部门、业务、电商平台、社交媒体等数据，提升多元化采集和主题化汇聚能力。</w:t>
      </w:r>
      <w:r>
        <w:rPr>
          <w:rFonts w:hint="eastAsia" w:ascii="仿宋_GB2312" w:hAnsi="仿宋_GB2312" w:eastAsia="仿宋_GB2312" w:cs="仿宋_GB2312"/>
          <w:color w:val="auto"/>
          <w:sz w:val="32"/>
          <w:szCs w:val="32"/>
          <w:lang w:val="en-US" w:eastAsia="zh-CN"/>
        </w:rPr>
        <w:t>运用“互联网+”、人工智能、区块链等技术手段，市场监管方式，提升市场监管效能。整合市场监管部门的数据资源，形成跨部门、跨层级、跨区域联合监管机制。</w:t>
      </w:r>
      <w:r>
        <w:rPr>
          <w:rFonts w:hint="eastAsia" w:ascii="仿宋_GB2312" w:hAnsi="仿宋_GB2312" w:eastAsia="仿宋_GB2312" w:cs="仿宋_GB2312"/>
          <w:color w:val="auto"/>
          <w:sz w:val="32"/>
          <w:szCs w:val="32"/>
        </w:rPr>
        <w:t>汇聚市场准入、生产经营、投诉举报、违法失信等数据，开展统计、预测、预警、预报、评估等大数据关联分析与应用，及时掌握市场主体经营状况，提升市场监管风险预判和处置能力。</w:t>
      </w:r>
      <w:r>
        <w:rPr>
          <w:rFonts w:hint="eastAsia" w:ascii="仿宋_GB2312" w:hAnsi="宋体" w:eastAsia="仿宋_GB2312" w:cs="仿宋_GB2312"/>
          <w:color w:val="auto"/>
          <w:kern w:val="0"/>
          <w:sz w:val="31"/>
          <w:szCs w:val="31"/>
          <w:lang w:val="en-US" w:eastAsia="zh-CN" w:bidi="ar"/>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lang w:val="en-US" w:eastAsia="zh-CN"/>
        </w:rPr>
      </w:pPr>
      <w:bookmarkStart w:id="66" w:name="_Toc7759"/>
      <w:bookmarkStart w:id="67" w:name="_Toc9760"/>
      <w:r>
        <w:rPr>
          <w:rFonts w:hint="eastAsia" w:ascii="楷体" w:hAnsi="楷体" w:eastAsia="楷体" w:cs="楷体"/>
          <w:b/>
          <w:bCs/>
          <w:color w:val="auto"/>
          <w:lang w:val="en-US" w:eastAsia="zh-CN"/>
        </w:rPr>
        <w:t>7.构建以信用为基础的社会治理模式</w:t>
      </w:r>
      <w:bookmarkEnd w:id="66"/>
      <w:bookmarkEnd w:id="67"/>
    </w:p>
    <w:p>
      <w:pPr>
        <w:keepNext w:val="0"/>
        <w:keepLines w:val="0"/>
        <w:pageBreakBefore w:val="0"/>
        <w:widowControl w:val="0"/>
        <w:kinsoku/>
        <w:wordWrap/>
        <w:overflowPunct/>
        <w:topLinePunct w:val="0"/>
        <w:autoSpaceDE/>
        <w:autoSpaceDN/>
        <w:bidi w:val="0"/>
        <w:adjustRightInd/>
        <w:snapToGrid/>
        <w:spacing w:line="580" w:lineRule="exact"/>
        <w:ind w:left="0" w:firstLine="620" w:firstLineChars="200"/>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依托市公共信用信息平台及县数据中心，打通多部门数据，进一步归集政务部门和公共机构在履职过程中产生和收集的公共信用信息，以自然人身份证号码、法人统一社会信用代码为关键要素，建立和完善自然人、企业法人、非企业法人霍邱县公共信用数据库。支持征信服务机构与政务部门、企事业单位、社会组织等深入合作，依法采集、整合在市场交易和社会交往活动中形成的信用信息，促进信用信息的深度融合与协同使用。鼓励政府部门在项目投资、公共财政资金使用、政府采购、招标投标、公务人员录用等领域，加强信用产品和服务的应用。构建信用数据监管模型，开展信用信息关联分析、风险预警评估。引入第三方信用机构，构建覆盖全县企业及市民的信用评分机制。打造以信用为基础的社会治理模式，构建政府、社会共同参与的守信联合激励和失信联合惩戒机制，增强社会诚信和自治能力。</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80" w:lineRule="exact"/>
        <w:ind w:leftChars="200"/>
        <w:textAlignment w:val="auto"/>
        <w:rPr>
          <w:rFonts w:hint="eastAsia" w:ascii="楷体" w:hAnsi="楷体" w:eastAsia="楷体" w:cs="楷体"/>
          <w:b/>
          <w:bCs/>
          <w:color w:val="auto"/>
          <w:lang w:val="en-US" w:eastAsia="zh-CN"/>
        </w:rPr>
      </w:pPr>
      <w:bookmarkStart w:id="68" w:name="_Toc14539"/>
      <w:bookmarkStart w:id="69" w:name="_Toc15315"/>
      <w:r>
        <w:rPr>
          <w:rFonts w:hint="eastAsia" w:ascii="楷体" w:hAnsi="楷体" w:eastAsia="楷体" w:cs="楷体"/>
          <w:b/>
          <w:bCs/>
          <w:color w:val="auto"/>
          <w:lang w:val="en-US" w:eastAsia="zh-CN"/>
        </w:rPr>
        <w:t>8.提升网络空间综合治理能力</w:t>
      </w:r>
      <w:bookmarkEnd w:id="68"/>
      <w:bookmarkEnd w:id="69"/>
      <w:r>
        <w:rPr>
          <w:rFonts w:hint="eastAsia" w:ascii="楷体" w:hAnsi="楷体" w:eastAsia="楷体" w:cs="楷体"/>
          <w:b/>
          <w:bCs/>
          <w:color w:val="auto"/>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0" w:right="0"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构建多类型、多渠道、多行业的互联网媒体融合监管机制，对霍邱网络媒体、论坛、APP、属地网站上的违法违规内容监管，重点关注黄赌毒、网络暴恐、社会网络意识形态等领域，精准掌握舆情信息及行业互联网信息。</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Chars="200"/>
        <w:jc w:val="both"/>
        <w:textAlignment w:val="auto"/>
        <w:rPr>
          <w:rFonts w:hint="eastAsia" w:ascii="楷体" w:hAnsi="楷体" w:eastAsia="楷体" w:cs="楷体"/>
          <w:b/>
          <w:color w:val="auto"/>
        </w:rPr>
      </w:pPr>
      <w:r>
        <w:rPr>
          <w:rFonts w:hint="eastAsia" w:ascii="楷体" w:hAnsi="楷体" w:eastAsia="楷体" w:cs="楷体"/>
          <w:b/>
          <w:color w:val="auto"/>
          <w:lang w:val="en-US" w:eastAsia="zh-CN"/>
        </w:rPr>
        <w:t>9.</w:t>
      </w:r>
      <w:r>
        <w:rPr>
          <w:rFonts w:hint="eastAsia" w:ascii="楷体" w:hAnsi="楷体" w:eastAsia="楷体" w:cs="楷体"/>
          <w:b/>
          <w:color w:val="auto"/>
        </w:rPr>
        <w:t>发展“互联网+双创”</w:t>
      </w:r>
    </w:p>
    <w:p>
      <w:pPr>
        <w:pStyle w:val="1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ascii="Times New Roman" w:hAnsi="Times New Roman"/>
          <w:color w:val="auto"/>
        </w:rPr>
      </w:pPr>
      <w:r>
        <w:rPr>
          <w:rFonts w:hint="eastAsia" w:ascii="Times New Roman" w:hAnsi="Times New Roman"/>
          <w:color w:val="auto"/>
        </w:rPr>
        <w:t>支持</w:t>
      </w:r>
      <w:r>
        <w:rPr>
          <w:rFonts w:hint="eastAsia" w:ascii="Times New Roman" w:hAnsi="Times New Roman"/>
          <w:color w:val="auto"/>
          <w:lang w:eastAsia="zh-CN"/>
        </w:rPr>
        <w:t>全县</w:t>
      </w:r>
      <w:r>
        <w:rPr>
          <w:rFonts w:hint="eastAsia" w:ascii="Times New Roman" w:hAnsi="Times New Roman"/>
          <w:color w:val="auto"/>
        </w:rPr>
        <w:t>创建基于互联网的“双创”平台，集聚、共享全球范围内创新资源，探索众包研发、协同设计、协同制造等新模式。支持制造企业和互联网企业开展平台建设、技术研发、产品创新、品牌培育、配套服务等领域合作，实现制造能力的在线发布、协同和交易，积极发展面向制造环节的分享经济，推动研发设计、生产制造和营销服务模式变革，提高创新效率。</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Chars="200"/>
        <w:jc w:val="both"/>
        <w:textAlignment w:val="auto"/>
        <w:rPr>
          <w:rFonts w:hint="eastAsia" w:ascii="楷体" w:hAnsi="楷体" w:eastAsia="楷体" w:cs="楷体"/>
          <w:b/>
          <w:color w:val="auto"/>
          <w:lang w:val="en-US" w:eastAsia="zh-CN"/>
        </w:rPr>
      </w:pPr>
      <w:r>
        <w:rPr>
          <w:rFonts w:hint="eastAsia" w:ascii="楷体" w:hAnsi="楷体" w:eastAsia="楷体" w:cs="楷体"/>
          <w:b/>
          <w:color w:val="auto"/>
          <w:lang w:val="en-US" w:eastAsia="zh-CN"/>
        </w:rPr>
        <w:t>10.发展“互联网+设计”</w:t>
      </w:r>
    </w:p>
    <w:p>
      <w:pPr>
        <w:pStyle w:val="1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ascii="Times New Roman" w:hAnsi="Times New Roman"/>
          <w:color w:val="auto"/>
        </w:rPr>
      </w:pPr>
      <w:r>
        <w:rPr>
          <w:rFonts w:hint="eastAsia" w:ascii="Times New Roman" w:hAnsi="Times New Roman"/>
          <w:color w:val="auto"/>
        </w:rPr>
        <w:t>大力推进工业创新服务平台建设，加强研发设计机构和制造企业的合作对接和融合发展，引导企业使用众包众创等新型研发模式，通过开放平台集聚大众智慧解决企业的产品设计和研发问题。以国家级、省级工业设计中心为依托，建设一批省级互联网工业设计中心，发展网络协同设计、众包设计、虚拟仿真、3D打印等新模式。支持互联网企业与制造企业、工业设计机构开展新产品预售、消费行为分析等合作，引导企业面向消费者优化工业设计，扩大产品有效供给。</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0" w:name="_Toc1690"/>
      <w:bookmarkStart w:id="71" w:name="_Toc470523358"/>
      <w:r>
        <w:rPr>
          <w:rFonts w:hint="eastAsia" w:ascii="黑体" w:hAnsi="黑体" w:eastAsia="黑体" w:cs="黑体"/>
          <w:b w:val="0"/>
          <w:bCs w:val="0"/>
          <w:color w:val="auto"/>
          <w:sz w:val="32"/>
          <w:szCs w:val="32"/>
          <w:lang w:val="en-US" w:eastAsia="zh-CN"/>
        </w:rPr>
        <w:t>（五）大力推进数字农村，助力美丽乡村建设</w:t>
      </w:r>
      <w:bookmarkEnd w:id="70"/>
      <w:bookmarkEnd w:id="71"/>
    </w:p>
    <w:p>
      <w:pPr>
        <w:pStyle w:val="18"/>
        <w:keepNext w:val="0"/>
        <w:keepLines w:val="0"/>
        <w:pageBreakBefore w:val="0"/>
        <w:widowControl w:val="0"/>
        <w:kinsoku/>
        <w:wordWrap/>
        <w:overflowPunct/>
        <w:topLinePunct w:val="0"/>
        <w:autoSpaceDE/>
        <w:autoSpaceDN/>
        <w:bidi w:val="0"/>
        <w:spacing w:line="580" w:lineRule="exact"/>
        <w:ind w:left="0" w:leftChars="0" w:firstLine="640" w:firstLineChars="200"/>
        <w:jc w:val="both"/>
        <w:textAlignment w:val="auto"/>
        <w:rPr>
          <w:rFonts w:ascii="Times New Roman" w:hAnsi="Times New Roman"/>
          <w:b/>
          <w:color w:val="auto"/>
        </w:rPr>
      </w:pPr>
      <w:r>
        <w:rPr>
          <w:rFonts w:hint="eastAsia" w:ascii="Times New Roman" w:hAnsi="Times New Roman"/>
          <w:color w:val="auto"/>
        </w:rPr>
        <w:t>依托</w:t>
      </w:r>
      <w:r>
        <w:rPr>
          <w:rFonts w:hint="eastAsia" w:ascii="Times New Roman" w:hAnsi="Times New Roman"/>
          <w:color w:val="auto"/>
          <w:lang w:eastAsia="zh-CN"/>
        </w:rPr>
        <w:t>霍邱</w:t>
      </w:r>
      <w:r>
        <w:rPr>
          <w:rFonts w:hint="eastAsia" w:ascii="Times New Roman" w:hAnsi="Times New Roman"/>
          <w:color w:val="auto"/>
        </w:rPr>
        <w:t>良好的农业基础，积极运用信息技术改造提升农业生产，大力推进信息技术在农业生产和经营、农产品市场流通和安全监管中的应用，积极创建一流的农村</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ascii="Times New Roman" w:hAnsi="Times New Roman"/>
          <w:color w:val="auto"/>
        </w:rPr>
        <w:t>示范区，促进农业现代化水平的提升。</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Chars="200"/>
        <w:jc w:val="both"/>
        <w:textAlignment w:val="auto"/>
        <w:rPr>
          <w:rFonts w:hint="eastAsia" w:ascii="楷体" w:hAnsi="楷体" w:eastAsia="楷体" w:cs="楷体"/>
          <w:b/>
          <w:color w:val="auto"/>
          <w:lang w:val="en-US" w:eastAsia="zh-CN"/>
        </w:rPr>
      </w:pPr>
      <w:r>
        <w:rPr>
          <w:rFonts w:hint="eastAsia" w:ascii="楷体" w:hAnsi="楷体" w:eastAsia="楷体" w:cs="楷体"/>
          <w:b/>
          <w:color w:val="auto"/>
          <w:lang w:val="en-US" w:eastAsia="zh-CN"/>
        </w:rPr>
        <w:t>1.加强农村农业信息服务</w:t>
      </w:r>
    </w:p>
    <w:p>
      <w:pPr>
        <w:pStyle w:val="1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ascii="Times New Roman" w:hAnsi="Times New Roman"/>
          <w:b/>
          <w:color w:val="auto"/>
        </w:rPr>
      </w:pPr>
      <w:r>
        <w:rPr>
          <w:rFonts w:hint="eastAsia" w:ascii="Times New Roman" w:hAnsi="Times New Roman"/>
          <w:color w:val="auto"/>
        </w:rPr>
        <w:t>大力整合各部门服务新农村建设的资源，完善“</w:t>
      </w:r>
      <w:r>
        <w:rPr>
          <w:rFonts w:hint="eastAsia" w:ascii="Times New Roman" w:hAnsi="Times New Roman"/>
          <w:color w:val="auto"/>
          <w:lang w:eastAsia="zh-CN"/>
        </w:rPr>
        <w:t>霍邱</w:t>
      </w:r>
      <w:r>
        <w:rPr>
          <w:rFonts w:hint="eastAsia" w:ascii="Times New Roman" w:hAnsi="Times New Roman"/>
          <w:color w:val="auto"/>
        </w:rPr>
        <w:t>县数字农业网”，</w:t>
      </w:r>
      <w:r>
        <w:rPr>
          <w:rFonts w:hint="eastAsia" w:ascii="Times New Roman" w:hAnsi="Times New Roman"/>
          <w:color w:val="auto"/>
          <w:lang w:eastAsia="zh-CN"/>
        </w:rPr>
        <w:t>农技</w:t>
      </w:r>
      <w:r>
        <w:rPr>
          <w:rFonts w:hint="eastAsia" w:ascii="Times New Roman" w:hAnsi="Times New Roman"/>
          <w:color w:val="auto"/>
          <w:lang w:val="en-US" w:eastAsia="zh-CN"/>
        </w:rPr>
        <w:t>12316</w:t>
      </w:r>
      <w:r>
        <w:rPr>
          <w:rFonts w:hint="eastAsia" w:ascii="Times New Roman" w:hAnsi="Times New Roman"/>
          <w:color w:val="auto"/>
          <w:lang w:eastAsia="zh-CN"/>
        </w:rPr>
        <w:t>服务</w:t>
      </w:r>
      <w:r>
        <w:rPr>
          <w:rFonts w:hint="eastAsia" w:ascii="Times New Roman" w:hAnsi="Times New Roman"/>
          <w:color w:val="auto"/>
        </w:rPr>
        <w:t>热线，“农民信箱”等农村综合信息服务平台建设，形成信息的收集、传递、分析、发布、共享体系；根据各地农村、农民的实际需求，有针对性提供统一的农业资源环境、农业政策法规、农业市场供求、农业技术咨询、农业监测预警、特色生态农业服务、远程教育等公益服务。全面推行农村集体“三资”管理</w:t>
      </w:r>
      <w:r>
        <w:rPr>
          <w:rFonts w:hint="eastAsia" w:ascii="Times New Roman" w:hAnsi="Times New Roman"/>
          <w:color w:val="auto"/>
          <w:lang w:eastAsia="zh-CN"/>
        </w:rPr>
        <w:t>智能</w:t>
      </w:r>
      <w:r>
        <w:rPr>
          <w:rFonts w:hint="eastAsia" w:ascii="Times New Roman" w:hAnsi="Times New Roman"/>
          <w:color w:val="auto"/>
        </w:rPr>
        <w:t>化。建立土地流转、招商引资，现代农业、农产品基地、农业项目管理、农业统计等农业工作数据库。逐步实行农业产业管理网格化、数据化，提高农业管理办公自动化水平，全县开展</w:t>
      </w:r>
      <w:r>
        <w:rPr>
          <w:rFonts w:hint="eastAsia" w:ascii="Times New Roman" w:hAnsi="Times New Roman"/>
          <w:color w:val="auto"/>
          <w:lang w:eastAsia="zh-CN"/>
        </w:rPr>
        <w:t>益农信息服务社</w:t>
      </w:r>
      <w:r>
        <w:rPr>
          <w:rFonts w:hint="eastAsia" w:ascii="Times New Roman" w:hAnsi="Times New Roman"/>
          <w:color w:val="auto"/>
        </w:rPr>
        <w:t>，建立农村综合信息服务站管理员队伍，各村设置</w:t>
      </w:r>
      <w:r>
        <w:rPr>
          <w:rFonts w:hint="eastAsia" w:ascii="Times New Roman" w:hAnsi="Times New Roman"/>
          <w:color w:val="auto"/>
          <w:lang w:eastAsia="zh-CN"/>
        </w:rPr>
        <w:t>专（兼）职</w:t>
      </w:r>
      <w:r>
        <w:rPr>
          <w:rFonts w:hint="eastAsia" w:ascii="Times New Roman" w:hAnsi="Times New Roman"/>
          <w:color w:val="auto"/>
        </w:rPr>
        <w:t>信息联络员，并定期进行培训。</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Chars="200"/>
        <w:jc w:val="both"/>
        <w:textAlignment w:val="auto"/>
        <w:rPr>
          <w:rFonts w:hint="eastAsia" w:ascii="楷体" w:hAnsi="楷体" w:eastAsia="楷体" w:cs="楷体"/>
          <w:b/>
          <w:color w:val="auto"/>
          <w:lang w:val="en-US" w:eastAsia="zh-CN"/>
        </w:rPr>
      </w:pPr>
      <w:r>
        <w:rPr>
          <w:rFonts w:hint="eastAsia" w:ascii="楷体" w:hAnsi="楷体" w:eastAsia="楷体" w:cs="楷体"/>
          <w:b/>
          <w:color w:val="auto"/>
          <w:lang w:val="en-US" w:eastAsia="zh-CN"/>
        </w:rPr>
        <w:t>2.推进农业生产与管理智能化</w:t>
      </w:r>
    </w:p>
    <w:p>
      <w:pPr>
        <w:pStyle w:val="1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ascii="Times New Roman" w:hAnsi="Times New Roman"/>
          <w:b/>
          <w:color w:val="auto"/>
        </w:rPr>
      </w:pPr>
      <w:r>
        <w:rPr>
          <w:rFonts w:hint="eastAsia" w:ascii="Times New Roman" w:hAnsi="Times New Roman"/>
          <w:color w:val="auto"/>
        </w:rPr>
        <w:t>推进地理信息系统、自动控制系统、</w:t>
      </w:r>
      <w:r>
        <w:rPr>
          <w:rFonts w:hint="eastAsia" w:ascii="Times New Roman" w:hAnsi="Times New Roman"/>
          <w:color w:val="auto"/>
          <w:lang w:eastAsia="zh-CN"/>
        </w:rPr>
        <w:t>地理标志信息系统、</w:t>
      </w:r>
      <w:r>
        <w:rPr>
          <w:rFonts w:hint="eastAsia" w:ascii="Times New Roman" w:hAnsi="Times New Roman"/>
          <w:color w:val="auto"/>
        </w:rPr>
        <w:t>射频识别系统等现代信息技术在现代农业生产的应用，提高现代农业生产设施装备的数字化、智能化水平。在种植领域，推进温室环境监控系统、植物生长管理系统、产品分级系统、自动收获采摘系统等信息技术的应用，实现农业种植的自动化、智能化和集约化；在养殖领域，建设一批集智能感知、智能传输、智能控制为一体的设施化畜禽养殖场，提高畜禽养殖的智能化及自动化水平。加快农机及农业装备与信息技术的融合，发展智能作业机具及装备。推进农业资源管理</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ascii="仿宋_GB2312" w:hAnsi="仿宋_GB2312" w:cs="仿宋_GB2312"/>
          <w:color w:val="auto"/>
          <w:kern w:val="2"/>
          <w:sz w:val="32"/>
          <w:szCs w:val="32"/>
          <w:lang w:val="en-US" w:eastAsia="zh-CN" w:bidi="ar-SA"/>
        </w:rPr>
        <w:t>，</w:t>
      </w:r>
      <w:r>
        <w:rPr>
          <w:rFonts w:hint="eastAsia" w:ascii="Times New Roman" w:hAnsi="Times New Roman"/>
          <w:color w:val="auto"/>
        </w:rPr>
        <w:t>加强农业</w:t>
      </w:r>
      <w:r>
        <w:rPr>
          <w:rFonts w:hint="eastAsia" w:ascii="Times New Roman" w:hAnsi="Times New Roman"/>
          <w:color w:val="auto"/>
          <w:lang w:eastAsia="zh-CN"/>
        </w:rPr>
        <w:t>数字</w:t>
      </w:r>
      <w:r>
        <w:rPr>
          <w:rFonts w:hint="eastAsia" w:ascii="Times New Roman" w:hAnsi="Times New Roman"/>
          <w:color w:val="auto"/>
        </w:rPr>
        <w:t>资源建设、整合土壤分析体系、灌溉监测体系、作物个体生长监控体系等涉农系统，加强本地农业信息的采集、加工和整理，建立健全集文字、数据、图像、视频等内容的多媒体农村公共信息资源数据库，形成多部门联动、一站式服务模式。积极开展农业地理信息系统试点建设，逐步建立包含土地资源、基本农田、标准农田、气象资料、土壤环境、地理状况、农民承包地管理等内容的地理信息数据库。</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Chars="200"/>
        <w:jc w:val="both"/>
        <w:textAlignment w:val="auto"/>
        <w:rPr>
          <w:rFonts w:hint="eastAsia" w:ascii="楷体" w:hAnsi="楷体" w:eastAsia="楷体" w:cs="楷体"/>
          <w:b/>
          <w:color w:val="auto"/>
          <w:lang w:val="en-US" w:eastAsia="zh-CN"/>
        </w:rPr>
      </w:pPr>
      <w:r>
        <w:rPr>
          <w:rFonts w:hint="eastAsia" w:ascii="楷体" w:hAnsi="楷体" w:eastAsia="楷体" w:cs="楷体"/>
          <w:b/>
          <w:color w:val="auto"/>
          <w:lang w:val="en-US" w:eastAsia="zh-CN"/>
        </w:rPr>
        <w:t>3.培育农业电子商务市场主体</w:t>
      </w:r>
    </w:p>
    <w:p>
      <w:pPr>
        <w:pStyle w:val="1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Times New Roman" w:hAnsi="Times New Roman"/>
          <w:color w:val="auto"/>
        </w:rPr>
      </w:pPr>
      <w:r>
        <w:rPr>
          <w:rFonts w:hint="eastAsia" w:ascii="Times New Roman" w:hAnsi="Times New Roman"/>
          <w:color w:val="auto"/>
        </w:rPr>
        <w:t>加强农</w:t>
      </w:r>
      <w:r>
        <w:rPr>
          <w:rFonts w:hint="eastAsia" w:ascii="Times New Roman" w:hAnsi="Times New Roman"/>
          <w:color w:val="auto"/>
          <w:lang w:eastAsia="zh-CN"/>
        </w:rPr>
        <w:t>业</w:t>
      </w:r>
      <w:r>
        <w:rPr>
          <w:rFonts w:hint="eastAsia" w:ascii="Times New Roman" w:hAnsi="Times New Roman"/>
          <w:color w:val="auto"/>
        </w:rPr>
        <w:t>电商产业基地，电商服务点和供应链建设，加强各类农业生产经营主体与大型电商平台合作，推广“田头市场</w:t>
      </w:r>
      <w:r>
        <w:rPr>
          <w:rFonts w:ascii="Times New Roman" w:hAnsi="Times New Roman"/>
          <w:color w:val="auto"/>
        </w:rPr>
        <w:t>+</w:t>
      </w:r>
      <w:r>
        <w:rPr>
          <w:rFonts w:hint="eastAsia" w:ascii="Times New Roman" w:hAnsi="Times New Roman"/>
          <w:color w:val="auto"/>
        </w:rPr>
        <w:t>电商企业</w:t>
      </w:r>
      <w:r>
        <w:rPr>
          <w:rFonts w:ascii="Times New Roman" w:hAnsi="Times New Roman"/>
          <w:color w:val="auto"/>
        </w:rPr>
        <w:t>+</w:t>
      </w:r>
      <w:r>
        <w:rPr>
          <w:rFonts w:hint="eastAsia" w:ascii="Times New Roman" w:hAnsi="Times New Roman"/>
          <w:color w:val="auto"/>
        </w:rPr>
        <w:t>城市终端配送”等营销模式，引导</w:t>
      </w:r>
      <w:r>
        <w:rPr>
          <w:rFonts w:hint="eastAsia" w:ascii="Times New Roman" w:hAnsi="Times New Roman"/>
          <w:color w:val="auto"/>
          <w:lang w:eastAsia="zh-CN"/>
        </w:rPr>
        <w:t>绿色农产品</w:t>
      </w:r>
      <w:r>
        <w:rPr>
          <w:rFonts w:hint="eastAsia" w:ascii="Times New Roman" w:hAnsi="Times New Roman"/>
          <w:color w:val="auto"/>
        </w:rPr>
        <w:t>抱团开拓网上市场，打造</w:t>
      </w:r>
      <w:r>
        <w:rPr>
          <w:rFonts w:hint="eastAsia" w:ascii="Times New Roman" w:hAnsi="Times New Roman"/>
          <w:color w:val="auto"/>
          <w:lang w:eastAsia="zh-CN"/>
        </w:rPr>
        <w:t>霍邱小龙虾</w:t>
      </w:r>
      <w:r>
        <w:rPr>
          <w:rFonts w:hint="eastAsia" w:ascii="Times New Roman" w:hAnsi="Times New Roman"/>
          <w:color w:val="auto"/>
        </w:rPr>
        <w:t>、</w:t>
      </w:r>
      <w:r>
        <w:rPr>
          <w:rFonts w:hint="eastAsia" w:ascii="Times New Roman" w:hAnsi="Times New Roman"/>
          <w:color w:val="auto"/>
          <w:lang w:eastAsia="zh-CN"/>
        </w:rPr>
        <w:t>朗德鹅肝、虾田米</w:t>
      </w:r>
      <w:r>
        <w:rPr>
          <w:rFonts w:hint="eastAsia" w:ascii="Times New Roman" w:hAnsi="Times New Roman"/>
          <w:color w:val="auto"/>
        </w:rPr>
        <w:t>等农副产品的电子商务产业基地。培育一批电子商务示范村，重点推动一批具有特色</w:t>
      </w:r>
      <w:r>
        <w:rPr>
          <w:rFonts w:hint="eastAsia" w:ascii="Times New Roman" w:hAnsi="Times New Roman"/>
          <w:color w:val="auto"/>
          <w:lang w:eastAsia="zh-CN"/>
        </w:rPr>
        <w:t>农</w:t>
      </w:r>
      <w:r>
        <w:rPr>
          <w:rFonts w:hint="eastAsia" w:ascii="Times New Roman" w:hAnsi="Times New Roman"/>
          <w:color w:val="auto"/>
        </w:rPr>
        <w:t>产品和电子商务从业人员等条件的乡村开展电子商务，进一步鼓励当地村民进行网络创业，促进网商在农村的集聚发展。鼓励农村集体留用地建设农业电子商务园、农业产业基地和仓储物流。推进“电子商务进万村工程”，建设一批新的电子商务进万村服务点，将村邮站建设成为集网上代购、产品配送、电商快件代投、农产品销售、快递信息服务等于一体的综合性农村物流配送中心。</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2" w:name="_Toc22097"/>
      <w:r>
        <w:rPr>
          <w:rFonts w:hint="eastAsia" w:ascii="黑体" w:hAnsi="黑体" w:eastAsia="黑体" w:cs="黑体"/>
          <w:b w:val="0"/>
          <w:bCs w:val="0"/>
          <w:color w:val="auto"/>
          <w:sz w:val="32"/>
          <w:szCs w:val="32"/>
          <w:lang w:val="en-US" w:eastAsia="zh-CN"/>
        </w:rPr>
        <w:t>（六）完善数据资源归集共享</w:t>
      </w:r>
      <w:bookmarkEnd w:id="72"/>
    </w:p>
    <w:p>
      <w:pPr>
        <w:pageBreakBefore w:val="0"/>
        <w:kinsoku/>
        <w:wordWrap/>
        <w:topLinePunct w:val="0"/>
        <w:autoSpaceDE/>
        <w:autoSpaceDN/>
        <w:bidi w:val="0"/>
        <w:spacing w:line="580" w:lineRule="exact"/>
        <w:textAlignment w:val="auto"/>
        <w:rPr>
          <w:rFonts w:hint="eastAsia" w:ascii="楷体" w:hAnsi="楷体" w:eastAsia="楷体" w:cs="楷体"/>
          <w:b/>
          <w:bCs/>
          <w:color w:val="auto"/>
        </w:rPr>
      </w:pPr>
      <w:r>
        <w:rPr>
          <w:rFonts w:hint="eastAsia" w:ascii="楷体" w:hAnsi="楷体" w:eastAsia="楷体" w:cs="楷体"/>
          <w:b/>
          <w:bCs/>
          <w:color w:val="auto"/>
          <w:lang w:val="en-US" w:eastAsia="zh-CN"/>
        </w:rPr>
        <w:t>1.</w:t>
      </w:r>
      <w:r>
        <w:rPr>
          <w:rFonts w:hint="eastAsia" w:ascii="楷体" w:hAnsi="楷体" w:eastAsia="楷体" w:cs="楷体"/>
          <w:b/>
          <w:bCs/>
          <w:color w:val="auto"/>
        </w:rPr>
        <w:t>全面梳理汇集政务数据</w:t>
      </w:r>
    </w:p>
    <w:p>
      <w:pPr>
        <w:pageBreakBefore w:val="0"/>
        <w:kinsoku/>
        <w:wordWrap/>
        <w:topLinePunct w:val="0"/>
        <w:autoSpaceDE/>
        <w:autoSpaceDN/>
        <w:bidi w:val="0"/>
        <w:spacing w:line="580" w:lineRule="exact"/>
        <w:textAlignment w:val="auto"/>
        <w:rPr>
          <w:rFonts w:hint="default"/>
          <w:color w:val="auto"/>
        </w:rPr>
      </w:pPr>
      <w:r>
        <w:rPr>
          <w:rFonts w:hint="default"/>
          <w:color w:val="auto"/>
        </w:rPr>
        <w:t>按照</w:t>
      </w:r>
      <w:r>
        <w:rPr>
          <w:rFonts w:hint="eastAsia"/>
          <w:color w:val="auto"/>
          <w:lang w:eastAsia="zh-CN"/>
        </w:rPr>
        <w:t>“</w:t>
      </w:r>
      <w:r>
        <w:rPr>
          <w:rFonts w:hint="default"/>
          <w:color w:val="auto"/>
        </w:rPr>
        <w:t>应归集</w:t>
      </w:r>
      <w:r>
        <w:rPr>
          <w:rFonts w:hint="eastAsia"/>
          <w:color w:val="auto"/>
          <w:lang w:eastAsia="zh-CN"/>
        </w:rPr>
        <w:t>、</w:t>
      </w:r>
      <w:r>
        <w:rPr>
          <w:rFonts w:hint="default"/>
          <w:color w:val="auto"/>
        </w:rPr>
        <w:t>尽归集</w:t>
      </w:r>
      <w:r>
        <w:rPr>
          <w:rFonts w:hint="eastAsia"/>
          <w:color w:val="auto"/>
          <w:lang w:eastAsia="zh-CN"/>
        </w:rPr>
        <w:t>”</w:t>
      </w:r>
      <w:r>
        <w:rPr>
          <w:rFonts w:hint="default"/>
          <w:color w:val="auto"/>
        </w:rPr>
        <w:t>的原则，扎实做好各类政务数据采集、校核、更新、整合等工作，除法律、法规</w:t>
      </w:r>
      <w:r>
        <w:rPr>
          <w:rFonts w:hint="eastAsia"/>
          <w:color w:val="auto"/>
          <w:lang w:eastAsia="zh-CN"/>
        </w:rPr>
        <w:t>另有</w:t>
      </w:r>
      <w:r>
        <w:rPr>
          <w:rFonts w:hint="default"/>
          <w:color w:val="auto"/>
        </w:rPr>
        <w:t>规定外，</w:t>
      </w:r>
      <w:r>
        <w:rPr>
          <w:rFonts w:hint="eastAsia"/>
          <w:color w:val="auto"/>
          <w:lang w:eastAsia="zh-CN"/>
        </w:rPr>
        <w:t>政务</w:t>
      </w:r>
      <w:r>
        <w:rPr>
          <w:rFonts w:hint="default"/>
          <w:color w:val="auto"/>
        </w:rPr>
        <w:t>部门不得拒绝归集数据。各部门按照政务数据资源目录推进政务数据统一汇聚，实现政务数据的一次采集、共享使用，建立起纵向全贯通、横向覆盖的数据共享交换体系。</w:t>
      </w:r>
    </w:p>
    <w:p>
      <w:pPr>
        <w:pageBreakBefore w:val="0"/>
        <w:kinsoku/>
        <w:wordWrap/>
        <w:topLinePunct w:val="0"/>
        <w:autoSpaceDE/>
        <w:autoSpaceDN/>
        <w:bidi w:val="0"/>
        <w:spacing w:line="580" w:lineRule="exact"/>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2.</w:t>
      </w:r>
      <w:r>
        <w:rPr>
          <w:rFonts w:hint="default" w:ascii="楷体" w:hAnsi="楷体" w:eastAsia="楷体" w:cs="楷体"/>
          <w:b/>
          <w:bCs/>
          <w:color w:val="auto"/>
          <w:lang w:val="en-US" w:eastAsia="zh-CN"/>
        </w:rPr>
        <w:t>推进社会数据归集</w:t>
      </w:r>
    </w:p>
    <w:p>
      <w:pPr>
        <w:pageBreakBefore w:val="0"/>
        <w:numPr>
          <w:ilvl w:val="0"/>
          <w:numId w:val="0"/>
        </w:numPr>
        <w:kinsoku/>
        <w:wordWrap/>
        <w:topLinePunct w:val="0"/>
        <w:autoSpaceDE/>
        <w:autoSpaceDN/>
        <w:bidi w:val="0"/>
        <w:spacing w:line="580" w:lineRule="exact"/>
        <w:ind w:firstLine="640" w:firstLineChars="200"/>
        <w:textAlignment w:val="auto"/>
        <w:rPr>
          <w:rFonts w:hint="default"/>
          <w:color w:val="auto"/>
        </w:rPr>
      </w:pPr>
      <w:r>
        <w:rPr>
          <w:rFonts w:hint="default"/>
          <w:color w:val="auto"/>
        </w:rPr>
        <w:t>按照</w:t>
      </w:r>
      <w:r>
        <w:rPr>
          <w:rFonts w:hint="eastAsia"/>
          <w:color w:val="auto"/>
          <w:lang w:eastAsia="zh-CN"/>
        </w:rPr>
        <w:t>“</w:t>
      </w:r>
      <w:r>
        <w:rPr>
          <w:rFonts w:hint="default"/>
          <w:color w:val="auto"/>
        </w:rPr>
        <w:t>需求导向、急用先行、分类推动、成熟一批、归集一批</w:t>
      </w:r>
      <w:r>
        <w:rPr>
          <w:rFonts w:hint="eastAsia"/>
          <w:color w:val="auto"/>
          <w:lang w:eastAsia="zh-CN"/>
        </w:rPr>
        <w:t>”</w:t>
      </w:r>
      <w:r>
        <w:rPr>
          <w:rFonts w:hint="default"/>
          <w:color w:val="auto"/>
        </w:rPr>
        <w:t>原则，归集汇聚社会数据，主要包括各部门及相关单位在社会发展、社会治理、社会服务、社会公用事业等领域采集和产生的数据资源，不断扩展更大范围社会数据汇集。</w:t>
      </w:r>
    </w:p>
    <w:p>
      <w:pPr>
        <w:pageBreakBefore w:val="0"/>
        <w:kinsoku/>
        <w:wordWrap/>
        <w:topLinePunct w:val="0"/>
        <w:autoSpaceDE/>
        <w:autoSpaceDN/>
        <w:bidi w:val="0"/>
        <w:spacing w:line="58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3.加快经济数据归集融合共享</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right="0" w:rightChars="0" w:firstLine="672" w:firstLineChars="200"/>
        <w:jc w:val="both"/>
        <w:textAlignment w:val="auto"/>
        <w:rPr>
          <w:rFonts w:hint="eastAsia" w:ascii="仿宋_GB2312" w:hAnsi="仿宋_GB2312" w:eastAsia="仿宋_GB2312" w:cs="仿宋_GB2312"/>
          <w:i w:val="0"/>
          <w:caps w:val="0"/>
          <w:color w:val="auto"/>
          <w:spacing w:val="8"/>
          <w:sz w:val="21"/>
          <w:szCs w:val="21"/>
        </w:rPr>
      </w:pPr>
      <w:r>
        <w:rPr>
          <w:rFonts w:hint="eastAsia" w:ascii="仿宋_GB2312" w:hAnsi="仿宋_GB2312" w:eastAsia="仿宋_GB2312" w:cs="仿宋_GB2312"/>
          <w:i w:val="0"/>
          <w:caps w:val="0"/>
          <w:color w:val="auto"/>
          <w:spacing w:val="8"/>
          <w:sz w:val="32"/>
          <w:szCs w:val="32"/>
          <w:shd w:val="clear" w:fill="FFFFFF"/>
        </w:rPr>
        <w:t>加大对政府各相关部门掌握的经济运行、行业管理等经济数据采集联通，逐步整合形成覆盖工业、农业、商业等一体的经济领域主题数据库，实现与江淮大数据中心无缝对接、实时联通、融合共享，充分发挥数据在经济运行、涉企政策制定、产业发展促进等方面的支撑作用。</w:t>
      </w:r>
    </w:p>
    <w:p>
      <w:pPr>
        <w:pStyle w:val="12"/>
        <w:pageBreakBefore w:val="0"/>
        <w:numPr>
          <w:ilvl w:val="0"/>
          <w:numId w:val="0"/>
        </w:numPr>
        <w:kinsoku/>
        <w:wordWrap/>
        <w:topLinePunct w:val="0"/>
        <w:autoSpaceDE/>
        <w:autoSpaceDN/>
        <w:bidi w:val="0"/>
        <w:spacing w:line="580" w:lineRule="exact"/>
        <w:ind w:leftChars="200"/>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4.构建以区块链对数据资源的全程高质量管控体系</w:t>
      </w:r>
    </w:p>
    <w:p>
      <w:pPr>
        <w:pStyle w:val="12"/>
        <w:pageBreakBefore w:val="0"/>
        <w:numPr>
          <w:ilvl w:val="0"/>
          <w:numId w:val="0"/>
        </w:numPr>
        <w:kinsoku/>
        <w:wordWrap/>
        <w:topLinePunct w:val="0"/>
        <w:autoSpaceDE/>
        <w:autoSpaceDN/>
        <w:bidi w:val="0"/>
        <w:spacing w:line="580" w:lineRule="exact"/>
        <w:ind w:firstLine="640" w:firstLineChars="200"/>
        <w:textAlignment w:val="auto"/>
        <w:rPr>
          <w:rFonts w:hint="eastAsia" w:ascii="Times New Roman" w:hAnsi="Times New Roman"/>
          <w:color w:val="auto"/>
          <w:lang w:val="en-US" w:eastAsia="zh-CN"/>
        </w:rPr>
      </w:pPr>
      <w:r>
        <w:rPr>
          <w:rFonts w:hint="eastAsia" w:ascii="仿宋_GB2312" w:hAnsi="仿宋_GB2312" w:eastAsia="仿宋_GB2312" w:cs="仿宋_GB2312"/>
          <w:color w:val="auto"/>
          <w:kern w:val="0"/>
          <w:sz w:val="32"/>
          <w:szCs w:val="32"/>
          <w:lang w:val="en-US" w:eastAsia="zh-CN" w:bidi="ar-SA"/>
        </w:rPr>
        <w:t>积极部署区块链服务网络（BSN）节点，打造高质量、定制化的区块链技术服务平台。利用人工智能、大数据、区块链等技术，助力治理交通、医疗、教育、旅游、社区等领域应用的精准分析、精准决策与执行跟踪。深化大数据、人工智能、区块链等技术在市场监管领域的融合应用，强化平台的智能监测、统计、分析、预警能力，实现监管过程全记录，监管数据可共享、可分析、可预警，提升市场监管精准化、智能化水平，增强政府公信力和执行力，实现智慧监管。</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60" w:beforeLines="50" w:beforeAutospacing="0" w:after="160" w:afterLines="50" w:afterAutospacing="0" w:line="580" w:lineRule="exact"/>
        <w:ind w:right="0" w:rightChars="0" w:firstLine="672" w:firstLineChars="200"/>
        <w:jc w:val="both"/>
        <w:textAlignment w:val="auto"/>
        <w:outlineLvl w:val="0"/>
        <w:rPr>
          <w:rFonts w:hint="default" w:ascii="方正黑体_GBK" w:hAnsi="方正黑体_GBK" w:eastAsia="方正黑体_GBK" w:cs="方正黑体_GBK"/>
          <w:i w:val="0"/>
          <w:caps w:val="0"/>
          <w:color w:val="auto"/>
          <w:spacing w:val="8"/>
          <w:sz w:val="32"/>
          <w:szCs w:val="32"/>
          <w:shd w:val="clear" w:fill="FFFFFF"/>
          <w:lang w:val="en-US" w:eastAsia="zh-CN"/>
        </w:rPr>
      </w:pPr>
      <w:bookmarkStart w:id="73" w:name="_Toc7159"/>
      <w:r>
        <w:rPr>
          <w:rFonts w:hint="eastAsia" w:ascii="方正黑体_GBK" w:hAnsi="方正黑体_GBK" w:eastAsia="方正黑体_GBK" w:cs="方正黑体_GBK"/>
          <w:i w:val="0"/>
          <w:caps w:val="0"/>
          <w:color w:val="auto"/>
          <w:spacing w:val="8"/>
          <w:sz w:val="32"/>
          <w:szCs w:val="32"/>
          <w:shd w:val="clear" w:fill="FFFFFF"/>
          <w:lang w:val="en-US" w:eastAsia="zh-CN"/>
        </w:rPr>
        <w:t>五、保障措施</w:t>
      </w:r>
      <w:bookmarkEnd w:id="50"/>
      <w:bookmarkEnd w:id="73"/>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4" w:name="_Toc7636"/>
      <w:r>
        <w:rPr>
          <w:rFonts w:hint="eastAsia" w:ascii="黑体" w:hAnsi="黑体" w:eastAsia="黑体" w:cs="黑体"/>
          <w:b w:val="0"/>
          <w:bCs w:val="0"/>
          <w:color w:val="auto"/>
          <w:sz w:val="32"/>
          <w:szCs w:val="32"/>
          <w:lang w:val="en-US" w:eastAsia="zh-CN"/>
        </w:rPr>
        <w:t>（一）加强规划的统筹协调和组织实施</w:t>
      </w:r>
      <w:bookmarkEnd w:id="74"/>
    </w:p>
    <w:p>
      <w:pPr>
        <w:pageBreakBefore w:val="0"/>
        <w:kinsoku/>
        <w:wordWrap/>
        <w:topLinePunct w:val="0"/>
        <w:autoSpaceDE/>
        <w:autoSpaceDN/>
        <w:bidi w:val="0"/>
        <w:spacing w:line="580" w:lineRule="exact"/>
        <w:textAlignment w:val="auto"/>
        <w:rPr>
          <w:color w:val="auto"/>
        </w:rPr>
      </w:pPr>
      <w:r>
        <w:rPr>
          <w:rFonts w:hint="eastAsia"/>
          <w:color w:val="auto"/>
          <w:lang w:val="en-US" w:eastAsia="zh-CN"/>
        </w:rPr>
        <w:t>建立健全</w:t>
      </w:r>
      <w:r>
        <w:rPr>
          <w:rFonts w:hint="eastAsia"/>
          <w:color w:val="auto"/>
          <w:sz w:val="32"/>
          <w:szCs w:val="40"/>
          <w:lang w:eastAsia="zh-CN"/>
        </w:rPr>
        <w:t>“</w:t>
      </w:r>
      <w:r>
        <w:rPr>
          <w:rFonts w:hint="default"/>
          <w:color w:val="auto"/>
          <w:sz w:val="32"/>
          <w:szCs w:val="40"/>
        </w:rPr>
        <w:t>数字</w:t>
      </w:r>
      <w:r>
        <w:rPr>
          <w:rFonts w:hint="eastAsia"/>
          <w:color w:val="auto"/>
          <w:sz w:val="32"/>
          <w:szCs w:val="40"/>
          <w:lang w:eastAsia="zh-CN"/>
        </w:rPr>
        <w:t>霍邱”</w:t>
      </w:r>
      <w:r>
        <w:rPr>
          <w:rFonts w:hint="eastAsia"/>
          <w:color w:val="auto"/>
          <w:lang w:val="en-US" w:eastAsia="zh-CN"/>
        </w:rPr>
        <w:t>领导决策机制，加强对</w:t>
      </w:r>
      <w:r>
        <w:rPr>
          <w:rFonts w:hint="eastAsia"/>
          <w:color w:val="auto"/>
          <w:sz w:val="32"/>
          <w:szCs w:val="40"/>
          <w:lang w:eastAsia="zh-CN"/>
        </w:rPr>
        <w:t>“</w:t>
      </w:r>
      <w:r>
        <w:rPr>
          <w:rFonts w:hint="default"/>
          <w:color w:val="auto"/>
          <w:sz w:val="32"/>
          <w:szCs w:val="40"/>
        </w:rPr>
        <w:t>数字</w:t>
      </w:r>
      <w:r>
        <w:rPr>
          <w:rFonts w:hint="eastAsia"/>
          <w:color w:val="auto"/>
          <w:sz w:val="32"/>
          <w:szCs w:val="40"/>
          <w:lang w:eastAsia="zh-CN"/>
        </w:rPr>
        <w:t>霍邱”</w:t>
      </w:r>
      <w:r>
        <w:rPr>
          <w:rFonts w:hint="eastAsia"/>
          <w:color w:val="auto"/>
          <w:lang w:val="en-US" w:eastAsia="zh-CN"/>
        </w:rPr>
        <w:t>建设的统筹协调，完善综合型智慧应用项目建设联合推进工作机制，加强对多部门联合承担智慧应用项目的统筹规划、建设实施、政策指导和重大问题协调。结合实际制定具体实施方案，进一步明确目标任务，确保落实到位。要加强组织实施，落实配套政策，结合实际科学合理定位，扎实有序推动</w:t>
      </w:r>
      <w:r>
        <w:rPr>
          <w:rFonts w:hint="eastAsia" w:ascii="仿宋_GB2312" w:hAnsi="仿宋_GB2312" w:cs="仿宋_GB2312"/>
          <w:color w:val="auto"/>
          <w:kern w:val="2"/>
          <w:sz w:val="32"/>
          <w:szCs w:val="32"/>
          <w:lang w:val="en-US" w:eastAsia="zh-CN" w:bidi="ar-SA"/>
        </w:rPr>
        <w:t>数字</w:t>
      </w:r>
      <w:r>
        <w:rPr>
          <w:rFonts w:hint="eastAsia"/>
          <w:color w:val="auto"/>
          <w:lang w:val="en-US" w:eastAsia="zh-CN"/>
        </w:rPr>
        <w:t>化发展。</w:t>
      </w:r>
    </w:p>
    <w:p>
      <w:pPr>
        <w:pageBreakBefore w:val="0"/>
        <w:numPr>
          <w:ilvl w:val="0"/>
          <w:numId w:val="2"/>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5" w:name="_Toc3132"/>
      <w:bookmarkStart w:id="76" w:name="_Toc54189535"/>
      <w:r>
        <w:rPr>
          <w:rFonts w:hint="eastAsia" w:ascii="黑体" w:hAnsi="黑体" w:eastAsia="黑体" w:cs="黑体"/>
          <w:b w:val="0"/>
          <w:bCs w:val="0"/>
          <w:color w:val="auto"/>
          <w:sz w:val="32"/>
          <w:szCs w:val="32"/>
          <w:lang w:val="en-US" w:eastAsia="zh-CN"/>
        </w:rPr>
        <w:t>完善推进数字化发展的体制机制</w:t>
      </w:r>
      <w:bookmarkEnd w:id="75"/>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bookmarkStart w:id="77" w:name="_Toc3339"/>
      <w:bookmarkStart w:id="78" w:name="_Toc24505"/>
      <w:r>
        <w:rPr>
          <w:rFonts w:hint="eastAsia" w:ascii="仿宋_GB2312" w:hAnsi="仿宋_GB2312" w:eastAsia="仿宋_GB2312" w:cs="仿宋_GB2312"/>
          <w:color w:val="auto"/>
          <w:kern w:val="2"/>
          <w:sz w:val="32"/>
          <w:szCs w:val="32"/>
          <w:lang w:val="en-US" w:eastAsia="zh-CN" w:bidi="ar-SA"/>
        </w:rPr>
        <w:t>加快构建适应信息时代跨界创新、融合创新和迭代创新的体制机制，打破部门和行业信息壁垒，推进简政放权、放管结合、优化服务改革，降低制度性交易成本，优化营商环境，落实企业创新主体、研发主体地位。加大</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领域关键环节市场化改革力度，推动建立统一开放、竞争有序的数据交换市场体系。积极运用大数据分析等技术手段，加强对市场主体的随机抽查等事中事后监管，依托国家企业信用信息公示系统，实施企业信用信息依法公示、社会监督。推动建立</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化领域信用管理机制，建立诚信档案、失信联合惩戒制度。加强网络资费行为监管，严格查处市场垄断行为。研究探索适应网络融合与</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化发展需要的统一监管制度，以创造公平竞争环境和保护消费者利益为重点，加快转变监管理念。完善政府采购管理及交易系统，建立政府采购信用评价系统，加强全</w:t>
      </w:r>
      <w:r>
        <w:rPr>
          <w:rFonts w:hint="eastAsia" w:ascii="仿宋_GB2312" w:hAnsi="仿宋_GB2312" w:cs="仿宋_GB2312"/>
          <w:color w:val="auto"/>
          <w:kern w:val="2"/>
          <w:sz w:val="32"/>
          <w:szCs w:val="32"/>
          <w:lang w:val="en-US" w:eastAsia="zh-CN" w:bidi="ar-SA"/>
        </w:rPr>
        <w:t>县</w:t>
      </w:r>
      <w:r>
        <w:rPr>
          <w:rFonts w:hint="eastAsia" w:ascii="仿宋_GB2312" w:hAnsi="仿宋_GB2312" w:eastAsia="仿宋_GB2312" w:cs="仿宋_GB2312"/>
          <w:color w:val="auto"/>
          <w:kern w:val="2"/>
          <w:sz w:val="32"/>
          <w:szCs w:val="32"/>
          <w:lang w:val="en-US" w:eastAsia="zh-CN" w:bidi="ar-SA"/>
        </w:rPr>
        <w:t>政府采购</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化建设。推进网络基础设施共建共享，提高网络基础设施利用效率。</w:t>
      </w:r>
      <w:bookmarkEnd w:id="77"/>
      <w:bookmarkEnd w:id="78"/>
    </w:p>
    <w:bookmarkEnd w:id="76"/>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79" w:name="_Toc22807"/>
      <w:bookmarkStart w:id="80" w:name="_Toc54189536"/>
      <w:r>
        <w:rPr>
          <w:rFonts w:hint="eastAsia" w:ascii="黑体" w:hAnsi="黑体" w:eastAsia="黑体" w:cs="黑体"/>
          <w:b w:val="0"/>
          <w:bCs w:val="0"/>
          <w:color w:val="auto"/>
          <w:sz w:val="32"/>
          <w:szCs w:val="32"/>
          <w:lang w:val="en-US" w:eastAsia="zh-CN"/>
        </w:rPr>
        <w:t>（三）加大财税金融支持力度</w:t>
      </w:r>
      <w:bookmarkEnd w:id="7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根据深化投资体制改革和金融体制改革的要求，加快研究制定</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化的投融资政策，积极引导非国有资本参与</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化建设。根据项目实际建设需求选择最优模式以及资本参与方，保障项目顺利运行。鼓励金融机构加强产品和服务创新，在风险可控的前提下，加大对</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化重点领域、重大工程和薄弱环节的金融支持。加强</w:t>
      </w:r>
      <w:r>
        <w:rPr>
          <w:rFonts w:hint="eastAsia" w:ascii="仿宋_GB2312" w:hAnsi="仿宋_GB2312" w:cs="仿宋_GB2312"/>
          <w:color w:val="auto"/>
          <w:kern w:val="2"/>
          <w:sz w:val="32"/>
          <w:szCs w:val="32"/>
          <w:lang w:val="en-US" w:eastAsia="zh-CN" w:bidi="ar-SA"/>
        </w:rPr>
        <w:t>对</w:t>
      </w:r>
      <w:r>
        <w:rPr>
          <w:rFonts w:hint="eastAsia"/>
          <w:color w:val="auto"/>
          <w:sz w:val="32"/>
          <w:szCs w:val="40"/>
          <w:lang w:eastAsia="zh-CN"/>
        </w:rPr>
        <w:t>“</w:t>
      </w:r>
      <w:r>
        <w:rPr>
          <w:rFonts w:hint="default"/>
          <w:color w:val="auto"/>
          <w:sz w:val="32"/>
          <w:szCs w:val="40"/>
        </w:rPr>
        <w:t>数字</w:t>
      </w:r>
      <w:r>
        <w:rPr>
          <w:rFonts w:hint="eastAsia"/>
          <w:color w:val="auto"/>
          <w:sz w:val="32"/>
          <w:szCs w:val="40"/>
          <w:lang w:eastAsia="zh-CN"/>
        </w:rPr>
        <w:t>霍邱”</w:t>
      </w:r>
      <w:r>
        <w:rPr>
          <w:rFonts w:hint="eastAsia" w:ascii="仿宋_GB2312" w:hAnsi="仿宋_GB2312" w:cs="仿宋_GB2312"/>
          <w:color w:val="auto"/>
          <w:kern w:val="2"/>
          <w:sz w:val="32"/>
          <w:szCs w:val="32"/>
          <w:lang w:val="en-US" w:eastAsia="zh-CN" w:bidi="ar-SA"/>
        </w:rPr>
        <w:t>建设</w:t>
      </w:r>
      <w:r>
        <w:rPr>
          <w:rFonts w:hint="eastAsia" w:ascii="仿宋_GB2312" w:hAnsi="仿宋_GB2312" w:eastAsia="仿宋_GB2312" w:cs="仿宋_GB2312"/>
          <w:color w:val="auto"/>
          <w:kern w:val="2"/>
          <w:sz w:val="32"/>
          <w:szCs w:val="32"/>
          <w:lang w:val="en-US" w:eastAsia="zh-CN" w:bidi="ar-SA"/>
        </w:rPr>
        <w:t>重大项目资金管理，根据项目实施绩效合理安排建设和运营经费补助，进一步提高财政资金使用效率。</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ascii="黑体" w:hAnsi="黑体" w:eastAsia="黑体" w:cs="黑体"/>
          <w:b w:val="0"/>
          <w:bCs w:val="0"/>
          <w:color w:val="auto"/>
          <w:sz w:val="32"/>
          <w:szCs w:val="32"/>
          <w:lang w:val="en-US" w:eastAsia="zh-CN"/>
        </w:rPr>
      </w:pPr>
      <w:bookmarkStart w:id="81" w:name="_Toc25003"/>
      <w:r>
        <w:rPr>
          <w:rFonts w:hint="eastAsia" w:ascii="黑体" w:hAnsi="黑体" w:eastAsia="黑体" w:cs="黑体"/>
          <w:b w:val="0"/>
          <w:bCs w:val="0"/>
          <w:color w:val="auto"/>
          <w:sz w:val="32"/>
          <w:szCs w:val="32"/>
          <w:lang w:val="en-US" w:eastAsia="zh-CN"/>
        </w:rPr>
        <w:t>（四）加强人才建设</w:t>
      </w:r>
      <w:bookmarkEnd w:id="80"/>
      <w:bookmarkEnd w:id="81"/>
    </w:p>
    <w:p>
      <w:pPr>
        <w:pageBreakBefore w:val="0"/>
        <w:kinsoku/>
        <w:wordWrap/>
        <w:topLinePunct w:val="0"/>
        <w:autoSpaceDE/>
        <w:autoSpaceDN/>
        <w:bidi w:val="0"/>
        <w:spacing w:line="580" w:lineRule="exact"/>
        <w:textAlignment w:val="auto"/>
        <w:rPr>
          <w:rFonts w:ascii="仿宋_GB2312" w:hAnsi="仿宋" w:eastAsia="仿宋_GB2312" w:cs="Calibri"/>
          <w:snapToGrid w:val="0"/>
          <w:color w:val="auto"/>
          <w:spacing w:val="-20"/>
          <w:kern w:val="0"/>
          <w:sz w:val="32"/>
          <w:szCs w:val="32"/>
        </w:rPr>
      </w:pPr>
      <w:r>
        <w:rPr>
          <w:rFonts w:hint="eastAsia"/>
          <w:color w:val="auto"/>
        </w:rPr>
        <w:t>按照“重视培养、用养结合”的原则，加大对</w:t>
      </w:r>
      <w:r>
        <w:rPr>
          <w:rFonts w:hint="eastAsia"/>
          <w:color w:val="auto"/>
          <w:lang w:eastAsia="zh-CN"/>
        </w:rPr>
        <w:t>数字化</w:t>
      </w:r>
      <w:r>
        <w:rPr>
          <w:rFonts w:hint="eastAsia"/>
          <w:color w:val="auto"/>
        </w:rPr>
        <w:t>关键领域技术人才和领军人才的扶持培养力度，构建高层次人才队伍。加强</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color w:val="auto"/>
        </w:rPr>
        <w:t>建设领导干部和专业技术队伍培训，完善各部门</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color w:val="auto"/>
        </w:rPr>
        <w:t>岗位设置和管理机制，打造最具“数字素养”的公务员队伍。加强信息系统运维和管理人员网络安全专业资格认证和职业培训，构建信息安全防护保障。鼓励高等院校、职业院校和企业合作，建立智慧城市建设运营人才实训基地，培育多层次、复合型、实用性人才。加强创新型人才社会化服务平台建设，为创新型人才提供培训、交流、咨询、法律等配套服务。</w:t>
      </w:r>
    </w:p>
    <w:p>
      <w:pPr>
        <w:pageBreakBefore w:val="0"/>
        <w:numPr>
          <w:ilvl w:val="0"/>
          <w:numId w:val="0"/>
        </w:numPr>
        <w:kinsoku/>
        <w:wordWrap/>
        <w:topLinePunct w:val="0"/>
        <w:autoSpaceDE/>
        <w:autoSpaceDN/>
        <w:bidi w:val="0"/>
        <w:spacing w:beforeLines="0" w:afterLines="0" w:line="580" w:lineRule="exact"/>
        <w:ind w:firstLine="640" w:firstLineChars="200"/>
        <w:textAlignment w:val="auto"/>
        <w:outlineLvl w:val="1"/>
        <w:rPr>
          <w:rFonts w:hint="eastAsia" w:eastAsia="仿宋_GB2312" w:cs="仿宋_GB2312" w:asciiTheme="minorAscii" w:hAnsiTheme="minorAscii"/>
          <w:color w:val="auto"/>
          <w:kern w:val="0"/>
          <w:sz w:val="32"/>
          <w:szCs w:val="32"/>
          <w:lang w:val="en-US" w:eastAsia="zh-CN" w:bidi="ar-SA"/>
        </w:rPr>
      </w:pPr>
      <w:bookmarkStart w:id="82" w:name="_Toc14679"/>
      <w:r>
        <w:rPr>
          <w:rFonts w:hint="eastAsia" w:ascii="黑体" w:hAnsi="黑体" w:eastAsia="黑体" w:cs="黑体"/>
          <w:b w:val="0"/>
          <w:bCs w:val="0"/>
          <w:color w:val="auto"/>
          <w:sz w:val="32"/>
          <w:szCs w:val="32"/>
          <w:lang w:val="en-US" w:eastAsia="zh-CN"/>
        </w:rPr>
        <w:t>（五）建立健全法规标准体系</w:t>
      </w:r>
      <w:bookmarkEnd w:id="82"/>
    </w:p>
    <w:p>
      <w:pPr>
        <w:pageBreakBefore w:val="0"/>
        <w:kinsoku/>
        <w:wordWrap/>
        <w:topLinePunct w:val="0"/>
        <w:autoSpaceDE/>
        <w:autoSpaceDN/>
        <w:bidi w:val="0"/>
        <w:spacing w:line="580" w:lineRule="exact"/>
        <w:textAlignment w:val="auto"/>
        <w:rPr>
          <w:rFonts w:hint="eastAsia"/>
          <w:color w:val="auto"/>
        </w:rPr>
      </w:pPr>
      <w:bookmarkStart w:id="83" w:name="_Toc12232"/>
      <w:r>
        <w:rPr>
          <w:rFonts w:hint="eastAsia"/>
          <w:color w:val="auto"/>
        </w:rPr>
        <w:t>深入贯彻落实《安徽省信息化促进条例》，根据信息技术发展实际，持续完善信息基础设施、电子商务、电子政务、信息安全、政府信息公开、个人信息保护等方面的政策</w:t>
      </w:r>
      <w:r>
        <w:rPr>
          <w:rFonts w:hint="eastAsia"/>
          <w:color w:val="auto"/>
          <w:lang w:eastAsia="zh-CN"/>
        </w:rPr>
        <w:t>文件，</w:t>
      </w:r>
      <w:r>
        <w:rPr>
          <w:rFonts w:hint="eastAsia"/>
          <w:color w:val="auto"/>
        </w:rPr>
        <w:t>创造</w:t>
      </w:r>
      <w:r>
        <w:rPr>
          <w:rFonts w:hint="eastAsia" w:ascii="仿宋_GB2312" w:hAnsi="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val="en-US" w:eastAsia="zh-CN" w:bidi="ar-SA"/>
        </w:rPr>
        <w:t>化</w:t>
      </w:r>
      <w:r>
        <w:rPr>
          <w:rFonts w:hint="eastAsia"/>
          <w:color w:val="auto"/>
        </w:rPr>
        <w:t>发展的良好法制环境。加快推进跨部门、跨层级数据资源共享共用。加快网络安全标准能力提升工作，建立完善网络安全管理标准体系，加强</w:t>
      </w:r>
      <w:r>
        <w:rPr>
          <w:rFonts w:hint="eastAsia"/>
          <w:color w:val="auto"/>
          <w:lang w:eastAsia="zh-CN"/>
        </w:rPr>
        <w:t>全县</w:t>
      </w:r>
      <w:r>
        <w:rPr>
          <w:rFonts w:hint="eastAsia"/>
          <w:color w:val="auto"/>
        </w:rPr>
        <w:t>网络安全标准专业队伍建设，建设网络安全标准验证和检测平台，完善网络安全标准信息共享和实施情</w:t>
      </w:r>
      <w:r>
        <w:rPr>
          <w:rFonts w:hint="eastAsia"/>
          <w:color w:val="auto"/>
          <w:lang w:val="en-US" w:eastAsia="zh-CN"/>
        </w:rPr>
        <w:t>况跟踪评估机制。</w:t>
      </w:r>
    </w:p>
    <w:p>
      <w:pPr>
        <w:pStyle w:val="3"/>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（六）完善评价考核</w:t>
      </w:r>
      <w:bookmarkEnd w:id="83"/>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right="0" w:rightChars="0" w:firstLine="640" w:firstLineChars="200"/>
        <w:jc w:val="both"/>
        <w:textAlignment w:val="auto"/>
        <w:rPr>
          <w:rFonts w:hint="default"/>
          <w:color w:val="auto"/>
          <w:sz w:val="32"/>
          <w:szCs w:val="40"/>
        </w:rPr>
      </w:pPr>
      <w:r>
        <w:rPr>
          <w:rFonts w:hint="eastAsia"/>
          <w:color w:val="auto"/>
          <w:sz w:val="32"/>
          <w:szCs w:val="40"/>
          <w:lang w:eastAsia="zh-CN"/>
        </w:rPr>
        <w:t>县直</w:t>
      </w:r>
      <w:r>
        <w:rPr>
          <w:rFonts w:hint="default"/>
          <w:color w:val="auto"/>
          <w:sz w:val="32"/>
          <w:szCs w:val="40"/>
        </w:rPr>
        <w:t>有关部门作为相关区域和专项领域推动</w:t>
      </w:r>
      <w:r>
        <w:rPr>
          <w:rFonts w:hint="eastAsia"/>
          <w:color w:val="auto"/>
          <w:sz w:val="32"/>
          <w:szCs w:val="40"/>
          <w:lang w:eastAsia="zh-CN"/>
        </w:rPr>
        <w:t>“</w:t>
      </w:r>
      <w:r>
        <w:rPr>
          <w:rFonts w:hint="default"/>
          <w:color w:val="auto"/>
          <w:sz w:val="32"/>
          <w:szCs w:val="40"/>
        </w:rPr>
        <w:t>数字</w:t>
      </w:r>
      <w:r>
        <w:rPr>
          <w:rFonts w:hint="eastAsia"/>
          <w:color w:val="auto"/>
          <w:sz w:val="32"/>
          <w:szCs w:val="40"/>
          <w:lang w:eastAsia="zh-CN"/>
        </w:rPr>
        <w:t>霍邱”</w:t>
      </w:r>
      <w:r>
        <w:rPr>
          <w:rFonts w:hint="default"/>
          <w:color w:val="auto"/>
          <w:sz w:val="32"/>
          <w:szCs w:val="40"/>
        </w:rPr>
        <w:t>发展的责任主体，应依据本规划，细化工作方案和措施，确保各项任务落到实处。</w:t>
      </w:r>
      <w:r>
        <w:rPr>
          <w:rFonts w:hint="default"/>
          <w:b w:val="0"/>
          <w:bCs w:val="0"/>
          <w:color w:val="auto"/>
          <w:sz w:val="32"/>
          <w:szCs w:val="40"/>
        </w:rPr>
        <w:t>将</w:t>
      </w:r>
      <w:r>
        <w:rPr>
          <w:rFonts w:hint="eastAsia"/>
          <w:b w:val="0"/>
          <w:bCs w:val="0"/>
          <w:color w:val="auto"/>
          <w:sz w:val="32"/>
          <w:szCs w:val="40"/>
          <w:lang w:eastAsia="zh-CN"/>
        </w:rPr>
        <w:t>“</w:t>
      </w:r>
      <w:r>
        <w:rPr>
          <w:rFonts w:hint="default"/>
          <w:b w:val="0"/>
          <w:bCs w:val="0"/>
          <w:color w:val="auto"/>
          <w:sz w:val="32"/>
          <w:szCs w:val="40"/>
        </w:rPr>
        <w:t>数字</w:t>
      </w:r>
      <w:r>
        <w:rPr>
          <w:rFonts w:hint="eastAsia"/>
          <w:b w:val="0"/>
          <w:bCs w:val="0"/>
          <w:color w:val="auto"/>
          <w:sz w:val="32"/>
          <w:szCs w:val="40"/>
          <w:lang w:eastAsia="zh-CN"/>
        </w:rPr>
        <w:t>霍邱”</w:t>
      </w:r>
      <w:r>
        <w:rPr>
          <w:rFonts w:hint="default"/>
          <w:b w:val="0"/>
          <w:bCs w:val="0"/>
          <w:color w:val="auto"/>
          <w:sz w:val="32"/>
          <w:szCs w:val="40"/>
        </w:rPr>
        <w:t>建设工作纳入</w:t>
      </w:r>
      <w:r>
        <w:rPr>
          <w:rFonts w:hint="eastAsia"/>
          <w:b w:val="0"/>
          <w:bCs w:val="0"/>
          <w:color w:val="auto"/>
          <w:sz w:val="32"/>
          <w:szCs w:val="40"/>
          <w:lang w:eastAsia="zh-CN"/>
        </w:rPr>
        <w:t>县目标责任考核</w:t>
      </w:r>
      <w:r>
        <w:rPr>
          <w:rFonts w:hint="default"/>
          <w:b w:val="0"/>
          <w:bCs w:val="0"/>
          <w:color w:val="auto"/>
          <w:sz w:val="32"/>
          <w:szCs w:val="40"/>
        </w:rPr>
        <w:t>。</w:t>
      </w:r>
      <w:r>
        <w:rPr>
          <w:rFonts w:hint="default"/>
          <w:color w:val="auto"/>
          <w:sz w:val="32"/>
          <w:szCs w:val="40"/>
        </w:rPr>
        <w:t>按计划开展重大任务落实情况督促检查和第三方评估，加强统计监测、协调调度、绩效评估和考核监督，全力推进项目任务完成。</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right="0" w:rightChars="0" w:firstLine="640" w:firstLineChars="200"/>
        <w:jc w:val="both"/>
        <w:textAlignment w:val="auto"/>
        <w:rPr>
          <w:rFonts w:hint="default"/>
          <w:color w:val="auto"/>
          <w:sz w:val="32"/>
          <w:szCs w:val="40"/>
        </w:rPr>
      </w:pPr>
      <w:r>
        <w:rPr>
          <w:rFonts w:hint="default"/>
          <w:color w:val="auto"/>
          <w:sz w:val="32"/>
          <w:szCs w:val="40"/>
        </w:rPr>
        <w:t>附件：</w:t>
      </w:r>
      <w:r>
        <w:rPr>
          <w:rFonts w:hint="eastAsia"/>
          <w:color w:val="auto"/>
          <w:sz w:val="32"/>
          <w:szCs w:val="40"/>
          <w:lang w:val="en-US" w:eastAsia="zh-CN"/>
        </w:rPr>
        <w:t xml:space="preserve">1. </w:t>
      </w:r>
      <w:r>
        <w:rPr>
          <w:rFonts w:hint="default"/>
          <w:color w:val="auto"/>
          <w:sz w:val="32"/>
          <w:szCs w:val="40"/>
        </w:rPr>
        <w:t>重点任务分工</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1600" w:leftChars="0" w:right="0" w:rightChars="0" w:firstLine="0" w:firstLineChars="0"/>
        <w:jc w:val="both"/>
        <w:textAlignment w:val="auto"/>
        <w:rPr>
          <w:rFonts w:hint="default" w:eastAsia="仿宋_GB2312"/>
          <w:color w:val="auto"/>
          <w:sz w:val="32"/>
          <w:szCs w:val="40"/>
          <w:lang w:val="en-US" w:eastAsia="zh-CN"/>
        </w:rPr>
      </w:pPr>
      <w:r>
        <w:rPr>
          <w:rFonts w:hint="eastAsia"/>
          <w:color w:val="auto"/>
          <w:sz w:val="32"/>
          <w:szCs w:val="40"/>
          <w:lang w:val="en-US" w:eastAsia="zh-CN"/>
        </w:rPr>
        <w:t>编制依据</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1600" w:leftChars="0" w:right="0" w:rightChars="0" w:firstLine="0" w:firstLineChars="0"/>
        <w:jc w:val="both"/>
        <w:textAlignment w:val="auto"/>
        <w:rPr>
          <w:rFonts w:hint="default" w:eastAsia="仿宋_GB2312"/>
          <w:color w:val="auto"/>
          <w:sz w:val="32"/>
          <w:szCs w:val="40"/>
          <w:lang w:val="en-US" w:eastAsia="zh-CN"/>
        </w:rPr>
      </w:pPr>
      <w:r>
        <w:rPr>
          <w:rFonts w:hint="eastAsia"/>
          <w:color w:val="auto"/>
          <w:sz w:val="32"/>
          <w:szCs w:val="40"/>
          <w:lang w:val="en-US" w:eastAsia="zh-CN"/>
        </w:rPr>
        <w:t>名词解释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0" w:right="0" w:firstLine="640"/>
        <w:jc w:val="both"/>
        <w:textAlignment w:val="auto"/>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color w:val="auto"/>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leftChars="0" w:right="0" w:firstLine="0" w:firstLineChars="0"/>
        <w:jc w:val="both"/>
        <w:rPr>
          <w:color w:val="auto"/>
        </w:rPr>
      </w:pPr>
    </w:p>
    <w:p>
      <w:pPr>
        <w:pStyle w:val="3"/>
        <w:bidi w:val="0"/>
        <w:ind w:left="0" w:leftChars="0" w:firstLine="0" w:firstLineChars="0"/>
        <w:jc w:val="left"/>
        <w:rPr>
          <w:rFonts w:hint="eastAsia" w:ascii="黑体" w:hAnsi="黑体" w:eastAsia="黑体" w:cs="黑体"/>
          <w:color w:val="auto"/>
          <w:lang w:val="en-US" w:eastAsia="zh-CN"/>
        </w:rPr>
      </w:pPr>
      <w:bookmarkStart w:id="84" w:name="_Toc7941"/>
      <w:r>
        <w:rPr>
          <w:rFonts w:hint="eastAsia" w:ascii="黑体" w:hAnsi="黑体" w:eastAsia="黑体" w:cs="黑体"/>
          <w:color w:val="auto"/>
        </w:rPr>
        <w:t>附件</w:t>
      </w:r>
      <w:r>
        <w:rPr>
          <w:rFonts w:hint="eastAsia" w:ascii="黑体" w:hAnsi="黑体" w:eastAsia="黑体" w:cs="黑体"/>
          <w:color w:val="auto"/>
          <w:lang w:val="en-US" w:eastAsia="zh-CN"/>
        </w:rPr>
        <w:t>1</w:t>
      </w:r>
      <w:bookmarkEnd w:id="84"/>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eastAsia" w:ascii="黑体" w:hAnsi="黑体" w:eastAsia="黑体" w:cs="黑体"/>
          <w:color w:val="auto"/>
          <w:sz w:val="32"/>
          <w:szCs w:val="32"/>
        </w:rPr>
      </w:pPr>
      <w:r>
        <w:rPr>
          <w:rFonts w:hint="eastAsia" w:ascii="黑体" w:hAnsi="黑体" w:eastAsia="黑体" w:cs="黑体"/>
          <w:color w:val="auto"/>
          <w:sz w:val="32"/>
          <w:szCs w:val="32"/>
        </w:rPr>
        <w:t>重点任务分工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eastAsia" w:ascii="黑体" w:hAnsi="黑体" w:eastAsia="黑体" w:cs="黑体"/>
          <w:color w:val="auto"/>
          <w:sz w:val="32"/>
          <w:szCs w:val="32"/>
        </w:rPr>
      </w:pPr>
    </w:p>
    <w:tbl>
      <w:tblPr>
        <w:tblStyle w:val="13"/>
        <w:tblW w:w="10425" w:type="dxa"/>
        <w:jc w:val="center"/>
        <w:shd w:val="clear" w:color="auto" w:fill="auto"/>
        <w:tblLayout w:type="autofit"/>
        <w:tblCellMar>
          <w:top w:w="0" w:type="dxa"/>
          <w:left w:w="0" w:type="dxa"/>
          <w:bottom w:w="0" w:type="dxa"/>
          <w:right w:w="0" w:type="dxa"/>
        </w:tblCellMar>
      </w:tblPr>
      <w:tblGrid>
        <w:gridCol w:w="950"/>
        <w:gridCol w:w="1907"/>
        <w:gridCol w:w="5458"/>
        <w:gridCol w:w="2110"/>
      </w:tblGrid>
      <w:tr>
        <w:tblPrEx>
          <w:tblCellMar>
            <w:top w:w="0" w:type="dxa"/>
            <w:left w:w="0" w:type="dxa"/>
            <w:bottom w:w="0" w:type="dxa"/>
            <w:right w:w="0" w:type="dxa"/>
          </w:tblCellMar>
        </w:tblPrEx>
        <w:trPr>
          <w:cantSplit/>
          <w:trHeight w:val="56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主要任务</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重点工作</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责任单位</w:t>
            </w:r>
          </w:p>
        </w:tc>
      </w:tr>
      <w:tr>
        <w:tblPrEx>
          <w:tblCellMar>
            <w:top w:w="0" w:type="dxa"/>
            <w:left w:w="0" w:type="dxa"/>
            <w:bottom w:w="0" w:type="dxa"/>
            <w:right w:w="0" w:type="dxa"/>
          </w:tblCellMar>
        </w:tblPrEx>
        <w:trPr>
          <w:cantSplit/>
          <w:trHeight w:val="57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建设云平台</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480" w:firstLineChars="200"/>
              <w:jc w:val="both"/>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数据采集方面。获得政府部门数据、企业数据、公民数据、互联网数据、物联网数据等数据信息。</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县数据资源管理局、县直有关单位</w:t>
            </w: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480" w:firstLineChars="20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数据治理方面，完善数据目录、建立统一的数据标准、整理融合数据，持续更新现有部门数据库和基础数据库</w:t>
            </w:r>
            <w:r>
              <w:rPr>
                <w:rFonts w:hint="eastAsia" w:ascii="仿宋_GB2312" w:hAnsi="宋体" w:cs="仿宋_GB2312"/>
                <w:i w:val="0"/>
                <w:color w:val="auto"/>
                <w:kern w:val="0"/>
                <w:sz w:val="24"/>
                <w:szCs w:val="24"/>
                <w:u w:val="none"/>
                <w:lang w:val="en-US" w:eastAsia="zh-CN" w:bidi="ar"/>
              </w:rPr>
              <w:t>，并构建不同业务领域数据归集共享目录。</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cantSplit/>
          <w:trHeight w:val="114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数据服务方面。基于大数据资源为各政府部门提供数据共享、分析展现、智能分析决策等数据服务，为社会公众提供数据应用API、公共数据开放等数据服务，支撑数据应用。</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4</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数据应用方面。</w:t>
            </w:r>
            <w:r>
              <w:rPr>
                <w:rFonts w:hint="eastAsia" w:ascii="仿宋_GB2312" w:hAnsi="宋体" w:cs="仿宋_GB2312"/>
                <w:i w:val="0"/>
                <w:color w:val="auto"/>
                <w:kern w:val="0"/>
                <w:sz w:val="24"/>
                <w:szCs w:val="24"/>
                <w:u w:val="none"/>
                <w:lang w:val="en-US" w:eastAsia="zh-CN" w:bidi="ar"/>
              </w:rPr>
              <w:t>打造</w:t>
            </w:r>
            <w:r>
              <w:rPr>
                <w:rFonts w:hint="eastAsia" w:ascii="仿宋_GB2312" w:hAnsi="宋体" w:eastAsia="仿宋_GB2312" w:cs="仿宋_GB2312"/>
                <w:i w:val="0"/>
                <w:color w:val="auto"/>
                <w:kern w:val="0"/>
                <w:sz w:val="24"/>
                <w:szCs w:val="24"/>
                <w:u w:val="none"/>
                <w:lang w:val="en-US" w:eastAsia="zh-CN" w:bidi="ar"/>
              </w:rPr>
              <w:t>支撑政府治理、城市管理等各类业务的智慧应用系统，支持第三方商业开发应用、公众/企业服务应用</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shd w:val="clear" w:color="auto" w:fill="auto"/>
          <w:tblCellMar>
            <w:top w:w="0" w:type="dxa"/>
            <w:left w:w="0" w:type="dxa"/>
            <w:bottom w:w="0" w:type="dxa"/>
            <w:right w:w="0" w:type="dxa"/>
          </w:tblCellMar>
        </w:tblPrEx>
        <w:trPr>
          <w:cantSplit/>
          <w:trHeight w:val="171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5</w:t>
            </w:r>
          </w:p>
        </w:tc>
        <w:tc>
          <w:tcPr>
            <w:tcW w:w="190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建设智慧城市运行管理平台</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健全视频图像共享应用机制、安全使用审核制度和技术标准体系，实现智慧城市项目下辖的各部门的视频资源汇聚管理和运维监控，确保智慧城市运行管理平台各应用系统之间的互联互通，打造高效稳定的网络传输通道，构建信息安全可控的安全防护体系，建立和完善运维管理标准体系和地方平台考核系统，加强对各级各有关部门视频监控建设联网应用等工作的有效监督和综合管理。</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县数据资源管理局</w:t>
            </w:r>
          </w:p>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、县直有关单位</w:t>
            </w:r>
          </w:p>
        </w:tc>
      </w:tr>
      <w:tr>
        <w:tblPrEx>
          <w:shd w:val="clear" w:color="auto" w:fill="auto"/>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6</w:t>
            </w:r>
          </w:p>
        </w:tc>
        <w:tc>
          <w:tcPr>
            <w:tcW w:w="190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将</w:t>
            </w:r>
            <w:r>
              <w:rPr>
                <w:rFonts w:hint="eastAsia" w:ascii="仿宋_GB2312" w:hAnsi="宋体" w:eastAsia="仿宋_GB2312" w:cs="仿宋_GB2312"/>
                <w:i w:val="0"/>
                <w:color w:val="auto"/>
                <w:kern w:val="0"/>
                <w:sz w:val="24"/>
                <w:szCs w:val="24"/>
                <w:u w:val="none"/>
                <w:lang w:val="en-US" w:eastAsia="zh-CN" w:bidi="ar"/>
              </w:rPr>
              <w:t>智慧城管系统、智慧水务系统、智慧应急系统、智慧砂石管理系统等方面业务串联起来，突出业务协同一体化平台核心地位，</w:t>
            </w:r>
            <w:r>
              <w:rPr>
                <w:rFonts w:hint="eastAsia" w:ascii="仿宋_GB2312" w:hAnsi="宋体" w:cs="仿宋_GB2312"/>
                <w:i w:val="0"/>
                <w:color w:val="auto"/>
                <w:kern w:val="0"/>
                <w:sz w:val="24"/>
                <w:szCs w:val="24"/>
                <w:u w:val="none"/>
                <w:lang w:val="en-US" w:eastAsia="zh-CN" w:bidi="ar"/>
              </w:rPr>
              <w:t>建设打造智慧城运业务协同一体化的城市管理大平台。</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7</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基础设施建设</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推进基础通信网络建设升级，提升人流密集的公共场所和重点区域用户上网速率，增强用户体验感。加快5G网络设施在霍邱全域的商用部署，推动5G网络在工业互联网、数字交通、数字医疗等领域的共建共享。</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县经信局、县发改委、县数据资源管理局、电信运营商、铁塔办事处、县直有关单位</w:t>
            </w:r>
          </w:p>
        </w:tc>
      </w:tr>
      <w:tr>
        <w:tblPrEx>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8</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加强</w:t>
            </w:r>
            <w:r>
              <w:rPr>
                <w:rFonts w:hint="eastAsia" w:ascii="仿宋_GB2312" w:hAnsi="宋体" w:cs="仿宋_GB2312"/>
                <w:i w:val="0"/>
                <w:color w:val="auto"/>
                <w:kern w:val="0"/>
                <w:sz w:val="24"/>
                <w:szCs w:val="24"/>
                <w:u w:val="none"/>
                <w:lang w:val="en-US" w:eastAsia="zh-CN" w:bidi="ar"/>
              </w:rPr>
              <w:t>电子</w:t>
            </w:r>
            <w:r>
              <w:rPr>
                <w:rFonts w:hint="eastAsia" w:ascii="仿宋_GB2312" w:hAnsi="宋体" w:eastAsia="仿宋_GB2312" w:cs="仿宋_GB2312"/>
                <w:i w:val="0"/>
                <w:color w:val="auto"/>
                <w:kern w:val="0"/>
                <w:sz w:val="24"/>
                <w:szCs w:val="24"/>
                <w:u w:val="none"/>
                <w:lang w:val="en-US" w:eastAsia="zh-CN" w:bidi="ar"/>
              </w:rPr>
              <w:t>政务外网</w:t>
            </w:r>
            <w:r>
              <w:rPr>
                <w:rFonts w:hint="eastAsia" w:ascii="仿宋_GB2312" w:hAnsi="宋体" w:cs="仿宋_GB2312"/>
                <w:i w:val="0"/>
                <w:color w:val="auto"/>
                <w:kern w:val="0"/>
                <w:sz w:val="24"/>
                <w:szCs w:val="24"/>
                <w:u w:val="none"/>
                <w:lang w:val="en-US" w:eastAsia="zh-CN" w:bidi="ar"/>
              </w:rPr>
              <w:t>管理。</w:t>
            </w:r>
            <w:r>
              <w:rPr>
                <w:rFonts w:hint="eastAsia" w:ascii="仿宋_GB2312" w:hAnsi="宋体" w:eastAsia="仿宋_GB2312" w:cs="仿宋_GB2312"/>
                <w:i w:val="0"/>
                <w:color w:val="auto"/>
                <w:kern w:val="0"/>
                <w:sz w:val="24"/>
                <w:szCs w:val="24"/>
                <w:u w:val="none"/>
                <w:lang w:val="en-US" w:eastAsia="zh-CN" w:bidi="ar"/>
              </w:rPr>
              <w:t>加快电子政务外网“纵向到底、横向到边”改造提升，推动 IPv4 和 IPv6 双</w:t>
            </w:r>
            <w:r>
              <w:rPr>
                <w:rFonts w:hint="eastAsia" w:ascii="仿宋_GB2312" w:hAnsi="宋体" w:cs="仿宋_GB2312"/>
                <w:i w:val="0"/>
                <w:color w:val="auto"/>
                <w:kern w:val="0"/>
                <w:sz w:val="24"/>
                <w:szCs w:val="24"/>
                <w:u w:val="none"/>
                <w:lang w:val="en-US" w:eastAsia="zh-CN" w:bidi="ar"/>
              </w:rPr>
              <w:t>线</w:t>
            </w:r>
            <w:r>
              <w:rPr>
                <w:rFonts w:hint="eastAsia" w:ascii="仿宋_GB2312" w:hAnsi="宋体" w:eastAsia="仿宋_GB2312" w:cs="仿宋_GB2312"/>
                <w:i w:val="0"/>
                <w:color w:val="auto"/>
                <w:kern w:val="0"/>
                <w:sz w:val="24"/>
                <w:szCs w:val="24"/>
                <w:u w:val="none"/>
                <w:lang w:val="en-US" w:eastAsia="zh-CN" w:bidi="ar"/>
              </w:rPr>
              <w:t>接入</w:t>
            </w:r>
            <w:r>
              <w:rPr>
                <w:rFonts w:hint="eastAsia" w:ascii="仿宋_GB2312" w:hAnsi="宋体" w:cs="仿宋_GB2312"/>
                <w:i w:val="0"/>
                <w:color w:val="auto"/>
                <w:kern w:val="0"/>
                <w:sz w:val="24"/>
                <w:szCs w:val="24"/>
                <w:u w:val="none"/>
                <w:lang w:val="en-US" w:eastAsia="zh-CN" w:bidi="ar"/>
              </w:rPr>
              <w:t>。指导有关政务部门对部署在电子政务外网上的应用开展登记保护定级、备案、测评工作。</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县电子政务中心</w:t>
            </w:r>
          </w:p>
        </w:tc>
      </w:tr>
      <w:tr>
        <w:tblPrEx>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9</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建设公共数字基础平台。集成一批统一的电子证照、电子印章、电子档案等电子数据支撑，推动各部门、乡镇</w:t>
            </w:r>
            <w:r>
              <w:rPr>
                <w:rFonts w:hint="eastAsia" w:ascii="仿宋_GB2312" w:hAnsi="宋体" w:cs="仿宋_GB2312"/>
                <w:i w:val="0"/>
                <w:color w:val="auto"/>
                <w:kern w:val="0"/>
                <w:sz w:val="24"/>
                <w:szCs w:val="24"/>
                <w:u w:val="none"/>
                <w:lang w:val="en-US" w:eastAsia="zh-CN" w:bidi="ar"/>
              </w:rPr>
              <w:t>（开发区）</w:t>
            </w:r>
            <w:r>
              <w:rPr>
                <w:rFonts w:hint="eastAsia" w:ascii="仿宋_GB2312" w:hAnsi="宋体" w:eastAsia="仿宋_GB2312" w:cs="仿宋_GB2312"/>
                <w:i w:val="0"/>
                <w:color w:val="auto"/>
                <w:kern w:val="0"/>
                <w:sz w:val="24"/>
                <w:szCs w:val="24"/>
                <w:u w:val="none"/>
                <w:lang w:val="en-US" w:eastAsia="zh-CN" w:bidi="ar"/>
              </w:rPr>
              <w:t>新建及存量电子政务系统向县级数字政务云平台集中部署，最大化利用存量数字存储、计算与通信设备，避免盲目投资与资源浪费。</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p>
        </w:tc>
      </w:tr>
      <w:tr>
        <w:tblPrEx>
          <w:shd w:val="clear" w:color="auto" w:fill="auto"/>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10</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统筹建设智慧城市感知体系。统筹建设城市物联网感知体系；建设一体化视频监控体系；推进智慧城市时空信息云平台建设。</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、直县相关单位</w:t>
            </w:r>
          </w:p>
        </w:tc>
      </w:tr>
      <w:tr>
        <w:tblPrEx>
          <w:shd w:val="clear" w:color="auto" w:fill="auto"/>
          <w:tblCellMar>
            <w:top w:w="0" w:type="dxa"/>
            <w:left w:w="0" w:type="dxa"/>
            <w:bottom w:w="0" w:type="dxa"/>
            <w:right w:w="0" w:type="dxa"/>
          </w:tblCellMar>
        </w:tblPrEx>
        <w:trPr>
          <w:cantSplit/>
          <w:trHeight w:val="199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11</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建立统一信息安全防护体系</w:t>
            </w:r>
            <w:r>
              <w:rPr>
                <w:rFonts w:hint="eastAsia" w:ascii="仿宋_GB2312" w:hAnsi="宋体" w:cs="仿宋_GB2312"/>
                <w:i w:val="0"/>
                <w:color w:val="auto"/>
                <w:kern w:val="0"/>
                <w:sz w:val="24"/>
                <w:szCs w:val="24"/>
                <w:u w:val="none"/>
                <w:lang w:val="en-US" w:eastAsia="zh-CN" w:bidi="ar"/>
              </w:rPr>
              <w:t>。</w:t>
            </w:r>
            <w:r>
              <w:rPr>
                <w:rFonts w:hint="eastAsia" w:ascii="仿宋_GB2312" w:hAnsi="宋体" w:eastAsia="仿宋_GB2312" w:cs="仿宋_GB2312"/>
                <w:i w:val="0"/>
                <w:color w:val="auto"/>
                <w:kern w:val="0"/>
                <w:sz w:val="24"/>
                <w:szCs w:val="24"/>
                <w:u w:val="none"/>
                <w:lang w:val="en-US" w:eastAsia="zh-CN" w:bidi="ar"/>
              </w:rPr>
              <w:t>全面落实风险评估、等级保护、应急管理等监管制度，完善信息安全基础设施，加强对政务云、政务网络、重要信息资源库等关键信息基础设施的安全监管和防护。建设由云监测平台、云防护平台、反欺诈平台和城市安全态势感知中心组成的“三平台一中心”可视化网络与信息安全防护体系。</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p>
        </w:tc>
      </w:tr>
      <w:tr>
        <w:tblPrEx>
          <w:tblCellMar>
            <w:top w:w="0" w:type="dxa"/>
            <w:left w:w="0" w:type="dxa"/>
            <w:bottom w:w="0" w:type="dxa"/>
            <w:right w:w="0" w:type="dxa"/>
          </w:tblCellMar>
        </w:tblPrEx>
        <w:trPr>
          <w:cantSplit/>
          <w:trHeight w:val="171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12</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建设数字政府</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大力推进“互联网+”政务服务。依托“皖事通办”平台公共应用支撑能力，建设完善安徽政务服务网霍邱门户，整合实体政务服务大厅、</w:t>
            </w:r>
            <w:r>
              <w:rPr>
                <w:rFonts w:hint="eastAsia" w:ascii="仿宋_GB2312" w:hAnsi="宋体" w:cs="仿宋_GB2312"/>
                <w:i w:val="0"/>
                <w:color w:val="auto"/>
                <w:kern w:val="0"/>
                <w:sz w:val="24"/>
                <w:szCs w:val="24"/>
                <w:u w:val="none"/>
                <w:lang w:val="en-US" w:eastAsia="zh-CN" w:bidi="ar"/>
              </w:rPr>
              <w:t>县</w:t>
            </w:r>
            <w:r>
              <w:rPr>
                <w:rFonts w:hint="eastAsia" w:ascii="仿宋_GB2312" w:hAnsi="宋体" w:eastAsia="仿宋_GB2312" w:cs="仿宋_GB2312"/>
                <w:i w:val="0"/>
                <w:color w:val="auto"/>
                <w:kern w:val="0"/>
                <w:sz w:val="24"/>
                <w:szCs w:val="24"/>
                <w:u w:val="none"/>
                <w:lang w:val="en-US" w:eastAsia="zh-CN" w:bidi="ar"/>
              </w:rPr>
              <w:t>政府网站、移动客户端、自助终端、服务热线等不同渠道的用户认证，形成基于公民身份号码的线上线下互认的群众办事统一身份认证体系。</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、县电子政务中心、县直有关单位</w:t>
            </w:r>
          </w:p>
        </w:tc>
      </w:tr>
      <w:tr>
        <w:tblPrEx>
          <w:shd w:val="clear" w:color="auto" w:fill="auto"/>
          <w:tblCellMar>
            <w:top w:w="0" w:type="dxa"/>
            <w:left w:w="0" w:type="dxa"/>
            <w:bottom w:w="0" w:type="dxa"/>
            <w:right w:w="0" w:type="dxa"/>
          </w:tblCellMar>
        </w:tblPrEx>
        <w:trPr>
          <w:cantSplit/>
          <w:trHeight w:val="171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13</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sz w:val="24"/>
                <w:szCs w:val="24"/>
                <w:u w:val="none"/>
                <w:lang w:val="en-US" w:eastAsia="zh-CN"/>
              </w:rPr>
              <w:t>大力发展智慧交通，提高交通运输设施、设备的数字化和智能化水平</w:t>
            </w:r>
            <w:r>
              <w:rPr>
                <w:rFonts w:hint="eastAsia" w:ascii="仿宋_GB2312" w:hAnsi="宋体" w:cs="仿宋_GB2312"/>
                <w:i w:val="0"/>
                <w:color w:val="auto"/>
                <w:sz w:val="24"/>
                <w:szCs w:val="24"/>
                <w:u w:val="none"/>
                <w:lang w:val="en-US" w:eastAsia="zh-CN"/>
              </w:rPr>
              <w:t>。</w:t>
            </w:r>
          </w:p>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大力推进智慧医疗</w:t>
            </w:r>
            <w:r>
              <w:rPr>
                <w:rFonts w:hint="eastAsia" w:ascii="仿宋_GB2312" w:hAnsi="宋体" w:cs="仿宋_GB2312"/>
                <w:i w:val="0"/>
                <w:color w:val="auto"/>
                <w:sz w:val="24"/>
                <w:szCs w:val="24"/>
                <w:u w:val="none"/>
                <w:lang w:val="en-US" w:eastAsia="zh-CN"/>
              </w:rPr>
              <w:t>，</w:t>
            </w:r>
            <w:r>
              <w:rPr>
                <w:rFonts w:hint="eastAsia" w:ascii="仿宋_GB2312" w:hAnsi="宋体" w:eastAsia="仿宋_GB2312" w:cs="仿宋_GB2312"/>
                <w:i w:val="0"/>
                <w:color w:val="auto"/>
                <w:sz w:val="24"/>
                <w:szCs w:val="24"/>
                <w:u w:val="none"/>
                <w:lang w:val="en-US" w:eastAsia="zh-CN"/>
              </w:rPr>
              <w:t>完善就医各环节数字化服务系统，推进向智慧医院转变，大力发展网上预约挂号、智能分级诊疗、远程会诊服务、业务协同管理、电子病历处方及慢性病人群管理等服务。</w:t>
            </w:r>
          </w:p>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着力发展智慧教育，推进智能化教学管理平台建设，深度打造智慧教学、智慧学习、智慧管理、智慧生活、智慧文化等内容的智慧学校完整版，全面实现智慧学校建设班级全覆盖，助推全县优质教育均衡发展。</w:t>
            </w:r>
          </w:p>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积极推动智慧旅游，建立全县旅游数据中心，努力实现旅游数据的全域化获取、共享和应用，为旅游服务、管理、营销等方面提供数据依据。</w:t>
            </w:r>
          </w:p>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积极推进智慧安居，加快智慧家居系统、智慧楼宇、智慧社区、建设，为群众提供智能化的家庭</w:t>
            </w:r>
            <w:r>
              <w:rPr>
                <w:rFonts w:hint="eastAsia" w:ascii="仿宋_GB2312" w:hAnsi="宋体" w:cs="仿宋_GB2312"/>
                <w:i w:val="0"/>
                <w:color w:val="auto"/>
                <w:sz w:val="24"/>
                <w:szCs w:val="24"/>
                <w:u w:val="none"/>
                <w:lang w:val="en-US" w:eastAsia="zh-CN"/>
              </w:rPr>
              <w:t>和</w:t>
            </w:r>
            <w:r>
              <w:rPr>
                <w:rFonts w:hint="eastAsia" w:ascii="仿宋_GB2312" w:hAnsi="宋体" w:eastAsia="仿宋_GB2312" w:cs="仿宋_GB2312"/>
                <w:i w:val="0"/>
                <w:color w:val="auto"/>
                <w:sz w:val="24"/>
                <w:szCs w:val="24"/>
                <w:u w:val="none"/>
                <w:lang w:val="en-US" w:eastAsia="zh-CN"/>
              </w:rPr>
              <w:t>社区服务。</w:t>
            </w:r>
          </w:p>
          <w:p>
            <w:pPr>
              <w:keepNext w:val="0"/>
              <w:keepLines w:val="0"/>
              <w:widowControl/>
              <w:suppressLineNumbers w:val="0"/>
              <w:jc w:val="both"/>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sz w:val="24"/>
                <w:szCs w:val="24"/>
                <w:u w:val="none"/>
                <w:lang w:val="en-US" w:eastAsia="zh-CN"/>
              </w:rPr>
              <w:t>大力发展智慧养老，推进智慧健康养老服务，有效整合养老服务资源，提升养老服务智慧化水平，推动个人、家庭、养老服务机构、社区及专业医疗机构间的信息互联互通和资源优化配置</w:t>
            </w:r>
            <w:r>
              <w:rPr>
                <w:rFonts w:hint="eastAsia" w:ascii="仿宋_GB2312" w:hAnsi="宋体" w:cs="仿宋_GB2312"/>
                <w:i w:val="0"/>
                <w:color w:val="auto"/>
                <w:sz w:val="24"/>
                <w:szCs w:val="24"/>
                <w:u w:val="none"/>
                <w:lang w:val="en-US" w:eastAsia="zh-CN"/>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县交通局、县卫建委、县教育局、县文旅体育局、县民政局、县公安局、</w:t>
            </w: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、县直有关单位</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14</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快推进“互联网+”监管服务。推进社会治安监控、雪亮工程、安全生产监管、食品药品安全监管、环境监测、疫情预警等信息系统建设，联通各级各部门监管业务系统，依法加强行政执法监督，建立行政执法监督平台。</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县市场监管局、县直有关单位</w:t>
            </w:r>
          </w:p>
        </w:tc>
      </w:tr>
      <w:tr>
        <w:tblPrEx>
          <w:shd w:val="clear" w:color="auto" w:fill="auto"/>
          <w:tblCellMar>
            <w:top w:w="0" w:type="dxa"/>
            <w:left w:w="0" w:type="dxa"/>
            <w:bottom w:w="0" w:type="dxa"/>
            <w:right w:w="0" w:type="dxa"/>
          </w:tblCellMar>
        </w:tblPrEx>
        <w:trPr>
          <w:cantSplit/>
          <w:trHeight w:val="114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15</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完善数据资源归集共享</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全面梳理汇集政务数据。全面梳理汇集政务数据，按照“应归集</w:t>
            </w:r>
            <w:r>
              <w:rPr>
                <w:rFonts w:hint="eastAsia" w:ascii="仿宋_GB2312" w:hAnsi="宋体" w:cs="仿宋_GB2312"/>
                <w:i w:val="0"/>
                <w:color w:val="auto"/>
                <w:kern w:val="0"/>
                <w:sz w:val="24"/>
                <w:szCs w:val="24"/>
                <w:u w:val="none"/>
                <w:lang w:val="en-US" w:eastAsia="zh-CN" w:bidi="ar"/>
              </w:rPr>
              <w:t>、</w:t>
            </w:r>
            <w:r>
              <w:rPr>
                <w:rFonts w:hint="eastAsia" w:ascii="仿宋_GB2312" w:hAnsi="宋体" w:eastAsia="仿宋_GB2312" w:cs="仿宋_GB2312"/>
                <w:i w:val="0"/>
                <w:color w:val="auto"/>
                <w:kern w:val="0"/>
                <w:sz w:val="24"/>
                <w:szCs w:val="24"/>
                <w:u w:val="none"/>
                <w:lang w:val="en-US" w:eastAsia="zh-CN" w:bidi="ar"/>
              </w:rPr>
              <w:t>尽归集”的原则，扎实做好各类政务数据采集、校核、更新、整合等工作，各部门按照政务数据资源目录推进政务数据统一汇聚。</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县电子政务中心、县直有关单位</w:t>
            </w: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16</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推进社会数据归集。归集汇聚社会数据，主要包括社会发展、社会治理、社会服务、社会公用事业等领域采集和产生的数据资源。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r>
              <w:rPr>
                <w:rFonts w:hint="eastAsia" w:ascii="仿宋_GB2312" w:hAnsi="宋体" w:cs="仿宋_GB2312"/>
                <w:i w:val="0"/>
                <w:color w:val="auto"/>
                <w:kern w:val="0"/>
                <w:sz w:val="24"/>
                <w:szCs w:val="24"/>
                <w:u w:val="none"/>
                <w:lang w:val="en-US" w:eastAsia="zh-CN" w:bidi="ar"/>
              </w:rPr>
              <w:t>、县直有关单位</w:t>
            </w:r>
          </w:p>
        </w:tc>
      </w:tr>
      <w:tr>
        <w:tblPrEx>
          <w:shd w:val="clear" w:color="auto" w:fill="auto"/>
          <w:tblCellMar>
            <w:top w:w="0" w:type="dxa"/>
            <w:left w:w="0" w:type="dxa"/>
            <w:bottom w:w="0" w:type="dxa"/>
            <w:right w:w="0" w:type="dxa"/>
          </w:tblCellMar>
        </w:tblPrEx>
        <w:trPr>
          <w:cantSplit/>
          <w:trHeight w:val="57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17</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加快经济数据归集融合共享。加大对政府各相关部门掌握的经济运行、行业管理等经济数据采集联通。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县统计局</w:t>
            </w: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18</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构建以区块链对数据资源的全程高质量管控体系。积极部署区块链服务网络（BSN）节点，打造高质量、定制化的区块链技术服务平台。</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县发改委、县经信</w:t>
            </w:r>
            <w:r>
              <w:rPr>
                <w:rFonts w:hint="eastAsia" w:ascii="仿宋_GB2312" w:hAnsi="宋体" w:eastAsia="仿宋_GB2312" w:cs="仿宋_GB2312"/>
                <w:i w:val="0"/>
                <w:color w:val="auto"/>
                <w:kern w:val="0"/>
                <w:sz w:val="24"/>
                <w:szCs w:val="24"/>
                <w:u w:val="none"/>
                <w:lang w:val="en-US" w:eastAsia="zh-CN" w:bidi="ar"/>
              </w:rPr>
              <w:t>局</w:t>
            </w:r>
          </w:p>
        </w:tc>
      </w:tr>
      <w:tr>
        <w:tblPrEx>
          <w:shd w:val="clear" w:color="auto" w:fill="auto"/>
          <w:tblCellMar>
            <w:top w:w="0" w:type="dxa"/>
            <w:left w:w="0" w:type="dxa"/>
            <w:bottom w:w="0" w:type="dxa"/>
            <w:right w:w="0" w:type="dxa"/>
          </w:tblCellMar>
        </w:tblPrEx>
        <w:trPr>
          <w:cantSplit/>
          <w:trHeight w:val="171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19</w:t>
            </w:r>
          </w:p>
        </w:tc>
        <w:tc>
          <w:tcPr>
            <w:tcW w:w="19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智慧城市应用</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智慧政务。推动一批个人事项实现“全程网办”，做到“零原件、不见面”，以“办好一件事”为标准，打造集成套餐式服务，大力推行线下实体大厅综合窗口建设和综合管理系统建设，打造“前台综合受理、后台分类审批、综合窗口出件”全新工作模式，持续优化综合窗口配置。</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县数据资源管理局</w:t>
            </w: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20</w:t>
            </w:r>
          </w:p>
        </w:tc>
        <w:tc>
          <w:tcPr>
            <w:tcW w:w="19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智慧城管。建设完善省级智慧城管平台，与住建、生态环境、公安等部门信息共享，提高协调效率，实现城市问题快速化、精细化处置。</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县城管执法局</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21</w:t>
            </w:r>
          </w:p>
        </w:tc>
        <w:tc>
          <w:tcPr>
            <w:tcW w:w="190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 xml:space="preserve">建设霍邱县综合运行管理中心。建设霍邱县综合运行管理中心实体，将“业务协同、决策会商、一体指挥、参观接待”集于一体。构建基于融合通信的一体指挥能力，实现各通信系统间的互联互通，辅助跨部门一体化指挥。 </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县城管执法局</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方正小标宋简体" w:hAnsi="方正小标宋简体" w:eastAsia="方正小标宋简体" w:cs="方正小标宋简体"/>
                <w:i w:val="0"/>
                <w:color w:val="auto"/>
                <w:kern w:val="0"/>
                <w:sz w:val="28"/>
                <w:szCs w:val="28"/>
                <w:u w:val="none"/>
                <w:lang w:val="en-US" w:eastAsia="zh-CN" w:bidi="ar"/>
              </w:rPr>
            </w:pPr>
            <w:r>
              <w:rPr>
                <w:rFonts w:hint="eastAsia" w:ascii="方正小标宋简体" w:hAnsi="方正小标宋简体" w:eastAsia="方正小标宋简体" w:cs="方正小标宋简体"/>
                <w:i w:val="0"/>
                <w:color w:val="auto"/>
                <w:kern w:val="0"/>
                <w:sz w:val="28"/>
                <w:szCs w:val="28"/>
                <w:u w:val="none"/>
                <w:lang w:val="en-US" w:eastAsia="zh-CN" w:bidi="ar"/>
              </w:rPr>
              <w:t>22</w:t>
            </w:r>
          </w:p>
        </w:tc>
        <w:tc>
          <w:tcPr>
            <w:tcW w:w="190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建设智慧档案馆</w:t>
            </w:r>
            <w:r>
              <w:rPr>
                <w:rFonts w:hint="eastAsia" w:ascii="仿宋_GB2312" w:hAnsi="宋体" w:cs="仿宋_GB2312"/>
                <w:i w:val="0"/>
                <w:color w:val="auto"/>
                <w:kern w:val="0"/>
                <w:sz w:val="24"/>
                <w:szCs w:val="24"/>
                <w:u w:val="none"/>
                <w:lang w:val="en-US" w:eastAsia="zh-CN" w:bidi="ar"/>
              </w:rPr>
              <w:t>。</w:t>
            </w:r>
            <w:r>
              <w:rPr>
                <w:rFonts w:hint="eastAsia" w:ascii="仿宋_GB2312" w:hAnsi="宋体" w:eastAsia="仿宋_GB2312" w:cs="仿宋_GB2312"/>
                <w:i w:val="0"/>
                <w:color w:val="auto"/>
                <w:kern w:val="0"/>
                <w:sz w:val="24"/>
                <w:szCs w:val="24"/>
                <w:u w:val="none"/>
                <w:lang w:val="en-US" w:eastAsia="zh-CN" w:bidi="ar"/>
              </w:rPr>
              <w:t>通过各类采集终端和多种网络技术，随时采集环境信息和实体档案的动态信息，增强智慧档案信息的获取和反馈，建立广覆盖、多样化、多途径的档案信息服务体系</w:t>
            </w:r>
            <w:r>
              <w:rPr>
                <w:rFonts w:hint="eastAsia" w:ascii="仿宋_GB2312" w:hAnsi="宋体" w:cs="仿宋_GB2312"/>
                <w:i w:val="0"/>
                <w:color w:val="auto"/>
                <w:kern w:val="0"/>
                <w:sz w:val="24"/>
                <w:szCs w:val="24"/>
                <w:u w:val="none"/>
                <w:lang w:val="en-US" w:eastAsia="zh-CN"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cs="仿宋_GB2312"/>
                <w:i w:val="0"/>
                <w:color w:val="auto"/>
                <w:kern w:val="0"/>
                <w:sz w:val="24"/>
                <w:szCs w:val="24"/>
                <w:u w:val="none"/>
                <w:lang w:val="en-US" w:eastAsia="zh-CN" w:bidi="ar"/>
              </w:rPr>
              <w:t>县档案馆</w:t>
            </w:r>
          </w:p>
        </w:tc>
      </w:tr>
      <w:tr>
        <w:tblPrEx>
          <w:shd w:val="clear" w:color="auto" w:fill="auto"/>
          <w:tblCellMar>
            <w:top w:w="0" w:type="dxa"/>
            <w:left w:w="0" w:type="dxa"/>
            <w:bottom w:w="0" w:type="dxa"/>
            <w:right w:w="0" w:type="dxa"/>
          </w:tblCellMar>
        </w:tblPrEx>
        <w:trPr>
          <w:cantSplit/>
          <w:trHeight w:val="171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22</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完善城市管理应用体系</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w:t>
            </w:r>
            <w:r>
              <w:rPr>
                <w:rFonts w:hint="eastAsia" w:ascii="仿宋_GB2312" w:hAnsi="宋体" w:cs="仿宋_GB2312"/>
                <w:i w:val="0"/>
                <w:color w:val="auto"/>
                <w:kern w:val="0"/>
                <w:sz w:val="24"/>
                <w:szCs w:val="24"/>
                <w:u w:val="none"/>
                <w:lang w:val="en-US" w:eastAsia="zh-CN" w:bidi="ar"/>
              </w:rPr>
              <w:t>城乡</w:t>
            </w:r>
            <w:r>
              <w:rPr>
                <w:rFonts w:hint="eastAsia" w:ascii="仿宋_GB2312" w:hAnsi="宋体" w:eastAsia="仿宋_GB2312" w:cs="仿宋_GB2312"/>
                <w:i w:val="0"/>
                <w:color w:val="auto"/>
                <w:kern w:val="0"/>
                <w:sz w:val="24"/>
                <w:szCs w:val="24"/>
                <w:u w:val="none"/>
                <w:lang w:val="en-US" w:eastAsia="zh-CN" w:bidi="ar"/>
              </w:rPr>
              <w:t>公共安全综合治理能力。推动雪亮工程，完善公共安全视频网络，完善县级社会治安综合治理信息平台，构建县、乡镇（</w:t>
            </w:r>
            <w:r>
              <w:rPr>
                <w:rFonts w:hint="eastAsia" w:ascii="仿宋_GB2312" w:hAnsi="宋体" w:cs="仿宋_GB2312"/>
                <w:i w:val="0"/>
                <w:color w:val="auto"/>
                <w:kern w:val="0"/>
                <w:sz w:val="24"/>
                <w:szCs w:val="24"/>
                <w:u w:val="none"/>
                <w:lang w:val="en-US" w:eastAsia="zh-CN" w:bidi="ar"/>
              </w:rPr>
              <w:t>开发区</w:t>
            </w:r>
            <w:r>
              <w:rPr>
                <w:rFonts w:hint="eastAsia" w:ascii="仿宋_GB2312" w:hAnsi="宋体" w:eastAsia="仿宋_GB2312" w:cs="仿宋_GB2312"/>
                <w:i w:val="0"/>
                <w:color w:val="auto"/>
                <w:kern w:val="0"/>
                <w:sz w:val="24"/>
                <w:szCs w:val="24"/>
                <w:u w:val="none"/>
                <w:lang w:val="en-US" w:eastAsia="zh-CN" w:bidi="ar"/>
              </w:rPr>
              <w:t>）两级联动的数字化社会治安防控体系，发展智慧警务，推进人脸识别、视频结构化、智能感知、空间地理信息等技术在社会治安领域的应用。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县委政法委、县公安局</w:t>
            </w:r>
          </w:p>
        </w:tc>
      </w:tr>
      <w:tr>
        <w:tblPrEx>
          <w:shd w:val="clear" w:color="auto" w:fill="auto"/>
          <w:tblCellMar>
            <w:top w:w="0" w:type="dxa"/>
            <w:left w:w="0" w:type="dxa"/>
            <w:bottom w:w="0" w:type="dxa"/>
            <w:right w:w="0" w:type="dxa"/>
          </w:tblCellMar>
        </w:tblPrEx>
        <w:trPr>
          <w:cantSplit/>
          <w:trHeight w:val="114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23</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提升全县交通综合治理能力。建设智慧交通一体化云平台，构建交通综合指挥监控一张图，构建动静结合的违法监控环境，打造“数字交警”管理运行新形态；推广无感停车和车路协同应用拓展。</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县交通局</w:t>
            </w:r>
            <w:r>
              <w:rPr>
                <w:rFonts w:hint="eastAsia" w:ascii="仿宋_GB2312" w:hAnsi="宋体" w:cs="仿宋_GB2312"/>
                <w:i w:val="0"/>
                <w:color w:val="auto"/>
                <w:kern w:val="0"/>
                <w:sz w:val="24"/>
                <w:szCs w:val="24"/>
                <w:u w:val="none"/>
                <w:lang w:val="en-US" w:eastAsia="zh-CN" w:bidi="ar"/>
              </w:rPr>
              <w:t>、县公安局</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24</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水利资源治理水平。以“水利工程补短板、水利行业强监管”为目标，通过物联感知、云平台、大数据、人工智能和移动互联网等技术，结合BIM、GIS等基础平台，实现水利工程可视化动态监管，创新AI+水利数据模型。</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县水利局</w:t>
            </w:r>
          </w:p>
        </w:tc>
      </w:tr>
      <w:tr>
        <w:tblPrEx>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25</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应急管理数字化水平。完善应急指挥体系，推动应急响应和指挥决策一体化平台建设，推动县级应急平台向上与市、省应急管理综合应用平台衔接，向下贯通各乡镇（开发区）应急平台，形成一体化全覆盖的应急管理体系。</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县应急局</w:t>
            </w:r>
          </w:p>
        </w:tc>
      </w:tr>
      <w:tr>
        <w:tblPrEx>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26</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提升环境治理监测水平。构建覆盖环境全业务的大数据资源体系，打造生态环境监测体系应用，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县生态环境分局</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27</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快市场监管大数据中心建设，构建市场监管大数据资源体系，整合市场监管部门、业务、电商平台、社交媒体等数据，开展统计、预测、预警、预报、评估等大数据关联分析与应用，及时掌握市场主体经营状况，</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县市场</w:t>
            </w:r>
            <w:r>
              <w:rPr>
                <w:rFonts w:hint="eastAsia" w:ascii="仿宋_GB2312" w:hAnsi="宋体" w:cs="仿宋_GB2312"/>
                <w:i w:val="0"/>
                <w:color w:val="auto"/>
                <w:kern w:val="0"/>
                <w:sz w:val="24"/>
                <w:szCs w:val="24"/>
                <w:u w:val="none"/>
                <w:lang w:val="en-US" w:eastAsia="zh-CN" w:bidi="ar"/>
              </w:rPr>
              <w:t>监管</w:t>
            </w:r>
            <w:r>
              <w:rPr>
                <w:rFonts w:hint="eastAsia" w:ascii="仿宋_GB2312" w:hAnsi="宋体" w:eastAsia="仿宋_GB2312" w:cs="仿宋_GB2312"/>
                <w:i w:val="0"/>
                <w:color w:val="auto"/>
                <w:kern w:val="0"/>
                <w:sz w:val="24"/>
                <w:szCs w:val="24"/>
                <w:u w:val="none"/>
                <w:lang w:val="en-US" w:eastAsia="zh-CN" w:bidi="ar"/>
              </w:rPr>
              <w:t>局</w:t>
            </w:r>
          </w:p>
        </w:tc>
      </w:tr>
      <w:tr>
        <w:tblPrEx>
          <w:tblCellMar>
            <w:top w:w="0" w:type="dxa"/>
            <w:left w:w="0" w:type="dxa"/>
            <w:bottom w:w="0" w:type="dxa"/>
            <w:right w:w="0" w:type="dxa"/>
          </w:tblCellMar>
        </w:tblPrEx>
        <w:trPr>
          <w:cantSplit/>
          <w:trHeight w:val="285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28</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构建以信用为基础的社会治理模式。打通多部门数据，以自然人身份证号码、法人统一社会信用代码为关键要素，建立和完善自然人、企业法人、非企业法人霍邱县公共信用数据库。依法采集、整合在市场交易和社会交往活动中形成的信用信息，构建信用数据监管模型，开展信用信息关联分析、风险预警评估。构建政府、社会共同参与的守信联合激励和失信联合惩戒机制，增强社会诚信和自治能力。</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县发改委、县直有关单位</w:t>
            </w:r>
          </w:p>
        </w:tc>
      </w:tr>
      <w:tr>
        <w:tblPrEx>
          <w:shd w:val="clear" w:color="auto" w:fill="auto"/>
          <w:tblCellMar>
            <w:top w:w="0" w:type="dxa"/>
            <w:left w:w="0" w:type="dxa"/>
            <w:bottom w:w="0" w:type="dxa"/>
            <w:right w:w="0" w:type="dxa"/>
          </w:tblCellMar>
        </w:tblPrEx>
        <w:trPr>
          <w:cantSplit/>
          <w:trHeight w:val="85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29</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提升网络空间综合治理能力。构建多类型、多渠道、多行业的互联网媒体融合监管机制，对霍邱网络媒体、论坛、APP、属地网站上的违法违规内容监管。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县公安局</w:t>
            </w:r>
          </w:p>
        </w:tc>
      </w:tr>
      <w:tr>
        <w:tblPrEx>
          <w:shd w:val="clear" w:color="auto" w:fill="auto"/>
          <w:tblCellMar>
            <w:top w:w="0" w:type="dxa"/>
            <w:left w:w="0" w:type="dxa"/>
            <w:bottom w:w="0" w:type="dxa"/>
            <w:right w:w="0" w:type="dxa"/>
          </w:tblCellMar>
        </w:tblPrEx>
        <w:trPr>
          <w:cantSplit/>
          <w:trHeight w:val="1140"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30</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大胆探索跨界融合，激发创业创新活力</w:t>
            </w: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发展“互联网+双创”。支持制造企业和互联网企业开展平台建设、技术研发、产品创新、品牌培育、配套服务等领域合作，推动研发设计、生产制造和营销服务模式变革，提高创新效率。</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县科技局</w:t>
            </w:r>
          </w:p>
        </w:tc>
      </w:tr>
      <w:tr>
        <w:tblPrEx>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31</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auto"/>
                <w:sz w:val="28"/>
                <w:szCs w:val="28"/>
                <w:u w:val="none"/>
              </w:rPr>
            </w:pPr>
          </w:p>
        </w:tc>
        <w:tc>
          <w:tcPr>
            <w:tcW w:w="5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发展“互联网+设计”。大力推进工业创新服务平台建设，加强研发设计机构和制造企业的合作对接和融合发展，引导企业使用众包众创等新型研发模式，建设一批省级互联网工业设计中心，发展网络协同设计、众包设计、虚拟仿真、3D打印等新模式。</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县科技局</w:t>
            </w:r>
          </w:p>
        </w:tc>
      </w:tr>
      <w:tr>
        <w:tblPrEx>
          <w:tblCellMar>
            <w:top w:w="0" w:type="dxa"/>
            <w:left w:w="0" w:type="dxa"/>
            <w:bottom w:w="0" w:type="dxa"/>
            <w:right w:w="0" w:type="dxa"/>
          </w:tblCellMar>
        </w:tblPrEx>
        <w:trPr>
          <w:cantSplit/>
          <w:trHeight w:val="2280" w:hRule="atLeast"/>
          <w:jc w:val="center"/>
        </w:trPr>
        <w:tc>
          <w:tcPr>
            <w:tcW w:w="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32</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大力推进数字农村，助力美丽乡村建设</w:t>
            </w:r>
          </w:p>
        </w:tc>
        <w:tc>
          <w:tcPr>
            <w:tcW w:w="54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加强农村农业信息服务。完善“霍邱县数字农业网”，</w:t>
            </w:r>
            <w:r>
              <w:rPr>
                <w:rFonts w:hint="eastAsia" w:ascii="仿宋_GB2312" w:hAnsi="宋体" w:cs="仿宋_GB2312"/>
                <w:i w:val="0"/>
                <w:color w:val="auto"/>
                <w:kern w:val="0"/>
                <w:sz w:val="24"/>
                <w:szCs w:val="24"/>
                <w:u w:val="none"/>
                <w:lang w:val="en-US" w:eastAsia="zh-CN" w:bidi="ar"/>
              </w:rPr>
              <w:t>农技12316服务</w:t>
            </w:r>
            <w:r>
              <w:rPr>
                <w:rFonts w:hint="eastAsia" w:ascii="仿宋_GB2312" w:hAnsi="宋体" w:eastAsia="仿宋_GB2312" w:cs="仿宋_GB2312"/>
                <w:i w:val="0"/>
                <w:color w:val="auto"/>
                <w:kern w:val="0"/>
                <w:sz w:val="24"/>
                <w:szCs w:val="24"/>
                <w:u w:val="none"/>
                <w:lang w:val="en-US" w:eastAsia="zh-CN" w:bidi="ar"/>
              </w:rPr>
              <w:t>热线，“农民信箱”等农村综合信息服务平台建设，全面推行农村集体“三资”管理数字化。建立土地流转、招商引资，现代农业、农产品基地、农业项目管理、农业统计等农业工作数据库。全县开展</w:t>
            </w:r>
            <w:r>
              <w:rPr>
                <w:rFonts w:hint="eastAsia" w:ascii="仿宋_GB2312" w:hAnsi="宋体" w:cs="仿宋_GB2312"/>
                <w:i w:val="0"/>
                <w:color w:val="auto"/>
                <w:kern w:val="0"/>
                <w:sz w:val="24"/>
                <w:szCs w:val="24"/>
                <w:u w:val="none"/>
                <w:lang w:val="en-US" w:eastAsia="zh-CN" w:bidi="ar"/>
              </w:rPr>
              <w:t>益农信息服务社</w:t>
            </w:r>
            <w:r>
              <w:rPr>
                <w:rFonts w:hint="eastAsia" w:ascii="仿宋_GB2312" w:hAnsi="宋体" w:eastAsia="仿宋_GB2312" w:cs="仿宋_GB2312"/>
                <w:i w:val="0"/>
                <w:color w:val="auto"/>
                <w:kern w:val="0"/>
                <w:sz w:val="24"/>
                <w:szCs w:val="24"/>
                <w:u w:val="none"/>
                <w:lang w:val="en-US" w:eastAsia="zh-CN" w:bidi="ar"/>
              </w:rPr>
              <w:t>，建立农村综合信息服务站管理员队伍，各村设置</w:t>
            </w:r>
            <w:r>
              <w:rPr>
                <w:rFonts w:hint="eastAsia" w:ascii="仿宋_GB2312" w:hAnsi="宋体" w:cs="仿宋_GB2312"/>
                <w:i w:val="0"/>
                <w:color w:val="auto"/>
                <w:kern w:val="0"/>
                <w:sz w:val="24"/>
                <w:szCs w:val="24"/>
                <w:u w:val="none"/>
                <w:lang w:val="en-US" w:eastAsia="zh-CN" w:bidi="ar"/>
              </w:rPr>
              <w:t>专（兼）职</w:t>
            </w:r>
            <w:r>
              <w:rPr>
                <w:rFonts w:hint="eastAsia" w:ascii="仿宋_GB2312" w:hAnsi="宋体" w:eastAsia="仿宋_GB2312" w:cs="仿宋_GB2312"/>
                <w:i w:val="0"/>
                <w:color w:val="auto"/>
                <w:kern w:val="0"/>
                <w:sz w:val="24"/>
                <w:szCs w:val="24"/>
                <w:u w:val="none"/>
                <w:lang w:val="en-US" w:eastAsia="zh-CN" w:bidi="ar"/>
              </w:rPr>
              <w:t>信息联络员，并定期进行培训。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县农业农村局</w:t>
            </w:r>
          </w:p>
        </w:tc>
      </w:tr>
      <w:tr>
        <w:tblPrEx>
          <w:tblCellMar>
            <w:top w:w="0" w:type="dxa"/>
            <w:left w:w="0" w:type="dxa"/>
            <w:bottom w:w="0" w:type="dxa"/>
            <w:right w:w="0" w:type="dxa"/>
          </w:tblCellMar>
        </w:tblPrEx>
        <w:trPr>
          <w:cantSplit/>
          <w:trHeight w:val="2280" w:hRule="atLeast"/>
          <w:jc w:val="center"/>
        </w:trPr>
        <w:tc>
          <w:tcPr>
            <w:tcW w:w="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33</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32"/>
                <w:szCs w:val="32"/>
                <w:u w:val="none"/>
              </w:rPr>
            </w:pPr>
          </w:p>
        </w:tc>
        <w:tc>
          <w:tcPr>
            <w:tcW w:w="54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推进农业生产与管理</w:t>
            </w:r>
            <w:r>
              <w:rPr>
                <w:rFonts w:hint="eastAsia" w:ascii="仿宋_GB2312" w:hAnsi="宋体" w:cs="仿宋_GB2312"/>
                <w:i w:val="0"/>
                <w:color w:val="auto"/>
                <w:kern w:val="0"/>
                <w:sz w:val="24"/>
                <w:szCs w:val="24"/>
                <w:u w:val="none"/>
                <w:lang w:val="en-US" w:eastAsia="zh-CN" w:bidi="ar"/>
              </w:rPr>
              <w:t>智能化</w:t>
            </w:r>
            <w:r>
              <w:rPr>
                <w:rFonts w:hint="eastAsia" w:ascii="仿宋_GB2312" w:hAnsi="宋体" w:eastAsia="仿宋_GB2312" w:cs="仿宋_GB2312"/>
                <w:i w:val="0"/>
                <w:color w:val="auto"/>
                <w:kern w:val="0"/>
                <w:sz w:val="24"/>
                <w:szCs w:val="24"/>
                <w:u w:val="none"/>
                <w:lang w:val="en-US" w:eastAsia="zh-CN" w:bidi="ar"/>
              </w:rPr>
              <w:t>。在种植领域，推进温室环境监控系统、植物生长管理系统、产品分级系统、自动收获采摘系统等信息技术的应用，在养殖领域，建设一批集智能感知、智能传输、智能控制为一体的设施化畜禽养殖场，提高畜禽养殖的智能化及自动化水平。加强农业信息资源建设、整合土壤分析体系、灌溉监测体系、作物个体生长监控体系等涉农系统。积极开展农业地理信息系统试点建设。</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县农业农村局</w:t>
            </w:r>
          </w:p>
        </w:tc>
      </w:tr>
      <w:tr>
        <w:tblPrEx>
          <w:shd w:val="clear" w:color="auto" w:fill="auto"/>
          <w:tblCellMar>
            <w:top w:w="0" w:type="dxa"/>
            <w:left w:w="0" w:type="dxa"/>
            <w:bottom w:w="0" w:type="dxa"/>
            <w:right w:w="0" w:type="dxa"/>
          </w:tblCellMar>
        </w:tblPrEx>
        <w:trPr>
          <w:cantSplit/>
          <w:trHeight w:val="1425" w:hRule="atLeast"/>
          <w:jc w:val="center"/>
        </w:trPr>
        <w:tc>
          <w:tcPr>
            <w:tcW w:w="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28"/>
                <w:szCs w:val="28"/>
                <w:u w:val="none"/>
                <w:lang w:val="en-US" w:eastAsia="zh-CN" w:bidi="ar"/>
              </w:rPr>
              <w:t>34</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32"/>
                <w:szCs w:val="32"/>
                <w:u w:val="none"/>
              </w:rPr>
            </w:pPr>
          </w:p>
        </w:tc>
        <w:tc>
          <w:tcPr>
            <w:tcW w:w="54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培育农业电子商务市场主体。加强农业电商产业基地，电商服务点和供应链建设，加强各类农业生产经营主体与大型电商平台合作，推广“田头市场+电商企业+城市终端配送”等营销模式，引导</w:t>
            </w:r>
            <w:r>
              <w:rPr>
                <w:rFonts w:hint="eastAsia" w:ascii="仿宋_GB2312" w:hAnsi="宋体" w:cs="仿宋_GB2312"/>
                <w:i w:val="0"/>
                <w:color w:val="auto"/>
                <w:kern w:val="0"/>
                <w:sz w:val="24"/>
                <w:szCs w:val="24"/>
                <w:u w:val="none"/>
                <w:lang w:val="en-US" w:eastAsia="zh-CN" w:bidi="ar"/>
              </w:rPr>
              <w:t>绿色农产品</w:t>
            </w:r>
            <w:r>
              <w:rPr>
                <w:rFonts w:hint="eastAsia" w:ascii="仿宋_GB2312" w:hAnsi="宋体" w:eastAsia="仿宋_GB2312" w:cs="仿宋_GB2312"/>
                <w:i w:val="0"/>
                <w:color w:val="auto"/>
                <w:kern w:val="0"/>
                <w:sz w:val="24"/>
                <w:szCs w:val="24"/>
                <w:u w:val="none"/>
                <w:lang w:val="en-US" w:eastAsia="zh-CN" w:bidi="ar"/>
              </w:rPr>
              <w:t>抱团开拓网上市场。</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县农业农村局</w:t>
            </w:r>
          </w:p>
        </w:tc>
      </w:tr>
    </w:tbl>
    <w:p>
      <w:pPr>
        <w:tabs>
          <w:tab w:val="left" w:pos="6356"/>
        </w:tabs>
        <w:bidi w:val="0"/>
        <w:spacing w:line="240" w:lineRule="auto"/>
        <w:ind w:left="0" w:leftChars="0" w:firstLine="0" w:firstLineChars="0"/>
        <w:jc w:val="left"/>
        <w:rPr>
          <w:rFonts w:hint="default"/>
          <w:color w:val="auto"/>
          <w:lang w:val="en-US" w:eastAsia="zh-CN"/>
        </w:rPr>
      </w:pPr>
    </w:p>
    <w:p>
      <w:pPr>
        <w:pStyle w:val="3"/>
        <w:rPr>
          <w:rFonts w:hint="default"/>
          <w:color w:val="auto"/>
          <w:lang w:val="en-US" w:eastAsia="zh-CN"/>
        </w:rPr>
      </w:pPr>
    </w:p>
    <w:p>
      <w:pPr>
        <w:rPr>
          <w:rFonts w:hint="default"/>
          <w:color w:val="auto"/>
          <w:lang w:val="en-US" w:eastAsia="zh-CN"/>
        </w:rPr>
      </w:pPr>
    </w:p>
    <w:p>
      <w:pPr>
        <w:pStyle w:val="3"/>
        <w:rPr>
          <w:rFonts w:hint="default"/>
          <w:color w:val="auto"/>
          <w:lang w:val="en-US" w:eastAsia="zh-CN"/>
        </w:rPr>
      </w:pPr>
    </w:p>
    <w:p>
      <w:pPr>
        <w:rPr>
          <w:rFonts w:hint="default"/>
          <w:color w:val="auto"/>
          <w:lang w:val="en-US" w:eastAsia="zh-CN"/>
        </w:rPr>
      </w:pPr>
    </w:p>
    <w:p>
      <w:pPr>
        <w:pStyle w:val="3"/>
        <w:rPr>
          <w:rFonts w:hint="default"/>
          <w:color w:val="auto"/>
          <w:lang w:val="en-US" w:eastAsia="zh-CN"/>
        </w:rPr>
      </w:pPr>
    </w:p>
    <w:p>
      <w:pPr>
        <w:rPr>
          <w:rFonts w:hint="default"/>
          <w:color w:val="auto"/>
          <w:lang w:val="en-US" w:eastAsia="zh-CN"/>
        </w:rPr>
      </w:pPr>
    </w:p>
    <w:p>
      <w:pPr>
        <w:pStyle w:val="3"/>
        <w:rPr>
          <w:rFonts w:hint="default"/>
          <w:color w:val="auto"/>
          <w:lang w:val="en-US" w:eastAsia="zh-CN"/>
        </w:rPr>
      </w:pPr>
    </w:p>
    <w:p>
      <w:pPr>
        <w:rPr>
          <w:rFonts w:hint="default"/>
          <w:lang w:val="en-US" w:eastAsia="zh-CN"/>
        </w:rPr>
      </w:pPr>
    </w:p>
    <w:p>
      <w:pPr>
        <w:pStyle w:val="3"/>
        <w:ind w:left="0" w:leftChars="0" w:firstLine="0" w:firstLineChars="0"/>
        <w:jc w:val="left"/>
        <w:rPr>
          <w:rFonts w:hint="eastAsia" w:ascii="黑体" w:hAnsi="黑体" w:eastAsia="黑体" w:cs="黑体"/>
          <w:color w:val="auto"/>
          <w:lang w:val="en-US" w:eastAsia="zh-CN"/>
        </w:rPr>
      </w:pPr>
      <w:bookmarkStart w:id="85" w:name="_Toc14548"/>
      <w:r>
        <w:rPr>
          <w:rFonts w:hint="eastAsia" w:ascii="黑体" w:hAnsi="黑体" w:eastAsia="黑体" w:cs="黑体"/>
          <w:color w:val="auto"/>
          <w:lang w:val="en-US" w:eastAsia="zh-CN"/>
        </w:rPr>
        <w:t>附件2</w:t>
      </w:r>
      <w:bookmarkEnd w:id="85"/>
    </w:p>
    <w:p>
      <w:pPr>
        <w:pStyle w:val="3"/>
        <w:ind w:left="0" w:leftChars="0" w:firstLine="0" w:firstLineChars="0"/>
        <w:jc w:val="center"/>
        <w:rPr>
          <w:rFonts w:hint="eastAsia" w:ascii="黑体" w:hAnsi="黑体" w:eastAsia="黑体" w:cs="黑体"/>
          <w:color w:val="auto"/>
          <w:lang w:val="en-US" w:eastAsia="zh-CN"/>
        </w:rPr>
      </w:pPr>
      <w:bookmarkStart w:id="86" w:name="_Toc22342"/>
      <w:r>
        <w:rPr>
          <w:rFonts w:hint="eastAsia" w:ascii="黑体" w:hAnsi="黑体" w:eastAsia="黑体" w:cs="黑体"/>
          <w:color w:val="auto"/>
          <w:lang w:val="en-US" w:eastAsia="zh-CN"/>
        </w:rPr>
        <w:t>编制依据</w:t>
      </w:r>
      <w:bookmarkEnd w:id="86"/>
    </w:p>
    <w:p>
      <w:pPr>
        <w:rPr>
          <w:rFonts w:hint="eastAsia"/>
          <w:lang w:val="en-US" w:eastAsia="zh-CN"/>
        </w:rPr>
      </w:pPr>
    </w:p>
    <w:tbl>
      <w:tblPr>
        <w:tblStyle w:val="13"/>
        <w:tblW w:w="8797" w:type="dxa"/>
        <w:tblInd w:w="-113" w:type="dxa"/>
        <w:tblLayout w:type="fixed"/>
        <w:tblCellMar>
          <w:top w:w="0" w:type="dxa"/>
          <w:left w:w="108" w:type="dxa"/>
          <w:bottom w:w="0" w:type="dxa"/>
          <w:right w:w="108" w:type="dxa"/>
        </w:tblCellMar>
      </w:tblPr>
      <w:tblGrid>
        <w:gridCol w:w="716"/>
        <w:gridCol w:w="622"/>
        <w:gridCol w:w="7459"/>
      </w:tblGrid>
      <w:tr>
        <w:tblPrEx>
          <w:tblCellMar>
            <w:top w:w="0" w:type="dxa"/>
            <w:left w:w="108" w:type="dxa"/>
            <w:bottom w:w="0" w:type="dxa"/>
            <w:right w:w="108" w:type="dxa"/>
          </w:tblCellMar>
        </w:tblPrEx>
        <w:trPr>
          <w:trHeight w:val="567" w:hRule="exact"/>
        </w:trPr>
        <w:tc>
          <w:tcPr>
            <w:tcW w:w="716"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b/>
                <w:bCs/>
                <w:color w:val="auto"/>
                <w:kern w:val="2"/>
                <w:sz w:val="21"/>
                <w:szCs w:val="22"/>
              </w:rPr>
            </w:pPr>
            <w:r>
              <w:rPr>
                <w:rFonts w:hint="eastAsia" w:ascii="仿宋_GB2312" w:hAnsi="仿宋_GB2312" w:eastAsia="仿宋_GB2312" w:cs="仿宋_GB2312"/>
                <w:b/>
                <w:bCs/>
                <w:color w:val="auto"/>
                <w:kern w:val="2"/>
                <w:sz w:val="21"/>
                <w:szCs w:val="22"/>
              </w:rPr>
              <w:t>类型</w:t>
            </w:r>
          </w:p>
        </w:tc>
        <w:tc>
          <w:tcPr>
            <w:tcW w:w="622" w:type="dxa"/>
            <w:tcBorders>
              <w:top w:val="single" w:color="auto" w:sz="8" w:space="0"/>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b/>
                <w:bCs/>
                <w:color w:val="auto"/>
                <w:kern w:val="2"/>
                <w:sz w:val="21"/>
                <w:szCs w:val="22"/>
              </w:rPr>
            </w:pPr>
            <w:r>
              <w:rPr>
                <w:rFonts w:hint="eastAsia" w:ascii="仿宋_GB2312" w:hAnsi="仿宋_GB2312" w:eastAsia="仿宋_GB2312" w:cs="仿宋_GB2312"/>
                <w:b/>
                <w:bCs/>
                <w:color w:val="auto"/>
                <w:kern w:val="2"/>
                <w:sz w:val="21"/>
                <w:szCs w:val="22"/>
              </w:rPr>
              <w:t>序号</w:t>
            </w:r>
          </w:p>
        </w:tc>
        <w:tc>
          <w:tcPr>
            <w:tcW w:w="7459" w:type="dxa"/>
            <w:tcBorders>
              <w:top w:val="single" w:color="auto" w:sz="8" w:space="0"/>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b/>
                <w:bCs/>
                <w:color w:val="auto"/>
                <w:kern w:val="2"/>
                <w:sz w:val="21"/>
                <w:szCs w:val="22"/>
              </w:rPr>
            </w:pPr>
            <w:r>
              <w:rPr>
                <w:rFonts w:hint="eastAsia" w:ascii="仿宋_GB2312" w:hAnsi="仿宋_GB2312" w:eastAsia="仿宋_GB2312" w:cs="仿宋_GB2312"/>
                <w:b/>
                <w:bCs/>
                <w:color w:val="auto"/>
                <w:kern w:val="2"/>
                <w:sz w:val="21"/>
                <w:szCs w:val="22"/>
              </w:rPr>
              <w:t>政策名称</w:t>
            </w:r>
          </w:p>
        </w:tc>
      </w:tr>
      <w:tr>
        <w:tblPrEx>
          <w:tblCellMar>
            <w:top w:w="0" w:type="dxa"/>
            <w:left w:w="108" w:type="dxa"/>
            <w:bottom w:w="0" w:type="dxa"/>
            <w:right w:w="108" w:type="dxa"/>
          </w:tblCellMar>
        </w:tblPrEx>
        <w:trPr>
          <w:trHeight w:val="567" w:hRule="exact"/>
        </w:trPr>
        <w:tc>
          <w:tcPr>
            <w:tcW w:w="716" w:type="dxa"/>
            <w:vMerge w:val="restart"/>
            <w:tcBorders>
              <w:top w:val="nil"/>
              <w:left w:val="single" w:color="auto" w:sz="8" w:space="0"/>
              <w:bottom w:val="single" w:color="000000"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国家</w:t>
            </w: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1</w:t>
            </w:r>
          </w:p>
        </w:tc>
        <w:tc>
          <w:tcPr>
            <w:tcW w:w="7459" w:type="dxa"/>
            <w:tcBorders>
              <w:top w:val="nil"/>
              <w:left w:val="nil"/>
              <w:bottom w:val="single" w:color="auto" w:sz="8" w:space="0"/>
              <w:right w:val="single" w:color="auto" w:sz="8" w:space="0"/>
            </w:tcBorders>
            <w:noWrap w:val="0"/>
            <w:vAlign w:val="center"/>
          </w:tcPr>
          <w:p>
            <w:pPr>
              <w:widowControl w:val="0"/>
              <w:numPr>
                <w:ilvl w:val="0"/>
                <w:numId w:val="0"/>
              </w:numPr>
              <w:kinsoku/>
              <w:wordWrap/>
              <w:overflowPunct/>
              <w:topLinePunct w:val="0"/>
              <w:bidi w:val="0"/>
              <w:adjustRightInd w:val="0"/>
              <w:snapToGrid w:val="0"/>
              <w:spacing w:line="560" w:lineRule="exact"/>
              <w:ind w:right="0" w:rightChars="0"/>
              <w:jc w:val="both"/>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《国家信息化发展战略纲要》（中办发〔2016〕48号）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2</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《中国共产党第十九次全国代表大会报告》</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3</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《中国制造2025》（国发〔2015〕28号）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4</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bookmarkStart w:id="87" w:name="_Hlk50123773"/>
            <w:r>
              <w:rPr>
                <w:rFonts w:hint="eastAsia" w:ascii="仿宋_GB2312" w:hAnsi="仿宋_GB2312" w:eastAsia="仿宋_GB2312" w:cs="仿宋_GB2312"/>
                <w:color w:val="auto"/>
                <w:kern w:val="2"/>
                <w:sz w:val="21"/>
                <w:szCs w:val="22"/>
                <w:lang w:val="zh-CN" w:eastAsia="zh-CN" w:bidi="ar-SA"/>
              </w:rPr>
              <w:t>《国务院办公厅关于印发政务信息系统整合共享实施方案的通知》</w:t>
            </w:r>
            <w:bookmarkEnd w:id="87"/>
            <w:r>
              <w:rPr>
                <w:rFonts w:hint="eastAsia" w:ascii="仿宋_GB2312" w:hAnsi="仿宋_GB2312" w:eastAsia="仿宋_GB2312" w:cs="仿宋_GB2312"/>
                <w:color w:val="auto"/>
                <w:kern w:val="2"/>
                <w:sz w:val="21"/>
                <w:szCs w:val="22"/>
                <w:lang w:val="zh-CN" w:eastAsia="zh-CN" w:bidi="ar-SA"/>
              </w:rPr>
              <w:t>（国办发〔2017〕39号）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5</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bookmarkStart w:id="88" w:name="_Hlk50123709"/>
            <w:r>
              <w:rPr>
                <w:rFonts w:hint="eastAsia" w:ascii="仿宋_GB2312" w:hAnsi="仿宋_GB2312" w:eastAsia="仿宋_GB2312" w:cs="仿宋_GB2312"/>
                <w:color w:val="auto"/>
                <w:kern w:val="2"/>
                <w:sz w:val="21"/>
                <w:szCs w:val="22"/>
                <w:lang w:val="zh-CN" w:eastAsia="zh-CN" w:bidi="ar-SA"/>
              </w:rPr>
              <w:t>《工业和信息化部办公厅关于推动工业互联网加快发展的通知》</w:t>
            </w:r>
            <w:bookmarkEnd w:id="88"/>
            <w:r>
              <w:rPr>
                <w:rFonts w:hint="eastAsia" w:ascii="仿宋_GB2312" w:hAnsi="仿宋_GB2312" w:eastAsia="仿宋_GB2312" w:cs="仿宋_GB2312"/>
                <w:color w:val="auto"/>
                <w:kern w:val="2"/>
                <w:sz w:val="21"/>
                <w:szCs w:val="22"/>
                <w:lang w:val="zh-CN" w:eastAsia="zh-CN" w:bidi="ar-SA"/>
              </w:rPr>
              <w:t>（工信厅信管〔2020〕8号）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6</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《中国共产党第十九次全国代表大会报告》</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7</w:t>
            </w:r>
          </w:p>
        </w:tc>
        <w:tc>
          <w:tcPr>
            <w:tcW w:w="7459" w:type="dxa"/>
            <w:tcBorders>
              <w:top w:val="nil"/>
              <w:left w:val="nil"/>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《工业和信息化部关于推动5G加快发展的通知》（工信部通信〔2020〕49号）</w:t>
            </w: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8</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《关于促进“互联网+社会服务”发展的意见》（发改高技〔2019〕1903号）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top w:val="nil"/>
              <w:left w:val="single" w:color="auto" w:sz="8" w:space="0"/>
              <w:bottom w:val="single" w:color="000000"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9</w:t>
            </w:r>
          </w:p>
        </w:tc>
        <w:tc>
          <w:tcPr>
            <w:tcW w:w="7459" w:type="dxa"/>
            <w:tcBorders>
              <w:top w:val="nil"/>
              <w:left w:val="nil"/>
              <w:bottom w:val="single" w:color="auto" w:sz="8" w:space="0"/>
              <w:right w:val="single" w:color="auto" w:sz="8" w:space="0"/>
            </w:tcBorders>
            <w:noWrap w:val="0"/>
            <w:vAlign w:val="center"/>
          </w:tcPr>
          <w:p>
            <w:pPr>
              <w:spacing w:line="240" w:lineRule="auto"/>
              <w:ind w:firstLine="0" w:firstLineChars="0"/>
              <w:jc w:val="left"/>
              <w:rPr>
                <w:rFonts w:hint="eastAsia" w:ascii="仿宋_GB2312" w:hAnsi="仿宋_GB2312" w:eastAsia="仿宋_GB2312" w:cs="仿宋_GB2312"/>
                <w:color w:val="auto"/>
                <w:kern w:val="2"/>
                <w:sz w:val="21"/>
                <w:szCs w:val="22"/>
                <w:lang w:val="zh-CN" w:eastAsia="zh-CN" w:bidi="ar-SA"/>
              </w:rPr>
            </w:pPr>
            <w:r>
              <w:rPr>
                <w:rFonts w:hint="eastAsia" w:ascii="仿宋_GB2312" w:hAnsi="仿宋_GB2312" w:eastAsia="仿宋_GB2312" w:cs="仿宋_GB2312"/>
                <w:color w:val="auto"/>
                <w:kern w:val="2"/>
                <w:sz w:val="21"/>
                <w:szCs w:val="22"/>
                <w:lang w:val="zh-CN" w:eastAsia="zh-CN" w:bidi="ar-SA"/>
              </w:rPr>
              <w:t>《</w:t>
            </w:r>
            <w:r>
              <w:rPr>
                <w:rFonts w:hint="eastAsia" w:ascii="仿宋_GB2312" w:hAnsi="仿宋_GB2312" w:eastAsia="仿宋_GB2312" w:cs="仿宋_GB2312"/>
                <w:color w:val="auto"/>
                <w:kern w:val="2"/>
                <w:sz w:val="21"/>
                <w:szCs w:val="22"/>
                <w:lang w:val="zh-CN" w:eastAsia="zh-CN"/>
              </w:rPr>
              <w:t>国务院</w:t>
            </w:r>
            <w:r>
              <w:rPr>
                <w:rFonts w:hint="eastAsia" w:ascii="仿宋_GB2312" w:hAnsi="仿宋_GB2312" w:eastAsia="仿宋_GB2312" w:cs="仿宋_GB2312"/>
                <w:color w:val="auto"/>
                <w:kern w:val="2"/>
                <w:sz w:val="21"/>
                <w:szCs w:val="22"/>
                <w:lang w:val="zh-CN" w:eastAsia="zh-CN" w:bidi="ar-SA"/>
              </w:rPr>
              <w:t>关于加快推进全国一体化在线政务服务平台建设的指导意见》（国发〔2018〕27号）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restart"/>
            <w:tcBorders>
              <w:top w:val="nil"/>
              <w:left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安徽省</w:t>
            </w: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1</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bookmarkStart w:id="89" w:name="_Hlk50091654"/>
            <w:r>
              <w:rPr>
                <w:rFonts w:hint="eastAsia" w:ascii="仿宋_GB2312" w:hAnsi="仿宋_GB2312" w:eastAsia="仿宋_GB2312" w:cs="仿宋_GB2312"/>
                <w:color w:val="auto"/>
                <w:kern w:val="2"/>
                <w:sz w:val="21"/>
                <w:szCs w:val="22"/>
                <w:lang w:val="en-US" w:eastAsia="zh-CN" w:bidi="ar-SA"/>
              </w:rPr>
              <w:t>《长三角区域一体化发展规划纲要》</w:t>
            </w:r>
          </w:p>
          <w:bookmarkEnd w:id="89"/>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2</w:t>
            </w:r>
          </w:p>
        </w:tc>
        <w:tc>
          <w:tcPr>
            <w:tcW w:w="7459" w:type="dxa"/>
            <w:tcBorders>
              <w:top w:val="nil"/>
              <w:left w:val="nil"/>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《安徽省人民政府关于印发支持数字经济发展若干政策的通知》（皖政〔2018〕95号）</w:t>
            </w: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3</w:t>
            </w:r>
          </w:p>
        </w:tc>
        <w:tc>
          <w:tcPr>
            <w:tcW w:w="7459" w:type="dxa"/>
            <w:tcBorders>
              <w:top w:val="nil"/>
              <w:left w:val="nil"/>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《数字江淮”建设总体规划（2020—2025年）》</w:t>
            </w: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4</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《安徽省人民政府关于打造</w:t>
            </w:r>
            <w:r>
              <w:rPr>
                <w:rFonts w:hint="eastAsia" w:ascii="仿宋_GB2312" w:hAnsi="仿宋_GB2312" w:eastAsia="仿宋_GB2312" w:cs="仿宋_GB2312"/>
                <w:color w:val="auto"/>
                <w:kern w:val="2"/>
                <w:sz w:val="21"/>
                <w:szCs w:val="22"/>
                <w:lang w:val="zh-CN" w:eastAsia="zh-CN" w:bidi="ar-SA"/>
              </w:rPr>
              <w:t>“</w:t>
            </w:r>
            <w:r>
              <w:rPr>
                <w:rFonts w:hint="eastAsia" w:ascii="仿宋_GB2312" w:hAnsi="仿宋_GB2312" w:eastAsia="仿宋_GB2312" w:cs="仿宋_GB2312"/>
                <w:color w:val="auto"/>
                <w:kern w:val="2"/>
                <w:sz w:val="21"/>
                <w:szCs w:val="22"/>
                <w:lang w:val="en-US" w:eastAsia="zh-CN" w:bidi="ar-SA"/>
              </w:rPr>
              <w:t>皖事通办</w:t>
            </w:r>
            <w:r>
              <w:rPr>
                <w:rFonts w:hint="eastAsia" w:ascii="仿宋_GB2312" w:hAnsi="仿宋_GB2312" w:eastAsia="仿宋_GB2312" w:cs="仿宋_GB2312"/>
                <w:color w:val="auto"/>
                <w:kern w:val="2"/>
                <w:sz w:val="21"/>
                <w:szCs w:val="22"/>
                <w:lang w:val="zh-CN" w:eastAsia="zh-CN" w:bidi="ar-SA"/>
              </w:rPr>
              <w:t>”</w:t>
            </w:r>
            <w:r>
              <w:rPr>
                <w:rFonts w:hint="eastAsia" w:ascii="仿宋_GB2312" w:hAnsi="仿宋_GB2312" w:eastAsia="仿宋_GB2312" w:cs="仿宋_GB2312"/>
                <w:color w:val="auto"/>
                <w:kern w:val="2"/>
                <w:sz w:val="21"/>
                <w:szCs w:val="22"/>
                <w:lang w:val="en-US" w:eastAsia="zh-CN" w:bidi="ar-SA"/>
              </w:rPr>
              <w:t>平台加快政务数据归集共享的意见》（皖政秘〔2020〕77号）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5</w:t>
            </w:r>
          </w:p>
        </w:tc>
        <w:tc>
          <w:tcPr>
            <w:tcW w:w="7459" w:type="dxa"/>
            <w:tcBorders>
              <w:top w:val="nil"/>
              <w:left w:val="nil"/>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安徽省人民政府关于印发安徽省“数字政府”建设规划（2020—2025年）的通知（皖政〔2020〕44号）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6</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《安徽省推进</w:t>
            </w:r>
            <w:r>
              <w:rPr>
                <w:rFonts w:hint="eastAsia" w:ascii="仿宋_GB2312" w:hAnsi="仿宋_GB2312" w:eastAsia="仿宋_GB2312" w:cs="仿宋_GB2312"/>
                <w:color w:val="auto"/>
                <w:kern w:val="2"/>
                <w:sz w:val="21"/>
                <w:szCs w:val="22"/>
                <w:lang w:val="zh-CN" w:eastAsia="zh-CN" w:bidi="ar-SA"/>
              </w:rPr>
              <w:t>“</w:t>
            </w:r>
            <w:r>
              <w:rPr>
                <w:rFonts w:hint="eastAsia" w:ascii="仿宋_GB2312" w:hAnsi="仿宋_GB2312" w:eastAsia="仿宋_GB2312" w:cs="仿宋_GB2312"/>
                <w:color w:val="auto"/>
                <w:kern w:val="2"/>
                <w:sz w:val="21"/>
                <w:szCs w:val="22"/>
                <w:lang w:val="en-US" w:eastAsia="zh-CN" w:bidi="ar-SA"/>
              </w:rPr>
              <w:t>互联网+政务服务”工作规划》（皖政办〔2017〕73号）</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7</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《安徽省5G发展规划纲要（2019—2022年）》</w:t>
            </w:r>
          </w:p>
          <w:p>
            <w:pPr>
              <w:spacing w:line="240" w:lineRule="auto"/>
              <w:ind w:firstLine="0" w:firstLineChars="0"/>
              <w:rPr>
                <w:rFonts w:hint="eastAsia" w:ascii="仿宋_GB2312" w:hAnsi="仿宋_GB2312" w:eastAsia="仿宋_GB2312" w:cs="仿宋_GB2312"/>
                <w:color w:val="auto"/>
                <w:kern w:val="2"/>
                <w:sz w:val="21"/>
                <w:szCs w:val="22"/>
                <w:lang w:val="en-US" w:eastAsia="zh-CN" w:bidi="ar-SA"/>
              </w:rPr>
            </w:pPr>
          </w:p>
        </w:tc>
      </w:tr>
      <w:tr>
        <w:tblPrEx>
          <w:tblCellMar>
            <w:top w:w="0" w:type="dxa"/>
            <w:left w:w="108" w:type="dxa"/>
            <w:bottom w:w="0" w:type="dxa"/>
            <w:right w:w="108" w:type="dxa"/>
          </w:tblCellMar>
        </w:tblPrEx>
        <w:trPr>
          <w:trHeight w:val="567" w:hRule="exact"/>
        </w:trPr>
        <w:tc>
          <w:tcPr>
            <w:tcW w:w="716" w:type="dxa"/>
            <w:vMerge w:val="restart"/>
            <w:tcBorders>
              <w:top w:val="nil"/>
              <w:left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六安市</w:t>
            </w: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1</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《六安市推进长江三角洲区域一体化发展行动方案》</w:t>
            </w: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2</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《中共六安市委 六安市人民政府关于加快绿色发展建设生态文明的意见（试行）》（六发〔2014〕10号）</w:t>
            </w:r>
          </w:p>
        </w:tc>
      </w:tr>
      <w:tr>
        <w:tblPrEx>
          <w:tblCellMar>
            <w:top w:w="0" w:type="dxa"/>
            <w:left w:w="108" w:type="dxa"/>
            <w:bottom w:w="0" w:type="dxa"/>
            <w:right w:w="108" w:type="dxa"/>
          </w:tblCellMar>
        </w:tblPrEx>
        <w:trPr>
          <w:trHeight w:val="56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3</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《六安市工业转型发展三年行动计划（2018-2020年）》六政〔2018〕41号</w:t>
            </w:r>
          </w:p>
        </w:tc>
      </w:tr>
      <w:tr>
        <w:tblPrEx>
          <w:tblCellMar>
            <w:top w:w="0" w:type="dxa"/>
            <w:left w:w="108" w:type="dxa"/>
            <w:bottom w:w="0" w:type="dxa"/>
            <w:right w:w="108" w:type="dxa"/>
          </w:tblCellMar>
        </w:tblPrEx>
        <w:trPr>
          <w:trHeight w:val="1176"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eastAsia="zh-CN"/>
              </w:rPr>
            </w:pPr>
            <w:r>
              <w:rPr>
                <w:rFonts w:hint="eastAsia" w:ascii="仿宋_GB2312" w:hAnsi="仿宋_GB2312" w:cs="仿宋_GB2312"/>
                <w:color w:val="auto"/>
                <w:kern w:val="2"/>
                <w:sz w:val="21"/>
                <w:szCs w:val="22"/>
                <w:lang w:val="en-US" w:eastAsia="zh-CN"/>
              </w:rPr>
              <w:t>4</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《六安市打造“皖事通办”平台加快政务数据归集共享工作方案》（六政办秘〔2020〕65号）</w:t>
            </w:r>
          </w:p>
        </w:tc>
      </w:tr>
      <w:tr>
        <w:tblPrEx>
          <w:tblCellMar>
            <w:top w:w="0" w:type="dxa"/>
            <w:left w:w="108" w:type="dxa"/>
            <w:bottom w:w="0" w:type="dxa"/>
            <w:right w:w="108" w:type="dxa"/>
          </w:tblCellMar>
        </w:tblPrEx>
        <w:trPr>
          <w:trHeight w:val="507"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val="en-US" w:eastAsia="zh-CN"/>
              </w:rPr>
            </w:pPr>
            <w:r>
              <w:rPr>
                <w:rFonts w:hint="eastAsia" w:ascii="仿宋_GB2312" w:hAnsi="仿宋_GB2312" w:cs="仿宋_GB2312"/>
                <w:color w:val="auto"/>
                <w:kern w:val="2"/>
                <w:sz w:val="21"/>
                <w:szCs w:val="22"/>
                <w:lang w:val="en-US" w:eastAsia="zh-CN"/>
              </w:rPr>
              <w:t>5</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《六安市推进新基建工作方案》（六政秘〔2020〕72号）</w:t>
            </w:r>
          </w:p>
        </w:tc>
      </w:tr>
      <w:tr>
        <w:tblPrEx>
          <w:tblCellMar>
            <w:top w:w="0" w:type="dxa"/>
            <w:left w:w="108" w:type="dxa"/>
            <w:bottom w:w="0" w:type="dxa"/>
            <w:right w:w="108" w:type="dxa"/>
          </w:tblCellMar>
        </w:tblPrEx>
        <w:trPr>
          <w:trHeight w:val="529" w:hRule="exact"/>
        </w:trPr>
        <w:tc>
          <w:tcPr>
            <w:tcW w:w="716" w:type="dxa"/>
            <w:vMerge w:val="continue"/>
            <w:tcBorders>
              <w:left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p>
        </w:tc>
        <w:tc>
          <w:tcPr>
            <w:tcW w:w="622" w:type="dxa"/>
            <w:tcBorders>
              <w:top w:val="nil"/>
              <w:left w:val="nil"/>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val="en-US" w:eastAsia="zh-CN"/>
              </w:rPr>
            </w:pPr>
            <w:r>
              <w:rPr>
                <w:rFonts w:hint="eastAsia" w:ascii="仿宋_GB2312" w:hAnsi="仿宋_GB2312" w:cs="仿宋_GB2312"/>
                <w:color w:val="auto"/>
                <w:kern w:val="2"/>
                <w:sz w:val="21"/>
                <w:szCs w:val="22"/>
                <w:lang w:val="en-US" w:eastAsia="zh-CN"/>
              </w:rPr>
              <w:t>6</w:t>
            </w:r>
          </w:p>
        </w:tc>
        <w:tc>
          <w:tcPr>
            <w:tcW w:w="7459" w:type="dxa"/>
            <w:tcBorders>
              <w:top w:val="nil"/>
              <w:left w:val="nil"/>
              <w:bottom w:val="single" w:color="auto" w:sz="8" w:space="0"/>
              <w:right w:val="single" w:color="auto" w:sz="8" w:space="0"/>
            </w:tcBorders>
            <w:noWrap w:val="0"/>
            <w:vAlign w:val="center"/>
          </w:tcPr>
          <w:p>
            <w:pPr>
              <w:pStyle w:val="19"/>
              <w:numPr>
                <w:ilvl w:val="0"/>
                <w:numId w:val="0"/>
              </w:numPr>
              <w:kinsoku/>
              <w:wordWrap/>
              <w:overflowPunct/>
              <w:topLinePunct w:val="0"/>
              <w:bidi w:val="0"/>
              <w:adjustRightInd w:val="0"/>
              <w:snapToGrid w:val="0"/>
              <w:spacing w:line="560" w:lineRule="exact"/>
              <w:ind w:right="0" w:rightChars="0"/>
              <w:rPr>
                <w:rFonts w:hint="eastAsia" w:ascii="仿宋_GB2312" w:hAnsi="仿宋_GB2312" w:eastAsia="仿宋_GB2312" w:cs="仿宋_GB2312"/>
                <w:color w:val="auto"/>
                <w:kern w:val="2"/>
                <w:sz w:val="21"/>
                <w:szCs w:val="22"/>
                <w:lang w:val="en-US" w:eastAsia="zh-CN" w:bidi="ar-SA"/>
              </w:rPr>
            </w:pPr>
            <w:r>
              <w:rPr>
                <w:rFonts w:hint="eastAsia" w:ascii="仿宋_GB2312" w:hAnsi="仿宋_GB2312" w:eastAsia="仿宋_GB2312" w:cs="仿宋_GB2312"/>
                <w:color w:val="auto"/>
                <w:kern w:val="2"/>
                <w:sz w:val="21"/>
                <w:szCs w:val="22"/>
                <w:lang w:val="en-US" w:eastAsia="zh-CN" w:bidi="ar-SA"/>
              </w:rPr>
              <w:t>《六安市5G产业发展规划（2020-2025年）》（六政秘〔2019〕153号）</w:t>
            </w:r>
          </w:p>
        </w:tc>
      </w:tr>
      <w:tr>
        <w:tblPrEx>
          <w:tblCellMar>
            <w:top w:w="0" w:type="dxa"/>
            <w:left w:w="108" w:type="dxa"/>
            <w:bottom w:w="0" w:type="dxa"/>
            <w:right w:w="108" w:type="dxa"/>
          </w:tblCellMar>
        </w:tblPrEx>
        <w:trPr>
          <w:trHeight w:val="634" w:hRule="atLeast"/>
        </w:trPr>
        <w:tc>
          <w:tcPr>
            <w:tcW w:w="716" w:type="dxa"/>
            <w:vMerge w:val="restart"/>
            <w:tcBorders>
              <w:top w:val="single" w:color="auto" w:sz="8" w:space="0"/>
              <w:left w:val="single" w:color="auto" w:sz="8" w:space="0"/>
              <w:bottom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霍邱县</w:t>
            </w:r>
          </w:p>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p>
            <w:pPr>
              <w:spacing w:line="240" w:lineRule="auto"/>
              <w:ind w:right="113" w:firstLine="840" w:firstLineChars="40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霍邱县</w:t>
            </w:r>
          </w:p>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tc>
        <w:tc>
          <w:tcPr>
            <w:tcW w:w="622"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1</w:t>
            </w:r>
          </w:p>
        </w:tc>
        <w:tc>
          <w:tcPr>
            <w:tcW w:w="745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both"/>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lang w:val="en-US" w:eastAsia="zh-CN"/>
              </w:rPr>
              <w:t>《霍邱县人民政府关于印发&lt;支持5G发展的若干政策（试行）的通知&gt;》</w:t>
            </w:r>
          </w:p>
        </w:tc>
      </w:tr>
      <w:tr>
        <w:tblPrEx>
          <w:tblCellMar>
            <w:top w:w="0" w:type="dxa"/>
            <w:left w:w="108" w:type="dxa"/>
            <w:bottom w:w="0" w:type="dxa"/>
            <w:right w:w="108" w:type="dxa"/>
          </w:tblCellMar>
        </w:tblPrEx>
        <w:trPr>
          <w:trHeight w:val="634" w:hRule="atLeast"/>
        </w:trPr>
        <w:tc>
          <w:tcPr>
            <w:tcW w:w="716" w:type="dxa"/>
            <w:vMerge w:val="continue"/>
            <w:tcBorders>
              <w:left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tc>
        <w:tc>
          <w:tcPr>
            <w:tcW w:w="622"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val="en-US" w:eastAsia="zh-CN"/>
              </w:rPr>
            </w:pPr>
            <w:r>
              <w:rPr>
                <w:rFonts w:hint="eastAsia" w:ascii="仿宋_GB2312" w:hAnsi="仿宋_GB2312" w:eastAsia="仿宋_GB2312" w:cs="仿宋_GB2312"/>
                <w:color w:val="auto"/>
                <w:kern w:val="2"/>
                <w:sz w:val="21"/>
                <w:szCs w:val="22"/>
                <w:lang w:val="en-US" w:eastAsia="zh-CN"/>
              </w:rPr>
              <w:t>2</w:t>
            </w:r>
          </w:p>
        </w:tc>
        <w:tc>
          <w:tcPr>
            <w:tcW w:w="745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《霍邱县“十四五”规划编制意见建议》</w:t>
            </w:r>
          </w:p>
        </w:tc>
      </w:tr>
      <w:tr>
        <w:tblPrEx>
          <w:tblCellMar>
            <w:top w:w="0" w:type="dxa"/>
            <w:left w:w="108" w:type="dxa"/>
            <w:bottom w:w="0" w:type="dxa"/>
            <w:right w:w="108" w:type="dxa"/>
          </w:tblCellMar>
        </w:tblPrEx>
        <w:trPr>
          <w:trHeight w:val="513" w:hRule="atLeast"/>
        </w:trPr>
        <w:tc>
          <w:tcPr>
            <w:tcW w:w="716" w:type="dxa"/>
            <w:vMerge w:val="continue"/>
            <w:tcBorders>
              <w:top w:val="single" w:color="auto" w:sz="8" w:space="0"/>
              <w:left w:val="single" w:color="auto" w:sz="8" w:space="0"/>
              <w:bottom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tc>
        <w:tc>
          <w:tcPr>
            <w:tcW w:w="622"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eastAsia="zh-CN"/>
              </w:rPr>
            </w:pPr>
            <w:r>
              <w:rPr>
                <w:rFonts w:hint="eastAsia" w:ascii="仿宋_GB2312" w:hAnsi="仿宋_GB2312" w:eastAsia="仿宋_GB2312" w:cs="仿宋_GB2312"/>
                <w:color w:val="auto"/>
                <w:kern w:val="2"/>
                <w:sz w:val="21"/>
                <w:szCs w:val="22"/>
                <w:lang w:val="en-US" w:eastAsia="zh-CN"/>
              </w:rPr>
              <w:t>3</w:t>
            </w:r>
          </w:p>
        </w:tc>
        <w:tc>
          <w:tcPr>
            <w:tcW w:w="745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《关于2020年工业和民营经济发展的意见》（征求意见稿）</w:t>
            </w:r>
          </w:p>
        </w:tc>
      </w:tr>
      <w:tr>
        <w:tblPrEx>
          <w:tblCellMar>
            <w:top w:w="0" w:type="dxa"/>
            <w:left w:w="108" w:type="dxa"/>
            <w:bottom w:w="0" w:type="dxa"/>
            <w:right w:w="108" w:type="dxa"/>
          </w:tblCellMar>
        </w:tblPrEx>
        <w:trPr>
          <w:trHeight w:val="540" w:hRule="atLeast"/>
        </w:trPr>
        <w:tc>
          <w:tcPr>
            <w:tcW w:w="716" w:type="dxa"/>
            <w:vMerge w:val="continue"/>
            <w:tcBorders>
              <w:top w:val="single" w:color="auto" w:sz="8" w:space="0"/>
              <w:left w:val="single" w:color="auto" w:sz="8" w:space="0"/>
              <w:bottom w:val="single" w:color="auto" w:sz="8" w:space="0"/>
              <w:right w:val="single" w:color="auto" w:sz="8" w:space="0"/>
            </w:tcBorders>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color w:val="auto"/>
                <w:kern w:val="2"/>
                <w:sz w:val="21"/>
                <w:szCs w:val="22"/>
              </w:rPr>
            </w:pPr>
          </w:p>
        </w:tc>
        <w:tc>
          <w:tcPr>
            <w:tcW w:w="622"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jc w:val="center"/>
              <w:rPr>
                <w:rFonts w:hint="eastAsia" w:ascii="仿宋_GB2312" w:hAnsi="仿宋_GB2312" w:eastAsia="仿宋_GB2312" w:cs="仿宋_GB2312"/>
                <w:color w:val="auto"/>
                <w:kern w:val="2"/>
                <w:sz w:val="21"/>
                <w:szCs w:val="22"/>
                <w:lang w:eastAsia="zh-CN"/>
              </w:rPr>
            </w:pPr>
            <w:r>
              <w:rPr>
                <w:rFonts w:hint="eastAsia" w:ascii="仿宋_GB2312" w:hAnsi="仿宋_GB2312" w:eastAsia="仿宋_GB2312" w:cs="仿宋_GB2312"/>
                <w:color w:val="auto"/>
                <w:kern w:val="2"/>
                <w:sz w:val="21"/>
                <w:szCs w:val="22"/>
                <w:lang w:val="en-US" w:eastAsia="zh-CN"/>
              </w:rPr>
              <w:t>4</w:t>
            </w:r>
          </w:p>
        </w:tc>
        <w:tc>
          <w:tcPr>
            <w:tcW w:w="7459" w:type="dxa"/>
            <w:tcBorders>
              <w:top w:val="single" w:color="auto" w:sz="8" w:space="0"/>
              <w:left w:val="single" w:color="auto" w:sz="8" w:space="0"/>
              <w:bottom w:val="single" w:color="auto" w:sz="8" w:space="0"/>
              <w:right w:val="single" w:color="auto" w:sz="8" w:space="0"/>
            </w:tcBorders>
            <w:noWrap w:val="0"/>
            <w:vAlign w:val="center"/>
          </w:tcPr>
          <w:p>
            <w:pPr>
              <w:spacing w:line="240" w:lineRule="auto"/>
              <w:ind w:firstLine="0" w:firstLineChars="0"/>
              <w:rPr>
                <w:rFonts w:hint="eastAsia" w:ascii="仿宋_GB2312" w:hAnsi="仿宋_GB2312" w:eastAsia="仿宋_GB2312" w:cs="仿宋_GB2312"/>
                <w:color w:val="auto"/>
                <w:kern w:val="2"/>
                <w:sz w:val="21"/>
                <w:szCs w:val="22"/>
              </w:rPr>
            </w:pPr>
            <w:r>
              <w:rPr>
                <w:rFonts w:hint="eastAsia" w:ascii="仿宋_GB2312" w:hAnsi="仿宋_GB2312" w:eastAsia="仿宋_GB2312" w:cs="仿宋_GB2312"/>
                <w:color w:val="auto"/>
                <w:kern w:val="2"/>
                <w:sz w:val="21"/>
                <w:szCs w:val="22"/>
              </w:rPr>
              <w:t>《霍邱县创新创业投资资金和孵化资金管理办法》</w:t>
            </w:r>
          </w:p>
        </w:tc>
      </w:tr>
    </w:tbl>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pStyle w:val="3"/>
        <w:ind w:left="0" w:leftChars="0" w:firstLine="0" w:firstLineChars="0"/>
        <w:rPr>
          <w:rFonts w:hint="eastAsia" w:ascii="黑体" w:hAnsi="黑体" w:eastAsia="黑体" w:cs="黑体"/>
          <w:lang w:val="en-US" w:eastAsia="zh-CN"/>
        </w:rPr>
      </w:pPr>
      <w:bookmarkStart w:id="90" w:name="_Toc4355"/>
      <w:r>
        <w:rPr>
          <w:rFonts w:hint="eastAsia" w:ascii="黑体" w:hAnsi="黑体" w:eastAsia="黑体" w:cs="黑体"/>
          <w:lang w:val="en-US" w:eastAsia="zh-CN"/>
        </w:rPr>
        <w:t>附件3</w:t>
      </w:r>
      <w:bookmarkEnd w:id="90"/>
    </w:p>
    <w:p>
      <w:pPr>
        <w:pStyle w:val="3"/>
        <w:ind w:left="0" w:leftChars="0" w:firstLine="0" w:firstLineChars="0"/>
        <w:jc w:val="center"/>
        <w:rPr>
          <w:rFonts w:hint="eastAsia" w:ascii="黑体" w:hAnsi="黑体" w:eastAsia="黑体" w:cs="黑体"/>
          <w:lang w:val="en-US" w:eastAsia="zh-CN"/>
        </w:rPr>
      </w:pPr>
      <w:bookmarkStart w:id="91" w:name="_Toc23165"/>
      <w:r>
        <w:rPr>
          <w:rFonts w:hint="eastAsia" w:ascii="黑体" w:hAnsi="黑体" w:eastAsia="黑体" w:cs="黑体"/>
          <w:lang w:val="en-US" w:eastAsia="zh-CN"/>
        </w:rPr>
        <w:t>名词解释</w:t>
      </w:r>
      <w:bookmarkEnd w:id="91"/>
    </w:p>
    <w:p>
      <w:pPr>
        <w:rPr>
          <w:rFonts w:hint="eastAsia"/>
          <w:lang w:val="en-US" w:eastAsia="zh-CN"/>
        </w:rPr>
      </w:pP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b/>
          <w:bCs/>
          <w:color w:val="auto"/>
          <w:kern w:val="2"/>
          <w:sz w:val="32"/>
          <w:szCs w:val="32"/>
          <w:lang w:val="en-US" w:eastAsia="zh-CN"/>
        </w:rPr>
        <w:t>1.</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b/>
          <w:bCs/>
          <w:color w:val="auto"/>
          <w:kern w:val="2"/>
          <w:sz w:val="32"/>
          <w:szCs w:val="32"/>
          <w:lang w:val="en-US" w:eastAsia="zh-CN"/>
        </w:rPr>
        <w:t>数字化：</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数字化，是指将任何连续变化的输入如图画的线条或声音信号转化为一串分离的单元，在计算机中用0和1表示。通常用</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"https://baike.sogou.com/lemma/ShowInnerLink.htm?lemmaId=431310&amp;ss_c=ssc.citiao.link"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模数转换器</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执行这个转换。</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lang w:val="en-US" w:eastAsia="zh-CN"/>
        </w:rPr>
        <w:t>信息化、数字化、智能化的区别：</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lang w:val="en-US" w:eastAsia="zh-CN"/>
        </w:rPr>
        <w:drawing>
          <wp:inline distT="0" distB="0" distL="114300" distR="114300">
            <wp:extent cx="5271770" cy="2619375"/>
            <wp:effectExtent l="0" t="0" r="5080" b="9525"/>
            <wp:docPr id="5" name="图片 5" descr="WPS图片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图片修正"/>
                    <pic:cNvPicPr>
                      <a:picLocks noChangeAspect="1"/>
                    </pic:cNvPicPr>
                  </pic:nvPicPr>
                  <pic:blipFill>
                    <a:blip r:embed="rId9"/>
                    <a:stretch>
                      <a:fillRect/>
                    </a:stretch>
                  </pic:blipFill>
                  <pic:spPr>
                    <a:xfrm>
                      <a:off x="0" y="0"/>
                      <a:ext cx="5271770" cy="2619375"/>
                    </a:xfrm>
                    <a:prstGeom prst="rect">
                      <a:avLst/>
                    </a:prstGeom>
                  </pic:spPr>
                </pic:pic>
              </a:graphicData>
            </a:graphic>
          </wp:inline>
        </w:drawing>
      </w:r>
    </w:p>
    <w:p>
      <w:pPr>
        <w:numPr>
          <w:ilvl w:val="0"/>
          <w:numId w:val="0"/>
        </w:numPr>
        <w:spacing w:line="360" w:lineRule="auto"/>
        <w:contextualSpacing/>
        <w:rPr>
          <w:rFonts w:ascii="仿宋_GB2312" w:hAnsi="Times New Roman" w:eastAsia="仿宋_GB2312" w:cs="Times New Roman"/>
          <w:color w:val="auto"/>
          <w:kern w:val="2"/>
          <w:sz w:val="32"/>
          <w:szCs w:val="32"/>
        </w:rPr>
      </w:pPr>
      <w:r>
        <w:rPr>
          <w:rFonts w:hint="eastAsia" w:ascii="仿宋_GB2312" w:hAnsi="Times New Roman" w:cs="Times New Roman"/>
          <w:b/>
          <w:bCs/>
          <w:color w:val="auto"/>
          <w:kern w:val="2"/>
          <w:sz w:val="32"/>
          <w:szCs w:val="32"/>
          <w:lang w:val="en-US" w:eastAsia="zh-CN"/>
        </w:rPr>
        <w:t>2</w:t>
      </w:r>
      <w:r>
        <w:rPr>
          <w:rFonts w:hint="eastAsia" w:ascii="仿宋_GB2312" w:hAnsi="Times New Roman" w:eastAsia="仿宋_GB2312" w:cs="Times New Roman"/>
          <w:b/>
          <w:bCs/>
          <w:color w:val="auto"/>
          <w:kern w:val="2"/>
          <w:sz w:val="32"/>
          <w:szCs w:val="32"/>
          <w:lang w:val="en-US" w:eastAsia="zh-CN"/>
        </w:rPr>
        <w:t>.</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b/>
          <w:bCs/>
          <w:color w:val="auto"/>
          <w:kern w:val="2"/>
          <w:sz w:val="32"/>
          <w:szCs w:val="32"/>
          <w:lang w:val="en-US" w:eastAsia="zh-CN"/>
        </w:rPr>
        <w:t>5G：</w:t>
      </w:r>
      <w:r>
        <w:rPr>
          <w:rFonts w:hint="eastAsia" w:ascii="仿宋_GB2312" w:hAnsi="Times New Roman" w:cs="Times New Roman"/>
          <w:b/>
          <w:bCs/>
          <w:color w:val="auto"/>
          <w:kern w:val="2"/>
          <w:sz w:val="32"/>
          <w:szCs w:val="32"/>
          <w:lang w:val="en-US" w:eastAsia="zh-CN"/>
        </w:rPr>
        <w:t xml:space="preserve">  </w:t>
      </w:r>
      <w:r>
        <w:rPr>
          <w:rFonts w:ascii="仿宋_GB2312" w:hAnsi="Times New Roman" w:eastAsia="仿宋_GB2312" w:cs="Times New Roman"/>
          <w:color w:val="auto"/>
          <w:kern w:val="2"/>
          <w:sz w:val="32"/>
          <w:szCs w:val="32"/>
        </w:rPr>
        <w:t>5G是第五代移动通信技术的简称。它具有高速率、低时延、大连接等特点，能够提供至少十倍于4G的峰值速率、毫秒级的传输时延和千亿级的连接能力，将实现人与人、人与物、物与物之间的连接，开启万物广泛互联、人机深度交互的新时代，满足未来多样化业务与场景需求。</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 xml:space="preserve">3. </w:t>
      </w:r>
      <w:r>
        <w:rPr>
          <w:rFonts w:hint="eastAsia" w:ascii="仿宋_GB2312" w:hAnsi="Times New Roman" w:eastAsia="仿宋_GB2312" w:cs="Times New Roman"/>
          <w:b/>
          <w:bCs/>
          <w:color w:val="auto"/>
          <w:kern w:val="2"/>
          <w:sz w:val="32"/>
          <w:szCs w:val="32"/>
          <w:lang w:val="en-US" w:eastAsia="zh-CN"/>
        </w:rPr>
        <w:t>人工智能：</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人工智能（Artificial Intelligence），英文缩写为AI。它是研究、开发用于模拟、延伸和扩展人的智能的理论、方法、技术及应用系统的一门新的技术科学。人工智能亦称智械、机器智能，指由人制造出来的机器所表现出来的智能。通常人工智能是指通过普通计算机程序来呈现人类智能的技术。通过医学、神经科学、机器人学及统计学等的进步，有些预测则认为人类的无数职业也逐渐被人工智能取代。</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 xml:space="preserve">4. </w:t>
      </w:r>
      <w:r>
        <w:rPr>
          <w:rFonts w:hint="eastAsia" w:ascii="仿宋_GB2312" w:hAnsi="Times New Roman" w:eastAsia="仿宋_GB2312" w:cs="Times New Roman"/>
          <w:b/>
          <w:bCs/>
          <w:color w:val="auto"/>
          <w:kern w:val="2"/>
          <w:sz w:val="32"/>
          <w:szCs w:val="32"/>
          <w:lang w:val="en-US" w:eastAsia="zh-CN"/>
        </w:rPr>
        <w:t>大数据：</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大数据（big data）是指无法在一定时间内用常规软件工具对其内容进行抓取、管理和处理的数据集合。大数据有五大特点，即大量（Volume）、高速（Velocity）、多样（Variety）、低价值密度（Value）、真实性（Veracity）。它并没有统计学的抽样方法，只是观察和追踪发生的事情。</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lang w:val="en-US" w:eastAsia="zh-CN"/>
        </w:rPr>
        <w:t>大数据的用法倾向于预测分析、用户行为分析或某些其他高级数据分析方法的使用。</w:t>
      </w:r>
    </w:p>
    <w:p>
      <w:pPr>
        <w:numPr>
          <w:ilvl w:val="0"/>
          <w:numId w:val="0"/>
        </w:numPr>
        <w:spacing w:line="360" w:lineRule="auto"/>
        <w:contextualSpacing/>
        <w:rPr>
          <w:rFonts w:hint="default"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5</w:t>
      </w:r>
      <w:r>
        <w:rPr>
          <w:rFonts w:hint="eastAsia" w:ascii="仿宋_GB2312" w:hAnsi="Times New Roman" w:eastAsia="仿宋_GB2312" w:cs="Times New Roman"/>
          <w:b/>
          <w:bCs/>
          <w:color w:val="auto"/>
          <w:kern w:val="2"/>
          <w:sz w:val="32"/>
          <w:szCs w:val="32"/>
          <w:lang w:val="en-US" w:eastAsia="zh-CN"/>
        </w:rPr>
        <w:t>.</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b/>
          <w:bCs/>
          <w:color w:val="auto"/>
          <w:kern w:val="2"/>
          <w:sz w:val="32"/>
          <w:szCs w:val="32"/>
          <w:lang w:val="en-US" w:eastAsia="zh-CN"/>
        </w:rPr>
        <w:t>云计算：</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云计算（Cloud Computing）是分布式计算的一种，指的是通过网络“云”将巨大的数据计算处理程序分解成无数个小程序，然后通过多部服务器组成的系统进行处理和分析这些小程序得到结果并返回给用户。现阶段的云计算通过不断进步，已经不单单是一种分布式计算，而是分布式计算、效用计算、负载均衡、并行计算、网络存储、</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"https://baike.sogou.com/lemma/ShowInnerLink.htm?lemmaId=8446550&amp;ss_c=ssc.citiao.link"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热备份</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冗杂和虚拟化等计算机技术混合演进并跃升的结果。</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 xml:space="preserve">6. </w:t>
      </w:r>
      <w:r>
        <w:rPr>
          <w:rFonts w:hint="eastAsia" w:ascii="仿宋_GB2312" w:hAnsi="Times New Roman" w:eastAsia="仿宋_GB2312" w:cs="Times New Roman"/>
          <w:b/>
          <w:bCs/>
          <w:color w:val="auto"/>
          <w:kern w:val="2"/>
          <w:sz w:val="32"/>
          <w:szCs w:val="32"/>
          <w:lang w:val="en-US" w:eastAsia="zh-CN"/>
        </w:rPr>
        <w:t>物联网</w:t>
      </w:r>
      <w:r>
        <w:rPr>
          <w:rFonts w:hint="eastAsia" w:ascii="仿宋_GB2312" w:hAnsi="Times New Roman" w:eastAsia="仿宋_GB2312" w:cs="Times New Roman"/>
          <w:color w:val="auto"/>
          <w:kern w:val="2"/>
          <w:sz w:val="32"/>
          <w:szCs w:val="32"/>
          <w:lang w:val="en-US" w:eastAsia="zh-CN"/>
        </w:rPr>
        <w:t>（The Internet of Things，简称IOT）：通过各种信息传感器、射频识别技术、全球定位系统、红外感应器、激光扫描器等各种装置与技术，实时采集任何需要监控、 连接、互动的物体或过程，采集其声、光、热、电、力学、化 学、生物、位置等各种需要的信息，通过各类可能的网络接入，实现物与物、物与人的泛在连接，实现对物品和过程的智能化感知、识别和管理。</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 xml:space="preserve">7. </w:t>
      </w:r>
      <w:r>
        <w:rPr>
          <w:rFonts w:hint="eastAsia" w:ascii="仿宋_GB2312" w:hAnsi="Times New Roman" w:eastAsia="仿宋_GB2312" w:cs="Times New Roman"/>
          <w:b/>
          <w:bCs/>
          <w:color w:val="auto"/>
          <w:kern w:val="2"/>
          <w:sz w:val="32"/>
          <w:szCs w:val="32"/>
          <w:lang w:val="en-US" w:eastAsia="zh-CN"/>
        </w:rPr>
        <w:t>区块链：</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区块链（Blockchain）是借由</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"https://baike.sogou.com/lemma/ShowInnerLink.htm?lemmaId=256659&amp;ss_c=ssc.citiao.link"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密码学</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串接并保护内容的串连交易记录（又称区块），是分布式数据存储、</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"https://baike.sogou.com/lemma/ShowInnerLink.htm?lemmaId=53181874&amp;ss_c=ssc.citiao.link"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点对点传输</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、共识机制、加密算法等计算机技术的新型应用模式。区块链作为</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"https://baike.sogou.com/lemma/ShowInnerLink.htm?lemmaId=44342252&amp;ss_c=ssc.citiao.link"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比特币</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的一个重要概念，它本质上是一个去中心化的数据库，同时作为比特币的底层技术，是一串使用密码学方法相关联产生的</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"https://baike.sogou.com/lemma/ShowInnerLink.htm?lemmaId=8783783&amp;ss_c=ssc.citiao.link"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数据块</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，每一个数据块中包含了一批次比特币网络交易的信息，用于验证其信息的有效性（防伪）和生成下一个区块。</w:t>
      </w:r>
    </w:p>
    <w:p>
      <w:pPr>
        <w:spacing w:line="360" w:lineRule="auto"/>
        <w:ind w:firstLine="0" w:firstLineChars="0"/>
        <w:contextualSpacing/>
        <w:rPr>
          <w:rFonts w:hint="eastAsia" w:ascii="仿宋_GB2312" w:hAnsi="Times New Roman" w:eastAsia="仿宋_GB2312" w:cs="Times New Roman"/>
          <w:color w:val="auto"/>
          <w:kern w:val="2"/>
          <w:sz w:val="32"/>
          <w:szCs w:val="32"/>
        </w:rPr>
      </w:pPr>
      <w:r>
        <w:rPr>
          <w:rFonts w:hint="eastAsia" w:ascii="仿宋_GB2312" w:hAnsi="Times New Roman" w:cs="Times New Roman"/>
          <w:b/>
          <w:bCs/>
          <w:color w:val="auto"/>
          <w:kern w:val="2"/>
          <w:sz w:val="32"/>
          <w:szCs w:val="32"/>
          <w:lang w:val="en-US" w:eastAsia="zh-CN"/>
        </w:rPr>
        <w:t xml:space="preserve">8. </w:t>
      </w:r>
      <w:r>
        <w:rPr>
          <w:rFonts w:hint="eastAsia" w:ascii="仿宋_GB2312" w:hAnsi="Times New Roman" w:eastAsia="仿宋_GB2312" w:cs="Times New Roman"/>
          <w:b/>
          <w:bCs/>
          <w:color w:val="auto"/>
          <w:kern w:val="2"/>
          <w:sz w:val="32"/>
          <w:szCs w:val="32"/>
          <w:lang w:val="en-US" w:eastAsia="zh-CN"/>
        </w:rPr>
        <w:t>IPv4与IPv6:</w:t>
      </w:r>
      <w:r>
        <w:rPr>
          <w:rFonts w:hint="eastAsia" w:ascii="仿宋_GB2312" w:hAnsi="Times New Roman" w:cs="Times New Roman"/>
          <w:b/>
          <w:bCs/>
          <w:color w:val="auto"/>
          <w:kern w:val="2"/>
          <w:sz w:val="32"/>
          <w:szCs w:val="32"/>
          <w:lang w:val="en-US" w:eastAsia="zh-CN"/>
        </w:rPr>
        <w:t xml:space="preserve"> </w:t>
      </w:r>
      <w:r>
        <w:rPr>
          <w:rFonts w:hint="eastAsia" w:ascii="仿宋_GB2312" w:hAnsi="Times New Roman" w:cs="Times New Roman"/>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rPr>
        <w:t>IPv4</w:t>
      </w:r>
      <w:r>
        <w:rPr>
          <w:rFonts w:hint="eastAsia" w:ascii="仿宋_GB2312" w:hAnsi="Times New Roman" w:cs="Times New Roman"/>
          <w:color w:val="auto"/>
          <w:kern w:val="2"/>
          <w:sz w:val="32"/>
          <w:szCs w:val="32"/>
          <w:lang w:eastAsia="zh-CN"/>
        </w:rPr>
        <w:t>，</w:t>
      </w:r>
      <w:r>
        <w:rPr>
          <w:rFonts w:hint="eastAsia" w:ascii="仿宋_GB2312" w:hAnsi="Times New Roman" w:eastAsia="仿宋_GB2312" w:cs="Times New Roman"/>
          <w:color w:val="auto"/>
          <w:kern w:val="2"/>
          <w:sz w:val="32"/>
          <w:szCs w:val="32"/>
        </w:rPr>
        <w:t>是</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"https://baike.sogou.com/lemma/ShowInnerLink.htm?lemmaId=40950&amp;ss_c=ssc.citiao.link"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互联网协议</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（Internet Protocol，IP）的第四版，也是第一个被广泛使用，构成现今</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"https://baike.sogou.com/lemma/ShowInnerLink.htm?lemmaId=8203610&amp;ss_c=ssc.citiao.link"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互联网技术</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的基础的协议。1981年 Jon Postel 在RFC791中定义了IP，Ipv4可以运行在各种各样的底层网络上，比如端对端的串行数据链路(</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"https://baike.sogou.com/lemma/ShowInnerLink.htm?lemmaId=54622&amp;ss_c=ssc.citiao.link"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PPP协议</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和</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"https://baike.sogou.com/lemma/ShowInnerLink.htm?lemmaId=34702&amp;ss_c=ssc.citiao.link"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SLIP协议</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 ，卫星链路等等。局域网中最常用的是以太网。</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rPr>
        <w:t>目前的全球因特网所采用的协议族是TCP/IP协议族。IP是TCP/IP协议族中</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"https://baike.sogou.com/lemma/ShowInnerLink.htm?lemmaId=16964&amp;ss_c=ssc.citiao.link"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网络层</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的协议，是TCP/IP协议族的核心协议。目前IP协议的版本号是4(简称为IPv4，v，version版本)，它的下一个版本就是IPv6。IPv6正处在不断发展和完善的过程中，它在不久的将来将取代目前被广泛使用的IPv4。据国外媒体报道，</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"https://baike.sogou.com/lemma/ShowInnerLink.htm?lemmaId=197072&amp;ss_c=ssc.citiao.link"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欧盟委员会</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希望于2010年前将欧洲其成员国境内四分之一的商业和政府部门以及家用网络转换成IPv6标准。 美国已经开始对已经与网络服务商签订</w:t>
      </w:r>
      <w:r>
        <w:rPr>
          <w:rFonts w:hint="eastAsia" w:ascii="仿宋_GB2312" w:hAnsi="Times New Roman" w:eastAsia="仿宋_GB2312" w:cs="Times New Roman"/>
          <w:color w:val="auto"/>
          <w:kern w:val="2"/>
          <w:sz w:val="32"/>
          <w:szCs w:val="32"/>
        </w:rPr>
        <w:fldChar w:fldCharType="begin"/>
      </w:r>
      <w:r>
        <w:rPr>
          <w:rFonts w:hint="eastAsia" w:ascii="仿宋_GB2312" w:hAnsi="Times New Roman" w:eastAsia="仿宋_GB2312" w:cs="Times New Roman"/>
          <w:color w:val="auto"/>
          <w:kern w:val="2"/>
          <w:sz w:val="32"/>
          <w:szCs w:val="32"/>
        </w:rPr>
        <w:instrText xml:space="preserve"> HYPERLINK "https://baike.sogou.com/lemma/ShowInnerLink.htm?lemmaId=15593&amp;ss_c=ssc.citiao.link" \t "https://baike.sogou.com/_blank" </w:instrText>
      </w:r>
      <w:r>
        <w:rPr>
          <w:rFonts w:hint="eastAsia" w:ascii="仿宋_GB2312" w:hAnsi="Times New Roman" w:eastAsia="仿宋_GB2312" w:cs="Times New Roman"/>
          <w:color w:val="auto"/>
          <w:kern w:val="2"/>
          <w:sz w:val="32"/>
          <w:szCs w:val="32"/>
        </w:rPr>
        <w:fldChar w:fldCharType="separate"/>
      </w:r>
      <w:r>
        <w:rPr>
          <w:rFonts w:hint="eastAsia" w:ascii="仿宋_GB2312" w:hAnsi="Times New Roman" w:eastAsia="仿宋_GB2312" w:cs="Times New Roman"/>
          <w:color w:val="auto"/>
          <w:kern w:val="2"/>
          <w:sz w:val="32"/>
          <w:szCs w:val="32"/>
        </w:rPr>
        <w:t>IPv6协议</w:t>
      </w:r>
      <w:r>
        <w:rPr>
          <w:rFonts w:hint="eastAsia" w:ascii="仿宋_GB2312" w:hAnsi="Times New Roman" w:eastAsia="仿宋_GB2312" w:cs="Times New Roman"/>
          <w:color w:val="auto"/>
          <w:kern w:val="2"/>
          <w:sz w:val="32"/>
          <w:szCs w:val="32"/>
        </w:rPr>
        <w:fldChar w:fldCharType="end"/>
      </w:r>
      <w:r>
        <w:rPr>
          <w:rFonts w:hint="eastAsia" w:ascii="仿宋_GB2312" w:hAnsi="Times New Roman" w:eastAsia="仿宋_GB2312" w:cs="Times New Roman"/>
          <w:color w:val="auto"/>
          <w:kern w:val="2"/>
          <w:sz w:val="32"/>
          <w:szCs w:val="32"/>
        </w:rPr>
        <w:t>的政府部门给与有条件的奖励政策。而欧盟希望跟随美国的步伐，促使其成员国的政府部门在这次转型过程中起到带头作用。</w:t>
      </w:r>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cs="Times New Roman"/>
          <w:b/>
          <w:bCs/>
          <w:color w:val="auto"/>
          <w:kern w:val="2"/>
          <w:sz w:val="32"/>
          <w:szCs w:val="32"/>
          <w:lang w:val="en-US" w:eastAsia="zh-CN"/>
        </w:rPr>
        <w:t xml:space="preserve">9. </w:t>
      </w:r>
      <w:r>
        <w:rPr>
          <w:rFonts w:hint="eastAsia" w:ascii="仿宋_GB2312" w:hAnsi="Times New Roman" w:eastAsia="仿宋_GB2312" w:cs="Times New Roman"/>
          <w:b/>
          <w:bCs/>
          <w:color w:val="auto"/>
          <w:kern w:val="2"/>
          <w:sz w:val="32"/>
          <w:szCs w:val="32"/>
          <w:lang w:val="en-US" w:eastAsia="zh-CN"/>
        </w:rPr>
        <w:t>3D打印</w:t>
      </w:r>
      <w:r>
        <w:rPr>
          <w:rFonts w:hint="eastAsia" w:ascii="仿宋_GB2312" w:hAnsi="Times New Roman" w:eastAsia="仿宋_GB2312" w:cs="Times New Roman"/>
          <w:color w:val="auto"/>
          <w:kern w:val="2"/>
          <w:sz w:val="32"/>
          <w:szCs w:val="32"/>
          <w:lang w:val="en-US" w:eastAsia="zh-CN"/>
        </w:rPr>
        <w:t>：</w:t>
      </w:r>
      <w:r>
        <w:rPr>
          <w:rFonts w:hint="eastAsia" w:ascii="仿宋_GB2312" w:hAnsi="Times New Roman" w:cs="Times New Roman"/>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rPr>
        <w:t>3D打印（3D printing，又称</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"https://baike.sogou.com/lemma/ShowInnerLink.htm?lemmaId=101562280&amp;ss_c=ssc.citiao.link"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增材制造</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、积层制造）是一种以</w:t>
      </w:r>
      <w:r>
        <w:rPr>
          <w:rFonts w:hint="eastAsia" w:ascii="仿宋_GB2312" w:hAnsi="Times New Roman" w:eastAsia="仿宋_GB2312" w:cs="Times New Roman"/>
          <w:color w:val="auto"/>
          <w:kern w:val="2"/>
          <w:sz w:val="32"/>
          <w:szCs w:val="32"/>
          <w:lang w:val="en-US" w:eastAsia="zh-CN"/>
        </w:rPr>
        <w:fldChar w:fldCharType="begin"/>
      </w:r>
      <w:r>
        <w:rPr>
          <w:rFonts w:hint="eastAsia" w:ascii="仿宋_GB2312" w:hAnsi="Times New Roman" w:eastAsia="仿宋_GB2312" w:cs="Times New Roman"/>
          <w:color w:val="auto"/>
          <w:kern w:val="2"/>
          <w:sz w:val="32"/>
          <w:szCs w:val="32"/>
          <w:lang w:val="en-US" w:eastAsia="zh-CN"/>
        </w:rPr>
        <w:instrText xml:space="preserve"> HYPERLINK "https://baike.sogou.com/lemma/ShowInnerLink.htm?lemmaId=8394818&amp;ss_c=ssc.citiao.link" \t "https://baike.sogou.com/_blank" </w:instrText>
      </w:r>
      <w:r>
        <w:rPr>
          <w:rFonts w:hint="eastAsia" w:ascii="仿宋_GB2312" w:hAnsi="Times New Roman" w:eastAsia="仿宋_GB2312" w:cs="Times New Roman"/>
          <w:color w:val="auto"/>
          <w:kern w:val="2"/>
          <w:sz w:val="32"/>
          <w:szCs w:val="32"/>
          <w:lang w:val="en-US" w:eastAsia="zh-CN"/>
        </w:rPr>
        <w:fldChar w:fldCharType="separate"/>
      </w:r>
      <w:r>
        <w:rPr>
          <w:rFonts w:hint="eastAsia" w:ascii="仿宋_GB2312" w:hAnsi="Times New Roman" w:eastAsia="仿宋_GB2312" w:cs="Times New Roman"/>
          <w:color w:val="auto"/>
          <w:kern w:val="2"/>
          <w:sz w:val="32"/>
          <w:szCs w:val="32"/>
          <w:lang w:val="en-US" w:eastAsia="zh-CN"/>
        </w:rPr>
        <w:t>数字模型</w:t>
      </w:r>
      <w:r>
        <w:rPr>
          <w:rFonts w:hint="eastAsia" w:ascii="仿宋_GB2312" w:hAnsi="Times New Roman" w:eastAsia="仿宋_GB2312" w:cs="Times New Roman"/>
          <w:color w:val="auto"/>
          <w:kern w:val="2"/>
          <w:sz w:val="32"/>
          <w:szCs w:val="32"/>
          <w:lang w:val="en-US" w:eastAsia="zh-CN"/>
        </w:rPr>
        <w:fldChar w:fldCharType="end"/>
      </w:r>
      <w:r>
        <w:rPr>
          <w:rFonts w:hint="eastAsia" w:ascii="仿宋_GB2312" w:hAnsi="Times New Roman" w:eastAsia="仿宋_GB2312" w:cs="Times New Roman"/>
          <w:color w:val="auto"/>
          <w:kern w:val="2"/>
          <w:sz w:val="32"/>
          <w:szCs w:val="32"/>
          <w:lang w:val="en-US" w:eastAsia="zh-CN"/>
        </w:rPr>
        <w:t>文件为基础，运用粉末状金属或塑料等可粘合材料，通过逐层打印的方式来构造物体的技术，该技术最早在20世纪80年代中期由美国提出。</w:t>
      </w:r>
      <w:bookmarkStart w:id="92" w:name="ref_1"/>
      <w:bookmarkEnd w:id="92"/>
    </w:p>
    <w:p>
      <w:pPr>
        <w:spacing w:line="360" w:lineRule="auto"/>
        <w:ind w:firstLine="0" w:firstLineChars="0"/>
        <w:contextualSpacing/>
        <w:rPr>
          <w:rFonts w:hint="eastAsia" w:ascii="仿宋_GB2312" w:hAnsi="Times New Roman" w:eastAsia="仿宋_GB2312" w:cs="Times New Roman"/>
          <w:color w:val="auto"/>
          <w:kern w:val="2"/>
          <w:sz w:val="32"/>
          <w:szCs w:val="32"/>
          <w:lang w:val="en-US" w:eastAsia="zh-CN"/>
        </w:rPr>
      </w:pPr>
      <w:r>
        <w:rPr>
          <w:rFonts w:hint="eastAsia" w:ascii="仿宋_GB2312" w:hAnsi="Times New Roman" w:eastAsia="仿宋_GB2312" w:cs="Times New Roman"/>
          <w:color w:val="auto"/>
          <w:kern w:val="2"/>
          <w:sz w:val="32"/>
          <w:szCs w:val="32"/>
          <w:lang w:val="en-US" w:eastAsia="zh-CN"/>
        </w:rPr>
        <w:t>3D打印常在模具制造、工业设计等领域被用于制造模型，后逐渐用于一些产品的直接制造，对传统的工艺流程、生产线、工厂模式、产业链组合产生深刻影响，是制造业有代表性的颠覆性技术。</w:t>
      </w:r>
    </w:p>
    <w:p>
      <w:pPr>
        <w:pStyle w:val="3"/>
        <w:ind w:left="0" w:leftChars="0" w:firstLine="0" w:firstLineChars="0"/>
        <w:rPr>
          <w:rFonts w:hint="default"/>
          <w:lang w:val="en-US" w:eastAsia="zh-CN"/>
        </w:rPr>
      </w:pPr>
    </w:p>
    <w:p/>
    <w:sectPr>
      <w:footerReference r:id="rId6" w:type="default"/>
      <w:pgSz w:w="11906" w:h="16838"/>
      <w:pgMar w:top="1440" w:right="1800" w:bottom="1440" w:left="1800" w:header="851" w:footer="992" w:gutter="0"/>
      <w:pgNumType w:fmt="decimal" w:start="1"/>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2461895</wp:posOffset>
              </wp:positionH>
              <wp:positionV relativeFrom="paragraph">
                <wp:posOffset>-229870</wp:posOffset>
              </wp:positionV>
              <wp:extent cx="619125" cy="3060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9125"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85pt;margin-top:-18.1pt;height:24.1pt;width:48.75pt;mso-position-horizontal-relative:margin;z-index:251659264;mso-width-relative:page;mso-height-relative:page;" filled="f" stroked="f" coordsize="21600,21600" o:gfxdata="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3WymtkAAAAKAQAADwAAAAAAAAABACAAAAAiAAAAZHJzL2Rvd25y&#10;ZXYueG1sUEsBAhQAFAAAAAgAh07iQDV5vWs2AgAAYQQAAA4AAAAAAAAAAQAgAAAAKAEAAGRycy9l&#10;Mm9Eb2MueG1sUEsFBgAAAAAGAAYAWQEAANAFAAAAAA==&#10;">
              <v:fill on="f" focussize="0,0"/>
              <v:stroke on="f" weight="0.5pt"/>
              <v:imagedata o:title=""/>
              <o:lock v:ext="edit" aspectratio="f"/>
              <v:textbox inset="0mm,0mm,0mm,0mm">
                <w:txbxContent>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CE1B4"/>
    <w:multiLevelType w:val="singleLevel"/>
    <w:tmpl w:val="CA9CE1B4"/>
    <w:lvl w:ilvl="0" w:tentative="0">
      <w:start w:val="2"/>
      <w:numFmt w:val="decimal"/>
      <w:suff w:val="space"/>
      <w:lvlText w:val="%1."/>
      <w:lvlJc w:val="left"/>
      <w:pPr>
        <w:ind w:left="1600" w:leftChars="0" w:firstLine="0" w:firstLineChars="0"/>
      </w:pPr>
    </w:lvl>
  </w:abstractNum>
  <w:abstractNum w:abstractNumId="1">
    <w:nsid w:val="F8F85DCA"/>
    <w:multiLevelType w:val="singleLevel"/>
    <w:tmpl w:val="F8F85DCA"/>
    <w:lvl w:ilvl="0" w:tentative="0">
      <w:start w:val="2"/>
      <w:numFmt w:val="chineseCounting"/>
      <w:suff w:val="nothing"/>
      <w:lvlText w:val="（%1）"/>
      <w:lvlJc w:val="left"/>
      <w:rPr>
        <w:rFonts w:hint="eastAsia"/>
      </w:rPr>
    </w:lvl>
  </w:abstractNum>
  <w:abstractNum w:abstractNumId="2">
    <w:nsid w:val="5391A5C5"/>
    <w:multiLevelType w:val="singleLevel"/>
    <w:tmpl w:val="5391A5C5"/>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24E09"/>
    <w:rsid w:val="15FB59DD"/>
    <w:rsid w:val="174B49F3"/>
    <w:rsid w:val="19A242C7"/>
    <w:rsid w:val="1ABA7E44"/>
    <w:rsid w:val="238E771B"/>
    <w:rsid w:val="28EA77E0"/>
    <w:rsid w:val="2B791FFD"/>
    <w:rsid w:val="323B084F"/>
    <w:rsid w:val="3E61063E"/>
    <w:rsid w:val="40E34A8D"/>
    <w:rsid w:val="56BC714D"/>
    <w:rsid w:val="5C711119"/>
    <w:rsid w:val="63627083"/>
    <w:rsid w:val="7A70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20" w:lineRule="auto"/>
      <w:ind w:firstLine="912" w:firstLineChars="200"/>
      <w:jc w:val="both"/>
    </w:pPr>
    <w:rPr>
      <w:rFonts w:eastAsia="仿宋_GB2312" w:cs="仿宋_GB2312" w:asciiTheme="minorAscii" w:hAnsiTheme="minorAscii"/>
      <w:color w:val="000000" w:themeColor="text1"/>
      <w:kern w:val="0"/>
      <w:sz w:val="32"/>
      <w:szCs w:val="32"/>
      <w:lang w:val="en-US" w:eastAsia="zh-CN" w:bidi="ar-SA"/>
      <w14:textFill>
        <w14:solidFill>
          <w14:schemeClr w14:val="tx1"/>
        </w14:solidFill>
      </w14:textFill>
    </w:rPr>
  </w:style>
  <w:style w:type="paragraph" w:styleId="2">
    <w:name w:val="heading 1"/>
    <w:basedOn w:val="1"/>
    <w:next w:val="1"/>
    <w:link w:val="16"/>
    <w:qFormat/>
    <w:uiPriority w:val="0"/>
    <w:pPr>
      <w:keepNext/>
      <w:keepLines/>
      <w:spacing w:beforeLines="0" w:beforeAutospacing="0" w:afterLines="0" w:afterAutospacing="0" w:line="240" w:lineRule="auto"/>
      <w:jc w:val="both"/>
      <w:outlineLvl w:val="0"/>
    </w:pPr>
    <w:rPr>
      <w:rFonts w:eastAsia="黑体" w:asciiTheme="minorAscii" w:hAnsiTheme="minorAscii"/>
      <w:kern w:val="52"/>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楷体"/>
      <w:sz w:val="32"/>
    </w:rPr>
  </w:style>
  <w:style w:type="paragraph" w:styleId="4">
    <w:name w:val="heading 3"/>
    <w:basedOn w:val="1"/>
    <w:next w:val="1"/>
    <w:link w:val="15"/>
    <w:semiHidden/>
    <w:unhideWhenUsed/>
    <w:qFormat/>
    <w:uiPriority w:val="0"/>
    <w:pPr>
      <w:keepNext/>
      <w:keepLines/>
      <w:spacing w:beforeLines="0" w:beforeAutospacing="0" w:afterLines="0" w:afterAutospacing="0" w:line="240" w:lineRule="auto"/>
      <w:outlineLvl w:val="2"/>
    </w:pPr>
    <w:rPr>
      <w:rFonts w:eastAsia="仿宋" w:asciiTheme="minorAscii" w:hAnsiTheme="minorAscii"/>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unhideWhenUsed/>
    <w:qFormat/>
    <w:uiPriority w:val="0"/>
    <w:pPr>
      <w:spacing w:after="120"/>
    </w:pPr>
  </w:style>
  <w:style w:type="paragraph" w:styleId="7">
    <w:name w:val="Body Text Indent"/>
    <w:basedOn w:val="1"/>
    <w:qFormat/>
    <w:uiPriority w:val="99"/>
    <w:pPr>
      <w:spacing w:after="120" w:line="240" w:lineRule="auto"/>
      <w:ind w:left="420" w:leftChars="200" w:firstLine="0" w:firstLineChars="0"/>
    </w:pPr>
    <w:rPr>
      <w:rFonts w:ascii="Times New Roman" w:hAnsi="Times New Roman" w:eastAsia="宋体" w:cs="Times New Roman"/>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0"/>
    <w:pPr>
      <w:ind w:firstLine="420" w:firstLineChars="100"/>
    </w:pPr>
    <w:rPr>
      <w:rFonts w:ascii="Calibri" w:hAnsi="Calibri" w:eastAsia="仿宋" w:cs="Times New Roman"/>
      <w:szCs w:val="20"/>
    </w:rPr>
  </w:style>
  <w:style w:type="character" w:customStyle="1" w:styleId="15">
    <w:name w:val="标题 3 Char"/>
    <w:link w:val="4"/>
    <w:qFormat/>
    <w:uiPriority w:val="0"/>
    <w:rPr>
      <w:rFonts w:eastAsia="仿宋" w:asciiTheme="minorAscii" w:hAnsiTheme="minorAscii"/>
      <w:sz w:val="32"/>
    </w:rPr>
  </w:style>
  <w:style w:type="character" w:customStyle="1" w:styleId="16">
    <w:name w:val="标题 1 Char"/>
    <w:link w:val="2"/>
    <w:qFormat/>
    <w:uiPriority w:val="0"/>
    <w:rPr>
      <w:rFonts w:eastAsia="黑体" w:asciiTheme="minorAscii" w:hAnsiTheme="minorAscii"/>
      <w:kern w:val="52"/>
      <w:sz w:val="32"/>
    </w:rPr>
  </w:style>
  <w:style w:type="paragraph" w:customStyle="1" w:styleId="17">
    <w:name w:val="模板普通正文"/>
    <w:basedOn w:val="7"/>
    <w:qFormat/>
    <w:uiPriority w:val="0"/>
    <w:pPr>
      <w:spacing w:before="156" w:after="10" w:line="360" w:lineRule="auto"/>
      <w:ind w:left="0" w:leftChars="0" w:firstLine="490" w:firstLineChars="175"/>
      <w:jc w:val="left"/>
    </w:pPr>
    <w:rPr>
      <w:rFonts w:eastAsia="仿宋"/>
      <w:sz w:val="24"/>
    </w:rPr>
  </w:style>
  <w:style w:type="paragraph" w:customStyle="1" w:styleId="18">
    <w:name w:val="工经所正文"/>
    <w:basedOn w:val="1"/>
    <w:qFormat/>
    <w:uiPriority w:val="0"/>
    <w:pPr>
      <w:spacing w:line="600" w:lineRule="exact"/>
      <w:ind w:firstLine="640" w:firstLineChars="200"/>
    </w:pPr>
    <w:rPr>
      <w:rFonts w:eastAsia="仿宋_GB2312"/>
      <w:sz w:val="32"/>
      <w:szCs w:val="32"/>
    </w:rPr>
  </w:style>
  <w:style w:type="paragraph" w:customStyle="1" w:styleId="19">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2020-05-14T00:24:00Z</dcterms:created>
  <dc:creator>Administrator</dc:creator>
  <cp:lastModifiedBy>骄傲#恐龙丶</cp:lastModifiedBy>
  <dcterms:modified xsi:type="dcterms:W3CDTF">2021-07-08T07:45:46Z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681EA4FBA0044226B7A024E0D8A963F6</vt:lpwstr>
  </property>
</Properties>
</file>