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13"/>
        </w:rPr>
      </w:pPr>
    </w:p>
    <w:p>
      <w:pPr>
        <w:pStyle w:val="BodyText"/>
        <w:ind w:left="384"/>
        <w:rPr>
          <w:rFonts w:ascii="Times New Roman"/>
          <w:sz w:val="20"/>
        </w:rPr>
      </w:pPr>
      <w:r>
        <w:rPr>
          <w:rFonts w:ascii="Times New Roman"/>
          <w:sz w:val="20"/>
        </w:rPr>
        <w:drawing>
          <wp:inline distT="0" distB="0" distL="0" distR="0">
            <wp:extent cx="5248830" cy="97145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48830" cy="971454"/>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4"/>
        </w:rPr>
      </w:pPr>
    </w:p>
    <w:p>
      <w:pPr>
        <w:pStyle w:val="BodyText"/>
        <w:spacing w:before="54" w:after="69"/>
        <w:ind w:left="571" w:right="704"/>
        <w:jc w:val="center"/>
        <w:rPr>
          <w:rFonts w:ascii="仿宋" w:eastAsia="仿宋" w:hint="eastAsia"/>
        </w:rPr>
      </w:pPr>
      <w:r>
        <w:rPr>
          <w:rFonts w:ascii="仿宋" w:eastAsia="仿宋" w:hint="eastAsia"/>
        </w:rPr>
        <w:t>霍政〔2020〕25 号</w:t>
      </w:r>
    </w:p>
    <w:p>
      <w:pPr>
        <w:pStyle w:val="BodyText"/>
        <w:spacing w:line="65" w:lineRule="exact"/>
        <w:ind w:left="-85"/>
        <w:rPr>
          <w:rFonts w:ascii="仿宋"/>
          <w:sz w:val="6"/>
        </w:rPr>
      </w:pPr>
      <w:r>
        <w:rPr>
          <w:rFonts w:ascii="仿宋"/>
          <w:position w:val="0"/>
          <w:sz w:val="6"/>
        </w:rPr>
        <w:pict>
          <v:group style="width:442.25pt;height:3.25pt;mso-position-horizontal-relative:char;mso-position-vertical-relative:line" coordorigin="0,0" coordsize="8845,65">
            <v:shape style="position:absolute;left:0;top:0;width:8845;height:65" coordorigin="0,0" coordsize="8845,65" path="m0,65l0,15,8844,0,8844,50,0,65xe" filled="true" fillcolor="#cc0000" stroked="false">
              <v:path arrowok="t"/>
              <v:fill type="solid"/>
            </v:shape>
          </v:group>
        </w:pict>
      </w:r>
      <w:r>
        <w:rPr>
          <w:rFonts w:ascii="仿宋"/>
          <w:position w:val="0"/>
          <w:sz w:val="6"/>
        </w:rPr>
      </w:r>
    </w:p>
    <w:p>
      <w:pPr>
        <w:pStyle w:val="BodyText"/>
        <w:ind w:left="0"/>
        <w:rPr>
          <w:rFonts w:ascii="仿宋"/>
        </w:rPr>
      </w:pPr>
    </w:p>
    <w:p>
      <w:pPr>
        <w:pStyle w:val="BodyText"/>
        <w:ind w:left="0"/>
        <w:rPr>
          <w:rFonts w:ascii="仿宋"/>
        </w:rPr>
      </w:pPr>
    </w:p>
    <w:p>
      <w:pPr>
        <w:pStyle w:val="BodyText"/>
        <w:spacing w:before="4"/>
        <w:ind w:left="0"/>
        <w:rPr>
          <w:rFonts w:ascii="仿宋"/>
          <w:sz w:val="26"/>
        </w:rPr>
      </w:pPr>
    </w:p>
    <w:p>
      <w:pPr>
        <w:pStyle w:val="Heading1"/>
        <w:spacing w:line="254" w:lineRule="auto"/>
        <w:ind w:right="732"/>
        <w:jc w:val="center"/>
      </w:pPr>
      <w:r>
        <w:rPr/>
        <w:t>霍邱县人民政府关于印发霍邱县行政机关负责人出庭应诉管理办法的通知</w:t>
      </w:r>
    </w:p>
    <w:p>
      <w:pPr>
        <w:pStyle w:val="BodyText"/>
        <w:ind w:left="0"/>
        <w:rPr>
          <w:sz w:val="54"/>
        </w:rPr>
      </w:pPr>
    </w:p>
    <w:p>
      <w:pPr>
        <w:pStyle w:val="BodyText"/>
        <w:spacing w:line="340" w:lineRule="auto"/>
        <w:ind w:right="271"/>
      </w:pPr>
      <w:r>
        <w:rPr>
          <w:spacing w:val="-6"/>
          <w:w w:val="95"/>
        </w:rPr>
        <w:t>各乡镇人民政府，经济开发区</w:t>
      </w:r>
      <w:r>
        <w:rPr>
          <w:w w:val="95"/>
        </w:rPr>
        <w:t>（现代产业园</w:t>
      </w:r>
      <w:r>
        <w:rPr>
          <w:spacing w:val="-29"/>
          <w:w w:val="95"/>
        </w:rPr>
        <w:t>）</w:t>
      </w:r>
      <w:r>
        <w:rPr>
          <w:spacing w:val="-6"/>
          <w:w w:val="95"/>
        </w:rPr>
        <w:t>管委，县政府各部 </w:t>
      </w:r>
      <w:r>
        <w:rPr>
          <w:spacing w:val="-6"/>
        </w:rPr>
        <w:t>门、各直属机构：</w:t>
      </w:r>
    </w:p>
    <w:p>
      <w:pPr>
        <w:pStyle w:val="BodyText"/>
        <w:spacing w:line="338" w:lineRule="auto"/>
        <w:ind w:right="269" w:firstLine="645"/>
      </w:pPr>
      <w:r>
        <w:rPr/>
        <w:pict>
          <v:group style="position:absolute;margin-left:319.559998pt;margin-top:45.229992pt;width:129pt;height:127.6pt;mso-position-horizontal-relative:page;mso-position-vertical-relative:paragraph;z-index:15729664" coordorigin="6391,905" coordsize="2580,2552">
            <v:shape style="position:absolute;left:6391;top:904;width:2580;height:2552" type="#_x0000_t202"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line="240" w:lineRule="auto" w:before="0"/>
                      <w:rPr>
                        <w:sz w:val="34"/>
                      </w:rPr>
                    </w:pPr>
                  </w:p>
                  <w:p>
                    <w:pPr>
                      <w:spacing w:before="276"/>
                      <w:ind w:left="105" w:right="-15" w:firstLine="0"/>
                      <w:jc w:val="left"/>
                      <w:rPr>
                        <w:sz w:val="32"/>
                      </w:rPr>
                    </w:pPr>
                    <w:r>
                      <w:rPr>
                        <w:rFonts w:ascii="Times New Roman" w:eastAsia="Times New Roman"/>
                        <w:sz w:val="32"/>
                      </w:rPr>
                      <w:t>2020</w:t>
                    </w:r>
                    <w:r>
                      <w:rPr>
                        <w:rFonts w:ascii="Times New Roman" w:eastAsia="Times New Roman"/>
                        <w:spacing w:val="-2"/>
                        <w:sz w:val="32"/>
                      </w:rPr>
                      <w:t> </w:t>
                    </w:r>
                    <w:r>
                      <w:rPr>
                        <w:spacing w:val="-41"/>
                        <w:sz w:val="32"/>
                      </w:rPr>
                      <w:t>年 </w:t>
                    </w:r>
                    <w:r>
                      <w:rPr>
                        <w:rFonts w:ascii="Times New Roman" w:eastAsia="Times New Roman"/>
                        <w:sz w:val="32"/>
                      </w:rPr>
                      <w:t>12</w:t>
                    </w:r>
                    <w:r>
                      <w:rPr>
                        <w:rFonts w:ascii="Times New Roman" w:eastAsia="Times New Roman"/>
                        <w:spacing w:val="-1"/>
                        <w:sz w:val="32"/>
                      </w:rPr>
                      <w:t> </w:t>
                    </w:r>
                    <w:r>
                      <w:rPr>
                        <w:spacing w:val="-40"/>
                        <w:sz w:val="32"/>
                      </w:rPr>
                      <w:t>月 </w:t>
                    </w:r>
                    <w:r>
                      <w:rPr>
                        <w:rFonts w:ascii="Times New Roman" w:eastAsia="Times New Roman"/>
                        <w:sz w:val="32"/>
                      </w:rPr>
                      <w:t>6</w:t>
                    </w:r>
                    <w:r>
                      <w:rPr>
                        <w:rFonts w:ascii="Times New Roman" w:eastAsia="Times New Roman"/>
                        <w:spacing w:val="-1"/>
                        <w:sz w:val="32"/>
                      </w:rPr>
                      <w:t> </w:t>
                    </w:r>
                    <w:r>
                      <w:rPr>
                        <w:sz w:val="32"/>
                      </w:rPr>
                      <w:t>日</w:t>
                    </w:r>
                  </w:p>
                </w:txbxContent>
              </v:textbox>
              <w10:wrap type="none"/>
            </v:shape>
            <v:shape style="position:absolute;left:6391;top:904;width:2580;height:2552" type="#_x0000_t75" stroked="false">
              <v:imagedata r:id="rId8" o:title=""/>
            </v:shape>
            <w10:wrap type="none"/>
          </v:group>
        </w:pict>
      </w:r>
      <w:r>
        <w:rPr>
          <w:spacing w:val="-11"/>
        </w:rPr>
        <w:t>现将《霍邱县行政机关负责人出庭应诉管理办法》印发给你们，请遵照执行。</w:t>
      </w:r>
    </w:p>
    <w:p>
      <w:pPr>
        <w:spacing w:after="0" w:line="338" w:lineRule="auto"/>
        <w:sectPr>
          <w:footerReference w:type="default" r:id="rId5"/>
          <w:footerReference w:type="even" r:id="rId6"/>
          <w:type w:val="continuous"/>
          <w:pgSz w:w="11910" w:h="16840"/>
          <w:pgMar w:footer="1770" w:top="1580" w:bottom="1960" w:left="1420" w:right="1260"/>
          <w:pgNumType w:start="1"/>
        </w:sectPr>
      </w:pPr>
    </w:p>
    <w:p>
      <w:pPr>
        <w:pStyle w:val="BodyText"/>
        <w:spacing w:before="3"/>
        <w:ind w:left="0"/>
        <w:rPr>
          <w:sz w:val="16"/>
        </w:rPr>
      </w:pPr>
    </w:p>
    <w:p>
      <w:pPr>
        <w:pStyle w:val="Heading1"/>
        <w:spacing w:before="56"/>
      </w:pPr>
      <w:r>
        <w:rPr/>
        <w:t>霍邱县行政机关负责人出庭应诉管理办法</w:t>
      </w:r>
    </w:p>
    <w:p>
      <w:pPr>
        <w:pStyle w:val="BodyText"/>
        <w:spacing w:before="6"/>
        <w:ind w:left="0"/>
        <w:rPr>
          <w:sz w:val="76"/>
        </w:rPr>
      </w:pPr>
    </w:p>
    <w:p>
      <w:pPr>
        <w:pStyle w:val="BodyText"/>
        <w:tabs>
          <w:tab w:pos="2033" w:val="left" w:leader="none"/>
        </w:tabs>
        <w:spacing w:line="338" w:lineRule="auto"/>
        <w:ind w:right="103" w:firstLine="640"/>
      </w:pPr>
      <w:r>
        <w:rPr>
          <w:rFonts w:ascii="黑体" w:eastAsia="黑体" w:hint="eastAsia"/>
          <w:b/>
        </w:rPr>
        <w:t>第一条</w:t>
        <w:tab/>
      </w:r>
      <w:r>
        <w:rPr>
          <w:w w:val="95"/>
        </w:rPr>
        <w:t>为规范</w:t>
      </w:r>
      <w:r>
        <w:rPr>
          <w:spacing w:val="-12"/>
          <w:w w:val="95"/>
        </w:rPr>
        <w:t>行</w:t>
      </w:r>
      <w:r>
        <w:rPr>
          <w:spacing w:val="-10"/>
          <w:w w:val="95"/>
        </w:rPr>
        <w:t>政</w:t>
      </w:r>
      <w:r>
        <w:rPr>
          <w:spacing w:val="-12"/>
          <w:w w:val="95"/>
        </w:rPr>
        <w:t>机关</w:t>
      </w:r>
      <w:r>
        <w:rPr>
          <w:spacing w:val="-10"/>
          <w:w w:val="95"/>
        </w:rPr>
        <w:t>出</w:t>
      </w:r>
      <w:r>
        <w:rPr>
          <w:spacing w:val="-12"/>
          <w:w w:val="95"/>
        </w:rPr>
        <w:t>庭应</w:t>
      </w:r>
      <w:r>
        <w:rPr>
          <w:spacing w:val="-10"/>
          <w:w w:val="95"/>
        </w:rPr>
        <w:t>诉</w:t>
      </w:r>
      <w:r>
        <w:rPr>
          <w:spacing w:val="-12"/>
          <w:w w:val="95"/>
        </w:rPr>
        <w:t>行为</w:t>
      </w:r>
      <w:r>
        <w:rPr>
          <w:spacing w:val="-58"/>
          <w:w w:val="95"/>
        </w:rPr>
        <w:t>，</w:t>
      </w:r>
      <w:r>
        <w:rPr>
          <w:spacing w:val="-12"/>
          <w:w w:val="95"/>
        </w:rPr>
        <w:t>提</w:t>
      </w:r>
      <w:r>
        <w:rPr>
          <w:spacing w:val="-10"/>
          <w:w w:val="95"/>
        </w:rPr>
        <w:t>高</w:t>
      </w:r>
      <w:r>
        <w:rPr>
          <w:spacing w:val="-12"/>
          <w:w w:val="95"/>
        </w:rPr>
        <w:t>行政</w:t>
      </w:r>
      <w:r>
        <w:rPr>
          <w:spacing w:val="-10"/>
          <w:w w:val="95"/>
        </w:rPr>
        <w:t>应</w:t>
      </w:r>
      <w:r>
        <w:rPr>
          <w:spacing w:val="-12"/>
          <w:w w:val="95"/>
        </w:rPr>
        <w:t>诉质</w:t>
      </w:r>
      <w:r>
        <w:rPr>
          <w:spacing w:val="-10"/>
          <w:w w:val="95"/>
        </w:rPr>
        <w:t>量</w:t>
      </w:r>
      <w:r>
        <w:rPr>
          <w:w w:val="95"/>
        </w:rPr>
        <w:t>， </w:t>
      </w:r>
      <w:r>
        <w:rPr/>
        <w:t>推进依法行政</w:t>
      </w:r>
      <w:r>
        <w:rPr>
          <w:spacing w:val="-39"/>
        </w:rPr>
        <w:t>，</w:t>
      </w:r>
      <w:r>
        <w:rPr/>
        <w:t>建设法治政府</w:t>
      </w:r>
      <w:r>
        <w:rPr>
          <w:spacing w:val="-39"/>
        </w:rPr>
        <w:t>，</w:t>
      </w:r>
      <w:r>
        <w:rPr/>
        <w:t>依</w:t>
      </w:r>
      <w:r>
        <w:rPr>
          <w:spacing w:val="-36"/>
        </w:rPr>
        <w:t>据</w:t>
      </w:r>
      <w:r>
        <w:rPr/>
        <w:t>《中华人民共和国行政诉讼法</w:t>
      </w:r>
      <w:r>
        <w:rPr>
          <w:spacing w:val="-159"/>
        </w:rPr>
        <w:t>》、</w:t>
      </w:r>
      <w:r>
        <w:rPr/>
        <w:t>《国务院办公厅关于加强和改进行政应诉工作的意见</w:t>
      </w:r>
      <w:r>
        <w:rPr>
          <w:spacing w:val="-159"/>
        </w:rPr>
        <w:t>》</w:t>
      </w:r>
      <w:r>
        <w:rPr/>
        <w:t>（国</w:t>
      </w:r>
      <w:r>
        <w:rPr>
          <w:spacing w:val="5"/>
        </w:rPr>
        <w:t>办</w:t>
      </w:r>
      <w:r>
        <w:rPr>
          <w:spacing w:val="7"/>
        </w:rPr>
        <w:t>发</w:t>
      </w:r>
      <w:r>
        <w:rPr>
          <w:spacing w:val="5"/>
        </w:rPr>
        <w:t>〔</w:t>
      </w:r>
      <w:r>
        <w:rPr>
          <w:rFonts w:ascii="Times New Roman" w:eastAsia="Times New Roman"/>
        </w:rPr>
        <w:t>2016</w:t>
      </w:r>
      <w:r>
        <w:rPr>
          <w:spacing w:val="5"/>
        </w:rPr>
        <w:t>〕</w:t>
      </w:r>
      <w:r>
        <w:rPr>
          <w:rFonts w:ascii="Times New Roman" w:eastAsia="Times New Roman"/>
        </w:rPr>
        <w:t>54</w:t>
      </w:r>
      <w:r>
        <w:rPr>
          <w:rFonts w:ascii="Times New Roman" w:eastAsia="Times New Roman"/>
          <w:spacing w:val="-3"/>
        </w:rPr>
        <w:t> </w:t>
      </w:r>
      <w:r>
        <w:rPr>
          <w:spacing w:val="7"/>
        </w:rPr>
        <w:t>号</w:t>
      </w:r>
      <w:r>
        <w:rPr>
          <w:spacing w:val="-156"/>
        </w:rPr>
        <w:t>）</w:t>
      </w:r>
      <w:r>
        <w:rPr>
          <w:spacing w:val="-154"/>
        </w:rPr>
        <w:t>、</w:t>
      </w:r>
      <w:r>
        <w:rPr>
          <w:spacing w:val="5"/>
        </w:rPr>
        <w:t>《</w:t>
      </w:r>
      <w:r>
        <w:rPr>
          <w:spacing w:val="7"/>
        </w:rPr>
        <w:t>最</w:t>
      </w:r>
      <w:r>
        <w:rPr>
          <w:spacing w:val="5"/>
        </w:rPr>
        <w:t>高人</w:t>
      </w:r>
      <w:r>
        <w:rPr>
          <w:spacing w:val="7"/>
        </w:rPr>
        <w:t>民</w:t>
      </w:r>
      <w:r>
        <w:rPr>
          <w:spacing w:val="5"/>
        </w:rPr>
        <w:t>法院</w:t>
      </w:r>
      <w:r>
        <w:rPr>
          <w:spacing w:val="7"/>
        </w:rPr>
        <w:t>关</w:t>
      </w:r>
      <w:r>
        <w:rPr>
          <w:spacing w:val="5"/>
        </w:rPr>
        <w:t>于行</w:t>
      </w:r>
      <w:r>
        <w:rPr>
          <w:spacing w:val="7"/>
        </w:rPr>
        <w:t>政</w:t>
      </w:r>
      <w:r>
        <w:rPr>
          <w:spacing w:val="5"/>
        </w:rPr>
        <w:t>机关负</w:t>
      </w:r>
      <w:r>
        <w:rPr>
          <w:spacing w:val="7"/>
        </w:rPr>
        <w:t>责</w:t>
      </w:r>
      <w:r>
        <w:rPr>
          <w:spacing w:val="5"/>
        </w:rPr>
        <w:t>人出</w:t>
      </w:r>
      <w:r>
        <w:rPr/>
        <w:t>庭</w:t>
      </w:r>
      <w:r>
        <w:rPr>
          <w:spacing w:val="-15"/>
        </w:rPr>
        <w:t>应</w:t>
      </w:r>
      <w:r>
        <w:rPr>
          <w:spacing w:val="-17"/>
        </w:rPr>
        <w:t>诉</w:t>
      </w:r>
      <w:r>
        <w:rPr>
          <w:spacing w:val="-15"/>
        </w:rPr>
        <w:t>若干</w:t>
      </w:r>
      <w:r>
        <w:rPr>
          <w:spacing w:val="-17"/>
        </w:rPr>
        <w:t>问</w:t>
      </w:r>
      <w:r>
        <w:rPr>
          <w:spacing w:val="-15"/>
        </w:rPr>
        <w:t>题的</w:t>
      </w:r>
      <w:r>
        <w:rPr>
          <w:spacing w:val="-17"/>
        </w:rPr>
        <w:t>规</w:t>
      </w:r>
      <w:r>
        <w:rPr>
          <w:spacing w:val="-15"/>
        </w:rPr>
        <w:t>定</w:t>
      </w:r>
      <w:r>
        <w:rPr>
          <w:spacing w:val="-180"/>
        </w:rPr>
        <w:t>》</w:t>
      </w:r>
      <w:r>
        <w:rPr>
          <w:spacing w:val="-15"/>
        </w:rPr>
        <w:t>（法</w:t>
      </w:r>
      <w:r>
        <w:rPr>
          <w:spacing w:val="-29"/>
        </w:rPr>
        <w:t>释</w:t>
      </w:r>
      <w:r>
        <w:rPr>
          <w:spacing w:val="-15"/>
        </w:rPr>
        <w:t>〔</w:t>
      </w:r>
      <w:r>
        <w:rPr>
          <w:rFonts w:ascii="Times New Roman" w:eastAsia="Times New Roman"/>
          <w:spacing w:val="-9"/>
        </w:rPr>
        <w:t>2020</w:t>
      </w:r>
      <w:r>
        <w:rPr>
          <w:spacing w:val="-27"/>
        </w:rPr>
        <w:t>〕</w:t>
      </w:r>
      <w:r>
        <w:rPr>
          <w:rFonts w:ascii="Times New Roman" w:eastAsia="Times New Roman"/>
        </w:rPr>
        <w:t>3</w:t>
      </w:r>
      <w:r>
        <w:rPr>
          <w:rFonts w:ascii="Times New Roman" w:eastAsia="Times New Roman"/>
          <w:spacing w:val="-20"/>
        </w:rPr>
        <w:t> </w:t>
      </w:r>
      <w:r>
        <w:rPr>
          <w:spacing w:val="-15"/>
        </w:rPr>
        <w:t>号</w:t>
      </w:r>
      <w:r>
        <w:rPr>
          <w:spacing w:val="-168"/>
        </w:rPr>
        <w:t>）</w:t>
      </w:r>
      <w:r>
        <w:rPr>
          <w:spacing w:val="-180"/>
        </w:rPr>
        <w:t>、</w:t>
      </w:r>
      <w:r>
        <w:rPr>
          <w:spacing w:val="-15"/>
        </w:rPr>
        <w:t>《安</w:t>
      </w:r>
      <w:r>
        <w:rPr>
          <w:spacing w:val="-17"/>
        </w:rPr>
        <w:t>徽</w:t>
      </w:r>
      <w:r>
        <w:rPr>
          <w:spacing w:val="-15"/>
        </w:rPr>
        <w:t>省人</w:t>
      </w:r>
      <w:r>
        <w:rPr>
          <w:spacing w:val="-17"/>
        </w:rPr>
        <w:t>民</w:t>
      </w:r>
      <w:r>
        <w:rPr>
          <w:spacing w:val="-15"/>
        </w:rPr>
        <w:t>政府</w:t>
      </w:r>
      <w:r>
        <w:rPr>
          <w:spacing w:val="-17"/>
        </w:rPr>
        <w:t>办</w:t>
      </w:r>
      <w:r>
        <w:rPr/>
        <w:t>公</w:t>
      </w:r>
      <w:r>
        <w:rPr>
          <w:spacing w:val="-10"/>
        </w:rPr>
        <w:t>厅关</w:t>
      </w:r>
      <w:r>
        <w:rPr>
          <w:spacing w:val="-7"/>
        </w:rPr>
        <w:t>于</w:t>
      </w:r>
      <w:r>
        <w:rPr>
          <w:spacing w:val="-10"/>
        </w:rPr>
        <w:t>加强和改</w:t>
      </w:r>
      <w:r>
        <w:rPr>
          <w:spacing w:val="-7"/>
        </w:rPr>
        <w:t>进</w:t>
      </w:r>
      <w:r>
        <w:rPr>
          <w:spacing w:val="-10"/>
        </w:rPr>
        <w:t>行政应诉</w:t>
      </w:r>
      <w:r>
        <w:rPr>
          <w:spacing w:val="-7"/>
        </w:rPr>
        <w:t>工</w:t>
      </w:r>
      <w:r>
        <w:rPr>
          <w:spacing w:val="-10"/>
        </w:rPr>
        <w:t>作的实施</w:t>
      </w:r>
      <w:r>
        <w:rPr>
          <w:spacing w:val="-7"/>
        </w:rPr>
        <w:t>意</w:t>
      </w:r>
      <w:r>
        <w:rPr>
          <w:spacing w:val="-12"/>
        </w:rPr>
        <w:t>见</w:t>
      </w:r>
      <w:r>
        <w:rPr>
          <w:spacing w:val="-161"/>
        </w:rPr>
        <w:t>》</w:t>
      </w:r>
      <w:r>
        <w:rPr>
          <w:spacing w:val="-10"/>
        </w:rPr>
        <w:t>（皖</w:t>
      </w:r>
      <w:r>
        <w:rPr>
          <w:spacing w:val="-7"/>
        </w:rPr>
        <w:t>政</w:t>
      </w:r>
      <w:r>
        <w:rPr>
          <w:spacing w:val="-10"/>
        </w:rPr>
        <w:t>办〔</w:t>
      </w:r>
      <w:r>
        <w:rPr>
          <w:rFonts w:ascii="Times New Roman" w:eastAsia="Times New Roman"/>
          <w:spacing w:val="-7"/>
        </w:rPr>
        <w:t>2016</w:t>
      </w:r>
      <w:r>
        <w:rPr>
          <w:spacing w:val="-7"/>
        </w:rPr>
        <w:t>〕</w:t>
      </w:r>
      <w:r>
        <w:rPr>
          <w:rFonts w:ascii="Times New Roman" w:eastAsia="Times New Roman"/>
        </w:rPr>
        <w:t>73 </w:t>
      </w:r>
      <w:r>
        <w:rPr/>
        <w:t>号）等有关规定，结合我县实际，制定本办法。</w:t>
      </w:r>
    </w:p>
    <w:p>
      <w:pPr>
        <w:pStyle w:val="BodyText"/>
        <w:tabs>
          <w:tab w:pos="2023" w:val="left" w:leader="none"/>
        </w:tabs>
        <w:spacing w:before="14"/>
        <w:ind w:left="740"/>
      </w:pPr>
      <w:r>
        <w:rPr>
          <w:rFonts w:ascii="黑体" w:eastAsia="黑体" w:hint="eastAsia"/>
          <w:b/>
        </w:rPr>
        <w:t>第二条</w:t>
        <w:tab/>
      </w:r>
      <w:r>
        <w:rPr/>
        <w:t>本办法适用于本县下列行政机关和组织：</w:t>
      </w:r>
    </w:p>
    <w:p>
      <w:pPr>
        <w:pStyle w:val="BodyText"/>
        <w:spacing w:before="169"/>
        <w:ind w:left="740"/>
      </w:pPr>
      <w:r>
        <w:rPr/>
        <w:t>（一）县政府及其所属部门、直属机构；</w:t>
      </w:r>
    </w:p>
    <w:p>
      <w:pPr>
        <w:pStyle w:val="BodyText"/>
        <w:spacing w:before="170"/>
        <w:ind w:left="740"/>
      </w:pPr>
      <w:r>
        <w:rPr/>
        <w:t>（二）乡（镇）政府；开发区（现代产业园）管委；</w:t>
      </w:r>
    </w:p>
    <w:p>
      <w:pPr>
        <w:pStyle w:val="BodyText"/>
        <w:spacing w:line="338" w:lineRule="auto" w:before="171"/>
        <w:ind w:right="269" w:firstLine="628"/>
      </w:pPr>
      <w:r>
        <w:rPr/>
        <w:t>（三</w:t>
      </w:r>
      <w:r>
        <w:rPr>
          <w:spacing w:val="-36"/>
        </w:rPr>
        <w:t>）</w:t>
      </w:r>
      <w:r>
        <w:rPr>
          <w:spacing w:val="-9"/>
        </w:rPr>
        <w:t>法律、法规、规章授权独立行使行政职权的行政机关内设机构、派出机构或者其他组织。</w:t>
      </w:r>
    </w:p>
    <w:p>
      <w:pPr>
        <w:pStyle w:val="BodyText"/>
        <w:spacing w:line="338" w:lineRule="auto" w:before="3"/>
        <w:ind w:right="269" w:firstLine="640"/>
        <w:jc w:val="both"/>
      </w:pPr>
      <w:r>
        <w:rPr>
          <w:rFonts w:ascii="黑体" w:eastAsia="黑体" w:hint="eastAsia"/>
          <w:b/>
          <w:spacing w:val="37"/>
        </w:rPr>
        <w:t>第三条 </w:t>
      </w:r>
      <w:r>
        <w:rPr>
          <w:spacing w:val="-10"/>
        </w:rPr>
        <w:t>本办法所称出庭应诉，是指自然人、法人或者其他</w:t>
      </w:r>
      <w:r>
        <w:rPr>
          <w:spacing w:val="-16"/>
          <w:w w:val="95"/>
        </w:rPr>
        <w:t>组织认为行政机关和法律、法规、规章授权的组织</w:t>
      </w:r>
      <w:r>
        <w:rPr>
          <w:w w:val="95"/>
        </w:rPr>
        <w:t>（以下统称行 </w:t>
      </w:r>
      <w:r>
        <w:rPr/>
        <w:t>政机关</w:t>
      </w:r>
      <w:r>
        <w:rPr>
          <w:spacing w:val="-58"/>
        </w:rPr>
        <w:t>）</w:t>
      </w:r>
      <w:r>
        <w:rPr>
          <w:spacing w:val="-3"/>
        </w:rPr>
        <w:t>及行政机关工作人员的行政行为侵犯其合法权益，向人民法院提起行政诉讼，行政机关依法参加行政应诉的活动。</w:t>
      </w:r>
    </w:p>
    <w:p>
      <w:pPr>
        <w:pStyle w:val="BodyText"/>
        <w:spacing w:line="338" w:lineRule="auto" w:before="8"/>
        <w:ind w:right="269" w:firstLine="628"/>
        <w:jc w:val="both"/>
      </w:pPr>
      <w:r>
        <w:rPr>
          <w:rFonts w:ascii="黑体" w:eastAsia="黑体" w:hint="eastAsia"/>
          <w:b/>
          <w:spacing w:val="37"/>
        </w:rPr>
        <w:t>第四条 </w:t>
      </w:r>
      <w:r>
        <w:rPr>
          <w:spacing w:val="-7"/>
        </w:rPr>
        <w:t>本办法所称行政机关负责人出庭应诉，是指行政机</w:t>
      </w:r>
      <w:r>
        <w:rPr>
          <w:spacing w:val="-13"/>
        </w:rPr>
        <w:t>关的正职、副职负责人、参与分管被诉行政行为实施工作的副职</w:t>
      </w:r>
      <w:r>
        <w:rPr>
          <w:spacing w:val="6"/>
          <w:w w:val="95"/>
        </w:rPr>
        <w:t>级别的负责人以及其他参与分管的负责人在人民法院开庭审理</w:t>
      </w:r>
    </w:p>
    <w:p>
      <w:pPr>
        <w:spacing w:after="0" w:line="338" w:lineRule="auto"/>
        <w:jc w:val="both"/>
        <w:sectPr>
          <w:pgSz w:w="11910" w:h="16840"/>
          <w:pgMar w:header="0" w:footer="1770" w:top="1580" w:bottom="1960" w:left="1420" w:right="1260"/>
        </w:sectPr>
      </w:pPr>
    </w:p>
    <w:p>
      <w:pPr>
        <w:pStyle w:val="BodyText"/>
        <w:spacing w:before="1"/>
        <w:ind w:left="0"/>
        <w:rPr>
          <w:sz w:val="15"/>
        </w:rPr>
      </w:pPr>
    </w:p>
    <w:p>
      <w:pPr>
        <w:pStyle w:val="BodyText"/>
        <w:spacing w:line="338" w:lineRule="auto" w:before="54"/>
        <w:ind w:right="266"/>
        <w:jc w:val="both"/>
      </w:pPr>
      <w:r>
        <w:rPr>
          <w:spacing w:val="-8"/>
          <w:w w:val="95"/>
        </w:rPr>
        <w:t>案件时到庭参加诉讼，当庭陈述、举证、质证、辩论，接受法庭 </w:t>
      </w:r>
      <w:r>
        <w:rPr>
          <w:spacing w:val="-13"/>
        </w:rPr>
        <w:t>调查、询问，参与案件协调或调解等依法行使诉讼权利、履行诉讼义务的行为。</w:t>
      </w:r>
    </w:p>
    <w:p>
      <w:pPr>
        <w:pStyle w:val="BodyText"/>
        <w:spacing w:line="340" w:lineRule="auto" w:before="6"/>
        <w:ind w:right="110" w:firstLine="640"/>
        <w:jc w:val="both"/>
      </w:pPr>
      <w:r>
        <w:rPr>
          <w:rFonts w:ascii="黑体" w:eastAsia="黑体" w:hint="eastAsia"/>
          <w:b/>
          <w:spacing w:val="4"/>
        </w:rPr>
        <w:t>第五条  </w:t>
      </w:r>
      <w:r>
        <w:rPr>
          <w:spacing w:val="6"/>
        </w:rPr>
        <w:t>行政机关主要负责人是本行政机关行政应诉工作</w:t>
      </w:r>
      <w:r>
        <w:rPr>
          <w:spacing w:val="-7"/>
        </w:rPr>
        <w:t>的第一责任人，应当加强对行政应诉工作的领导。行政机关要加</w:t>
      </w:r>
      <w:r>
        <w:rPr>
          <w:spacing w:val="-14"/>
        </w:rPr>
        <w:t>强行政应诉工作力量，配备专业应诉工作人员，积极发挥政府法</w:t>
      </w:r>
      <w:r>
        <w:rPr>
          <w:spacing w:val="-17"/>
        </w:rPr>
        <w:t>律顾问和公职律师作用，确保行政应诉工作力量与工作任务相适</w:t>
      </w:r>
      <w:r>
        <w:rPr>
          <w:spacing w:val="-19"/>
          <w:w w:val="95"/>
        </w:rPr>
        <w:t>应。要切实保障行政应诉工作经费、装备和其他必要的工作条件。</w:t>
      </w:r>
    </w:p>
    <w:p>
      <w:pPr>
        <w:pStyle w:val="BodyText"/>
        <w:spacing w:line="340" w:lineRule="auto"/>
        <w:ind w:right="269" w:firstLine="640"/>
        <w:jc w:val="both"/>
      </w:pPr>
      <w:r>
        <w:rPr>
          <w:rFonts w:ascii="黑体" w:eastAsia="黑体" w:hint="eastAsia"/>
          <w:b/>
        </w:rPr>
        <w:t>第六条 </w:t>
      </w:r>
      <w:r>
        <w:rPr/>
        <w:t>县司法局负责本县行政应诉的组织、协调、指导和监督。</w:t>
      </w:r>
    </w:p>
    <w:p>
      <w:pPr>
        <w:pStyle w:val="BodyText"/>
        <w:tabs>
          <w:tab w:pos="2038" w:val="left" w:leader="none"/>
        </w:tabs>
        <w:spacing w:line="338" w:lineRule="auto"/>
        <w:ind w:right="144" w:firstLine="645"/>
      </w:pPr>
      <w:r>
        <w:rPr>
          <w:rFonts w:ascii="黑体" w:eastAsia="黑体" w:hint="eastAsia"/>
          <w:b/>
        </w:rPr>
        <w:t>第七条</w:t>
        <w:tab/>
      </w:r>
      <w:r>
        <w:rPr/>
        <w:t>未经行政复议的行政应诉案件，被告为县政府的</w:t>
      </w:r>
      <w:r>
        <w:rPr>
          <w:spacing w:val="-11"/>
        </w:rPr>
        <w:t>， </w:t>
      </w:r>
      <w:r>
        <w:rPr/>
        <w:t>由作出行政行为的原承办部门负责组织应诉工作</w:t>
      </w:r>
      <w:r>
        <w:rPr>
          <w:spacing w:val="-115"/>
        </w:rPr>
        <w:t>，</w:t>
      </w:r>
      <w:r>
        <w:rPr/>
        <w:t>原承办部门有两个或者两个以上的</w:t>
      </w:r>
      <w:r>
        <w:rPr>
          <w:spacing w:val="-58"/>
        </w:rPr>
        <w:t>，</w:t>
      </w:r>
      <w:r>
        <w:rPr/>
        <w:t>由牵头部门负责组织应诉工作</w:t>
      </w:r>
      <w:r>
        <w:rPr>
          <w:spacing w:val="-55"/>
        </w:rPr>
        <w:t>，</w:t>
      </w:r>
      <w:r>
        <w:rPr/>
        <w:t>并承担相关费用及提请县政府有关领导出庭应诉</w:t>
      </w:r>
      <w:r>
        <w:rPr>
          <w:spacing w:val="-58"/>
        </w:rPr>
        <w:t>，</w:t>
      </w:r>
      <w:r>
        <w:rPr/>
        <w:t>其他部门协同配合</w:t>
      </w:r>
      <w:r>
        <w:rPr>
          <w:spacing w:val="-55"/>
        </w:rPr>
        <w:t>，</w:t>
      </w:r>
      <w:r>
        <w:rPr/>
        <w:t>特殊案件由县领导另行指定</w:t>
      </w:r>
      <w:r>
        <w:rPr>
          <w:spacing w:val="-58"/>
        </w:rPr>
        <w:t>；</w:t>
      </w:r>
      <w:r>
        <w:rPr/>
        <w:t>被告为其他行政机关的</w:t>
      </w:r>
      <w:r>
        <w:rPr>
          <w:spacing w:val="-58"/>
        </w:rPr>
        <w:t>，</w:t>
      </w:r>
      <w:r>
        <w:rPr/>
        <w:t>由行政机关自行组织应诉。</w:t>
      </w:r>
    </w:p>
    <w:p>
      <w:pPr>
        <w:pStyle w:val="BodyText"/>
        <w:spacing w:line="338" w:lineRule="auto"/>
        <w:ind w:right="269" w:firstLine="645"/>
        <w:jc w:val="both"/>
      </w:pPr>
      <w:r>
        <w:rPr>
          <w:rFonts w:ascii="黑体" w:eastAsia="黑体" w:hint="eastAsia"/>
          <w:b/>
          <w:spacing w:val="36"/>
        </w:rPr>
        <w:t>第八条 </w:t>
      </w:r>
      <w:r>
        <w:rPr>
          <w:spacing w:val="-9"/>
        </w:rPr>
        <w:t>经过行政复议的行政应诉案件，作出原行政行为的</w:t>
      </w:r>
      <w:r>
        <w:rPr>
          <w:spacing w:val="-15"/>
        </w:rPr>
        <w:t>行政机关和行政复议机关作为共同被告的。由原作出行政行为的</w:t>
      </w:r>
      <w:r>
        <w:rPr>
          <w:spacing w:val="-19"/>
          <w:w w:val="95"/>
        </w:rPr>
        <w:t>行政机关和行政复议机构相互配合共同组织做好应诉工作，并分 </w:t>
      </w:r>
      <w:r>
        <w:rPr>
          <w:spacing w:val="6"/>
          <w:w w:val="95"/>
        </w:rPr>
        <w:t>别对原行政行为的合法性及行政复议程序的合法性承担举证责 </w:t>
      </w:r>
      <w:r>
        <w:rPr>
          <w:spacing w:val="-12"/>
        </w:rPr>
        <w:t>任；行政复议机关单独作为被告的，由行政复议机构负责组织应诉工作，作出原行政行为的行政机关应配合做好应诉工作。</w:t>
      </w:r>
    </w:p>
    <w:p>
      <w:pPr>
        <w:spacing w:after="0" w:line="338" w:lineRule="auto"/>
        <w:jc w:val="both"/>
        <w:sectPr>
          <w:pgSz w:w="11910" w:h="16840"/>
          <w:pgMar w:header="0" w:footer="1770" w:top="1580" w:bottom="1960" w:left="1420" w:right="1260"/>
        </w:sectPr>
      </w:pPr>
    </w:p>
    <w:p>
      <w:pPr>
        <w:pStyle w:val="BodyText"/>
        <w:spacing w:before="1"/>
        <w:ind w:left="0"/>
        <w:rPr>
          <w:sz w:val="15"/>
        </w:rPr>
      </w:pPr>
    </w:p>
    <w:p>
      <w:pPr>
        <w:pStyle w:val="BodyText"/>
        <w:tabs>
          <w:tab w:pos="2033" w:val="left" w:leader="none"/>
        </w:tabs>
        <w:spacing w:line="338" w:lineRule="auto" w:before="54"/>
        <w:ind w:right="110" w:firstLine="640"/>
      </w:pPr>
      <w:r>
        <w:rPr>
          <w:rFonts w:ascii="黑体" w:eastAsia="黑体" w:hint="eastAsia"/>
          <w:b/>
        </w:rPr>
        <w:t>第九条</w:t>
        <w:tab/>
      </w:r>
      <w:r>
        <w:rPr/>
        <w:t>行政机关收到行政起诉状副本后</w:t>
      </w:r>
      <w:r>
        <w:rPr>
          <w:spacing w:val="-118"/>
        </w:rPr>
        <w:t>，</w:t>
      </w:r>
      <w:r>
        <w:rPr/>
        <w:t>应诉承办机构应及时起草答辩状</w:t>
      </w:r>
      <w:r>
        <w:rPr>
          <w:spacing w:val="-39"/>
        </w:rPr>
        <w:t>，</w:t>
      </w:r>
      <w:r>
        <w:rPr/>
        <w:t>准备证据</w:t>
      </w:r>
      <w:r>
        <w:rPr>
          <w:spacing w:val="-39"/>
        </w:rPr>
        <w:t>、</w:t>
      </w:r>
      <w:r>
        <w:rPr/>
        <w:t>依据及其他材料</w:t>
      </w:r>
      <w:r>
        <w:rPr>
          <w:spacing w:val="-36"/>
        </w:rPr>
        <w:t>，</w:t>
      </w:r>
      <w:r>
        <w:rPr/>
        <w:t>提出委托诉讼代理人和出庭应诉人员名单</w:t>
      </w:r>
      <w:r>
        <w:rPr>
          <w:spacing w:val="-115"/>
        </w:rPr>
        <w:t>，</w:t>
      </w:r>
      <w:r>
        <w:rPr/>
        <w:t>并在</w:t>
      </w:r>
      <w:r>
        <w:rPr>
          <w:spacing w:val="-85"/>
        </w:rPr>
        <w:t> </w:t>
      </w:r>
      <w:r>
        <w:rPr>
          <w:rFonts w:ascii="Times New Roman" w:eastAsia="Times New Roman"/>
        </w:rPr>
        <w:t>15</w:t>
      </w:r>
      <w:r>
        <w:rPr>
          <w:rFonts w:ascii="Times New Roman" w:eastAsia="Times New Roman"/>
          <w:spacing w:val="-6"/>
        </w:rPr>
        <w:t> </w:t>
      </w:r>
      <w:r>
        <w:rPr/>
        <w:t>日内向人民法院提交答辩状， 提供作出行政行为的证据、依据。</w:t>
      </w:r>
    </w:p>
    <w:p>
      <w:pPr>
        <w:pStyle w:val="BodyText"/>
        <w:tabs>
          <w:tab w:pos="2033" w:val="left" w:leader="none"/>
        </w:tabs>
        <w:spacing w:line="338" w:lineRule="auto" w:before="9"/>
        <w:ind w:right="269" w:firstLine="640"/>
      </w:pPr>
      <w:r>
        <w:rPr>
          <w:rFonts w:ascii="黑体" w:eastAsia="黑体" w:hint="eastAsia"/>
          <w:b/>
        </w:rPr>
        <w:t>第十条</w:t>
        <w:tab/>
      </w:r>
      <w:r>
        <w:rPr/>
        <w:t>被诉行政机关负责人应当出庭应诉</w:t>
      </w:r>
      <w:r>
        <w:rPr>
          <w:spacing w:val="-120"/>
        </w:rPr>
        <w:t>，</w:t>
      </w:r>
      <w:r>
        <w:rPr/>
        <w:t>其可以另行</w:t>
      </w:r>
      <w:r>
        <w:rPr>
          <w:spacing w:val="-11"/>
        </w:rPr>
        <w:t>委</w:t>
      </w:r>
      <w:r>
        <w:rPr/>
        <w:t>托一至二名诉讼代理人参加应诉，不得仅委托律师出庭应诉。</w:t>
      </w:r>
    </w:p>
    <w:p>
      <w:pPr>
        <w:pStyle w:val="BodyText"/>
        <w:tabs>
          <w:tab w:pos="2355" w:val="left" w:leader="none"/>
        </w:tabs>
        <w:spacing w:line="340" w:lineRule="auto" w:before="3"/>
        <w:ind w:right="269" w:firstLine="640"/>
      </w:pPr>
      <w:r>
        <w:rPr>
          <w:rFonts w:ascii="黑体" w:eastAsia="黑体" w:hint="eastAsia"/>
          <w:b/>
        </w:rPr>
        <w:t>第十一条</w:t>
        <w:tab/>
      </w:r>
      <w:r>
        <w:rPr/>
        <w:t>行政应诉案件中</w:t>
      </w:r>
      <w:r>
        <w:rPr>
          <w:spacing w:val="-60"/>
        </w:rPr>
        <w:t>，</w:t>
      </w:r>
      <w:r>
        <w:rPr/>
        <w:t>被告为县政府</w:t>
      </w:r>
      <w:r>
        <w:rPr>
          <w:spacing w:val="-60"/>
        </w:rPr>
        <w:t>，</w:t>
      </w:r>
      <w:r>
        <w:rPr/>
        <w:t>按照下列规</w:t>
      </w:r>
      <w:r>
        <w:rPr>
          <w:spacing w:val="-12"/>
        </w:rPr>
        <w:t>定</w:t>
      </w:r>
      <w:r>
        <w:rPr/>
        <w:t>出庭应诉：</w:t>
      </w:r>
    </w:p>
    <w:p>
      <w:pPr>
        <w:pStyle w:val="BodyText"/>
        <w:spacing w:line="340" w:lineRule="auto"/>
        <w:ind w:right="269" w:firstLine="640"/>
        <w:jc w:val="both"/>
      </w:pPr>
      <w:r>
        <w:rPr/>
        <w:t>（一</w:t>
      </w:r>
      <w:r>
        <w:rPr>
          <w:spacing w:val="-58"/>
        </w:rPr>
        <w:t>）</w:t>
      </w:r>
      <w:r>
        <w:rPr>
          <w:spacing w:val="-5"/>
        </w:rPr>
        <w:t>基层人民法院审理的案件，原则上行政机关负责人应</w:t>
      </w:r>
      <w:r>
        <w:rPr>
          <w:spacing w:val="-11"/>
          <w:w w:val="95"/>
        </w:rPr>
        <w:t>当出庭应诉，行政机关负责人因正当理由不能出庭的，可以委托 </w:t>
      </w:r>
      <w:r>
        <w:rPr>
          <w:spacing w:val="-11"/>
        </w:rPr>
        <w:t>行政应诉承办机构主要负责人出庭应诉。</w:t>
      </w:r>
    </w:p>
    <w:p>
      <w:pPr>
        <w:pStyle w:val="BodyText"/>
        <w:spacing w:line="340" w:lineRule="auto"/>
        <w:ind w:right="269" w:firstLine="628"/>
      </w:pPr>
      <w:r>
        <w:rPr/>
        <w:t>（二</w:t>
      </w:r>
      <w:r>
        <w:rPr>
          <w:spacing w:val="-53"/>
        </w:rPr>
        <w:t>）</w:t>
      </w:r>
      <w:r>
        <w:rPr>
          <w:spacing w:val="-4"/>
        </w:rPr>
        <w:t>中级及其以上人民法院审理的案件，由行政机关负责人出庭应诉。</w:t>
      </w:r>
    </w:p>
    <w:p>
      <w:pPr>
        <w:pStyle w:val="BodyText"/>
        <w:spacing w:line="338" w:lineRule="auto"/>
        <w:ind w:right="269" w:firstLine="628"/>
        <w:jc w:val="both"/>
      </w:pPr>
      <w:r>
        <w:rPr/>
        <w:t>（三</w:t>
      </w:r>
      <w:r>
        <w:rPr>
          <w:spacing w:val="-106"/>
        </w:rPr>
        <w:t>）</w:t>
      </w:r>
      <w:r>
        <w:rPr/>
        <w:t>对涉及重大公共利益社会关注度高或者可能引发群体</w:t>
      </w:r>
      <w:r>
        <w:rPr>
          <w:spacing w:val="-10"/>
        </w:rPr>
        <w:t>性事件、人民法院书面建议行政机关主要负责人出庭应诉、其他</w:t>
      </w:r>
      <w:r>
        <w:rPr>
          <w:spacing w:val="-16"/>
        </w:rPr>
        <w:t>需要行政机关主要负责人出庭应诉的案件，行政机关主要负责人应当出庭应诉。</w:t>
      </w:r>
    </w:p>
    <w:p>
      <w:pPr>
        <w:pStyle w:val="BodyText"/>
        <w:tabs>
          <w:tab w:pos="2345" w:val="left" w:leader="none"/>
        </w:tabs>
        <w:spacing w:line="338" w:lineRule="auto"/>
        <w:ind w:right="105" w:firstLine="628"/>
      </w:pPr>
      <w:r>
        <w:rPr>
          <w:rFonts w:ascii="黑体" w:eastAsia="黑体" w:hint="eastAsia"/>
          <w:b/>
        </w:rPr>
        <w:t>第十二条</w:t>
        <w:tab/>
      </w:r>
      <w:r>
        <w:rPr/>
        <w:t>行政应诉案件中</w:t>
      </w:r>
      <w:r>
        <w:rPr>
          <w:spacing w:val="-55"/>
        </w:rPr>
        <w:t>，</w:t>
      </w:r>
      <w:r>
        <w:rPr/>
        <w:t>被告为县政府所属部门</w:t>
      </w:r>
      <w:r>
        <w:rPr>
          <w:spacing w:val="-55"/>
        </w:rPr>
        <w:t>、</w:t>
      </w:r>
      <w:r>
        <w:rPr/>
        <w:t>直属</w:t>
      </w:r>
      <w:r>
        <w:rPr>
          <w:w w:val="95"/>
        </w:rPr>
        <w:t>机构</w:t>
      </w:r>
      <w:r>
        <w:rPr>
          <w:spacing w:val="-36"/>
          <w:w w:val="95"/>
        </w:rPr>
        <w:t>、</w:t>
      </w:r>
      <w:r>
        <w:rPr>
          <w:spacing w:val="-31"/>
          <w:w w:val="95"/>
        </w:rPr>
        <w:t>乡</w:t>
      </w:r>
      <w:r>
        <w:rPr>
          <w:w w:val="95"/>
        </w:rPr>
        <w:t>（镇</w:t>
      </w:r>
      <w:r>
        <w:rPr>
          <w:spacing w:val="-34"/>
          <w:w w:val="95"/>
        </w:rPr>
        <w:t>）</w:t>
      </w:r>
      <w:r>
        <w:rPr>
          <w:w w:val="95"/>
        </w:rPr>
        <w:t>政府</w:t>
      </w:r>
      <w:r>
        <w:rPr>
          <w:spacing w:val="-34"/>
          <w:w w:val="95"/>
        </w:rPr>
        <w:t>、</w:t>
      </w:r>
      <w:r>
        <w:rPr>
          <w:w w:val="95"/>
        </w:rPr>
        <w:t>开发</w:t>
      </w:r>
      <w:r>
        <w:rPr>
          <w:spacing w:val="-34"/>
          <w:w w:val="95"/>
        </w:rPr>
        <w:t>区</w:t>
      </w:r>
      <w:r>
        <w:rPr>
          <w:w w:val="95"/>
        </w:rPr>
        <w:t>（现代产业园</w:t>
      </w:r>
      <w:r>
        <w:rPr>
          <w:spacing w:val="-34"/>
          <w:w w:val="95"/>
        </w:rPr>
        <w:t>）</w:t>
      </w:r>
      <w:r>
        <w:rPr>
          <w:w w:val="95"/>
        </w:rPr>
        <w:t>管委</w:t>
      </w:r>
      <w:r>
        <w:rPr>
          <w:spacing w:val="-34"/>
          <w:w w:val="95"/>
        </w:rPr>
        <w:t>，</w:t>
      </w:r>
      <w:r>
        <w:rPr>
          <w:w w:val="95"/>
        </w:rPr>
        <w:t>法律</w:t>
      </w:r>
      <w:r>
        <w:rPr>
          <w:spacing w:val="-34"/>
          <w:w w:val="95"/>
        </w:rPr>
        <w:t>、</w:t>
      </w:r>
      <w:r>
        <w:rPr>
          <w:w w:val="95"/>
        </w:rPr>
        <w:t>法规、 </w:t>
      </w:r>
      <w:r>
        <w:rPr/>
        <w:t>规章授权独立行使行政职权的行政机关内设机构</w:t>
      </w:r>
      <w:r>
        <w:rPr>
          <w:spacing w:val="-115"/>
        </w:rPr>
        <w:t>、</w:t>
      </w:r>
      <w:r>
        <w:rPr/>
        <w:t>派出机构或者其他组织。按照下列规定出庭应诉：</w:t>
      </w:r>
    </w:p>
    <w:p>
      <w:pPr>
        <w:pStyle w:val="BodyText"/>
        <w:ind w:left="751"/>
      </w:pPr>
      <w:r>
        <w:rPr/>
        <w:t>（一</w:t>
      </w:r>
      <w:r>
        <w:rPr>
          <w:spacing w:val="-58"/>
        </w:rPr>
        <w:t>）</w:t>
      </w:r>
      <w:r>
        <w:rPr>
          <w:spacing w:val="-5"/>
        </w:rPr>
        <w:t>基层人民法院审理的案件，原则上行政机关主要负责</w:t>
      </w:r>
    </w:p>
    <w:p>
      <w:pPr>
        <w:spacing w:after="0"/>
        <w:sectPr>
          <w:pgSz w:w="11910" w:h="16840"/>
          <w:pgMar w:header="0" w:footer="1770" w:top="1580" w:bottom="1960" w:left="1420" w:right="1260"/>
        </w:sectPr>
      </w:pPr>
    </w:p>
    <w:p>
      <w:pPr>
        <w:pStyle w:val="BodyText"/>
        <w:spacing w:before="1"/>
        <w:ind w:left="0"/>
        <w:rPr>
          <w:sz w:val="15"/>
        </w:rPr>
      </w:pPr>
    </w:p>
    <w:p>
      <w:pPr>
        <w:pStyle w:val="BodyText"/>
        <w:spacing w:line="338" w:lineRule="auto" w:before="54"/>
        <w:ind w:right="153"/>
      </w:pPr>
      <w:r>
        <w:rPr/>
        <w:t>人应当出庭应诉，行政机关主要负责人因正当理由不能出庭的， 经县政府分管法制工作负责人同意后，方可委托行政机关分管负责人出庭应诉，不得仅委托律师出庭应诉。</w:t>
      </w:r>
    </w:p>
    <w:p>
      <w:pPr>
        <w:pStyle w:val="BodyText"/>
        <w:spacing w:line="340" w:lineRule="auto" w:before="6"/>
        <w:ind w:right="269" w:firstLine="628"/>
      </w:pPr>
      <w:r>
        <w:rPr/>
        <w:t>（二</w:t>
      </w:r>
      <w:r>
        <w:rPr>
          <w:spacing w:val="-53"/>
        </w:rPr>
        <w:t>）</w:t>
      </w:r>
      <w:r>
        <w:rPr>
          <w:spacing w:val="-4"/>
        </w:rPr>
        <w:t>中级及其以上人民法院审理的案件，行政机关主要负责人应当出庭应诉。</w:t>
      </w:r>
    </w:p>
    <w:p>
      <w:pPr>
        <w:pStyle w:val="BodyText"/>
        <w:spacing w:line="340" w:lineRule="auto"/>
        <w:ind w:right="269" w:firstLine="628"/>
      </w:pPr>
      <w:r>
        <w:rPr>
          <w:spacing w:val="-10"/>
        </w:rPr>
        <w:t>派出机构、内设机构作为被告的，由派出机构、内设机构主要负责人出庭应诉。</w:t>
      </w:r>
    </w:p>
    <w:p>
      <w:pPr>
        <w:pStyle w:val="BodyText"/>
        <w:spacing w:line="338" w:lineRule="auto"/>
        <w:ind w:right="269" w:firstLine="645"/>
        <w:jc w:val="both"/>
      </w:pPr>
      <w:r>
        <w:rPr>
          <w:rFonts w:ascii="黑体" w:eastAsia="黑体" w:hint="eastAsia"/>
          <w:b/>
          <w:spacing w:val="29"/>
        </w:rPr>
        <w:t>第十三条 </w:t>
      </w:r>
      <w:r>
        <w:rPr>
          <w:spacing w:val="-7"/>
        </w:rPr>
        <w:t>对于同一审级需要多次开庭的同一案件，行政机</w:t>
      </w:r>
      <w:r>
        <w:rPr>
          <w:spacing w:val="-14"/>
          <w:w w:val="95"/>
        </w:rPr>
        <w:t>关负责人到庭参加一次庭审的，一般可以认定其已经履行出庭应 </w:t>
      </w:r>
      <w:r>
        <w:rPr>
          <w:spacing w:val="-14"/>
        </w:rPr>
        <w:t>诉义务，但人民法院通知行政机关负责人再次出庭的除外。</w:t>
      </w:r>
    </w:p>
    <w:p>
      <w:pPr>
        <w:pStyle w:val="BodyText"/>
        <w:spacing w:line="338" w:lineRule="auto"/>
        <w:ind w:right="269" w:firstLine="645"/>
      </w:pPr>
      <w:r>
        <w:rPr>
          <w:spacing w:val="-6"/>
        </w:rPr>
        <w:t>行政机关负责人在一个审理程序中出庭应诉，不免除其在其他审理程序出庭应诉的义务。</w:t>
      </w:r>
    </w:p>
    <w:p>
      <w:pPr>
        <w:pStyle w:val="BodyText"/>
        <w:spacing w:line="338" w:lineRule="auto" w:before="1"/>
        <w:ind w:right="269" w:firstLine="640"/>
        <w:jc w:val="both"/>
      </w:pPr>
      <w:r>
        <w:rPr>
          <w:rFonts w:ascii="黑体" w:eastAsia="黑体" w:hint="eastAsia"/>
          <w:b/>
          <w:spacing w:val="29"/>
        </w:rPr>
        <w:t>第十四条 </w:t>
      </w:r>
      <w:r>
        <w:rPr>
          <w:spacing w:val="-8"/>
        </w:rPr>
        <w:t>行政机关委托诉讼代理人参加诉讼的，应当向人</w:t>
      </w:r>
      <w:r>
        <w:rPr>
          <w:spacing w:val="-14"/>
          <w:w w:val="95"/>
        </w:rPr>
        <w:t>民法院提交授权委托书。授权委托书应当载明诉讼代理人的基本 </w:t>
      </w:r>
      <w:r>
        <w:rPr>
          <w:spacing w:val="-14"/>
        </w:rPr>
        <w:t>情况、代理事项、代理权限、代理期限等内容。</w:t>
      </w:r>
    </w:p>
    <w:p>
      <w:pPr>
        <w:pStyle w:val="BodyText"/>
        <w:spacing w:line="340" w:lineRule="auto" w:before="5"/>
        <w:ind w:right="269" w:firstLine="640"/>
        <w:jc w:val="both"/>
      </w:pPr>
      <w:r>
        <w:rPr>
          <w:rFonts w:ascii="黑体" w:eastAsia="黑体" w:hint="eastAsia"/>
          <w:b/>
        </w:rPr>
        <w:t>第十五条 </w:t>
      </w:r>
      <w:r>
        <w:rPr/>
        <w:t>行政机关负责人、行政机关的诉讼代理人出庭应诉，应当做到：</w:t>
      </w:r>
    </w:p>
    <w:p>
      <w:pPr>
        <w:pStyle w:val="BodyText"/>
        <w:spacing w:line="405" w:lineRule="exact"/>
        <w:ind w:left="751"/>
      </w:pPr>
      <w:r>
        <w:rPr>
          <w:w w:val="95"/>
        </w:rPr>
        <w:t>（一）做好应诉准备工作，按时出庭；</w:t>
      </w:r>
    </w:p>
    <w:p>
      <w:pPr>
        <w:pStyle w:val="BodyText"/>
        <w:spacing w:before="171"/>
        <w:ind w:left="751"/>
      </w:pPr>
      <w:r>
        <w:rPr>
          <w:w w:val="95"/>
        </w:rPr>
        <w:t>（二）着装庄重整齐，言语举止得体；</w:t>
      </w:r>
    </w:p>
    <w:p>
      <w:pPr>
        <w:pStyle w:val="BodyText"/>
        <w:spacing w:before="171"/>
        <w:ind w:left="751"/>
      </w:pPr>
      <w:r>
        <w:rPr>
          <w:w w:val="95"/>
        </w:rPr>
        <w:t>（三）遵守法庭纪律，维护司法权威；</w:t>
      </w:r>
    </w:p>
    <w:p>
      <w:pPr>
        <w:pStyle w:val="BodyText"/>
        <w:spacing w:before="168"/>
        <w:ind w:left="751"/>
      </w:pPr>
      <w:r>
        <w:rPr/>
        <w:t>（四）尊重其他当事人；</w:t>
      </w:r>
    </w:p>
    <w:p>
      <w:pPr>
        <w:pStyle w:val="BodyText"/>
        <w:spacing w:before="171"/>
        <w:ind w:left="740"/>
      </w:pPr>
      <w:r>
        <w:rPr/>
        <w:t>（五）遵守工作纪律，保守秘密。</w:t>
      </w:r>
    </w:p>
    <w:p>
      <w:pPr>
        <w:spacing w:after="0"/>
        <w:sectPr>
          <w:pgSz w:w="11910" w:h="16840"/>
          <w:pgMar w:header="0" w:footer="1770" w:top="1580" w:bottom="1960" w:left="1420" w:right="1260"/>
        </w:sectPr>
      </w:pPr>
    </w:p>
    <w:p>
      <w:pPr>
        <w:pStyle w:val="BodyText"/>
        <w:spacing w:before="1"/>
        <w:ind w:left="0"/>
        <w:rPr>
          <w:sz w:val="15"/>
        </w:rPr>
      </w:pPr>
    </w:p>
    <w:p>
      <w:pPr>
        <w:pStyle w:val="BodyText"/>
        <w:spacing w:line="338" w:lineRule="auto" w:before="54"/>
        <w:ind w:right="269" w:firstLine="628"/>
        <w:jc w:val="both"/>
      </w:pPr>
      <w:r>
        <w:rPr>
          <w:rFonts w:ascii="黑体" w:eastAsia="黑体" w:hint="eastAsia"/>
          <w:b/>
          <w:spacing w:val="36"/>
        </w:rPr>
        <w:t>第十六条 </w:t>
      </w:r>
      <w:r>
        <w:rPr>
          <w:spacing w:val="6"/>
        </w:rPr>
        <w:t>行政机关出庭应诉人员要积极协助人民法院依</w:t>
      </w:r>
      <w:r>
        <w:rPr>
          <w:spacing w:val="-5"/>
          <w:w w:val="95"/>
        </w:rPr>
        <w:t>法开展调解工作，促进案结事了，不得以欺骗、胁迫等非法手段 </w:t>
      </w:r>
      <w:r>
        <w:rPr>
          <w:spacing w:val="-5"/>
        </w:rPr>
        <w:t>使原告撤诉。</w:t>
      </w:r>
    </w:p>
    <w:p>
      <w:pPr>
        <w:pStyle w:val="BodyText"/>
        <w:spacing w:line="338" w:lineRule="auto" w:before="6"/>
        <w:ind w:right="266" w:firstLine="640"/>
        <w:jc w:val="both"/>
      </w:pPr>
      <w:r>
        <w:rPr>
          <w:rFonts w:ascii="黑体" w:eastAsia="黑体" w:hint="eastAsia"/>
          <w:b/>
          <w:spacing w:val="36"/>
        </w:rPr>
        <w:t>第十七条 </w:t>
      </w:r>
      <w:r>
        <w:rPr>
          <w:spacing w:val="6"/>
        </w:rPr>
        <w:t>行政机关负责人在庭审过程中应当就案件情况</w:t>
      </w:r>
      <w:r>
        <w:rPr>
          <w:spacing w:val="-8"/>
        </w:rPr>
        <w:t>进行陈述、答辩、提交证据、辩论、发表最后意见，对所依据的规范性文件进行解释说明。</w:t>
      </w:r>
    </w:p>
    <w:p>
      <w:pPr>
        <w:pStyle w:val="BodyText"/>
        <w:spacing w:line="340" w:lineRule="auto" w:before="6"/>
        <w:ind w:right="269" w:firstLine="640"/>
      </w:pPr>
      <w:r>
        <w:rPr>
          <w:spacing w:val="-9"/>
        </w:rPr>
        <w:t>行政机关负责人出庭应诉的，应当就实质性解决行政争议发表意见。</w:t>
      </w:r>
    </w:p>
    <w:p>
      <w:pPr>
        <w:pStyle w:val="BodyText"/>
        <w:spacing w:line="340" w:lineRule="auto"/>
        <w:ind w:right="269" w:firstLine="640"/>
        <w:jc w:val="both"/>
      </w:pPr>
      <w:r>
        <w:rPr>
          <w:rFonts w:ascii="黑体" w:eastAsia="黑体" w:hint="eastAsia"/>
          <w:b/>
          <w:spacing w:val="29"/>
        </w:rPr>
        <w:t>第十八条 </w:t>
      </w:r>
      <w:r>
        <w:rPr>
          <w:spacing w:val="-8"/>
        </w:rPr>
        <w:t>行政机关在人民法院作出裁判前，发现被诉行政</w:t>
      </w:r>
      <w:r>
        <w:rPr>
          <w:spacing w:val="-15"/>
          <w:w w:val="95"/>
        </w:rPr>
        <w:t>行为确有违法或者不当的，应当主动依法纠正，并及时书面告知 </w:t>
      </w:r>
      <w:r>
        <w:rPr>
          <w:spacing w:val="-15"/>
        </w:rPr>
        <w:t>有关当事人和人民法院。</w:t>
      </w:r>
    </w:p>
    <w:p>
      <w:pPr>
        <w:pStyle w:val="BodyText"/>
        <w:spacing w:line="340" w:lineRule="auto"/>
        <w:ind w:right="269" w:firstLine="640"/>
        <w:jc w:val="both"/>
      </w:pPr>
      <w:r>
        <w:rPr>
          <w:rFonts w:ascii="黑体" w:eastAsia="黑体" w:hint="eastAsia"/>
          <w:b/>
          <w:spacing w:val="29"/>
        </w:rPr>
        <w:t>第十九条 </w:t>
      </w:r>
      <w:r>
        <w:rPr>
          <w:spacing w:val="-8"/>
        </w:rPr>
        <w:t>行政机关收到人民法院作出的判决书、裁定书或</w:t>
      </w:r>
      <w:r>
        <w:rPr>
          <w:spacing w:val="-12"/>
        </w:rPr>
        <w:t>调解书后，认为需要上诉、申请再审，应在 </w:t>
      </w:r>
      <w:r>
        <w:rPr>
          <w:rFonts w:ascii="Times New Roman" w:eastAsia="Times New Roman"/>
        </w:rPr>
        <w:t>10 </w:t>
      </w:r>
      <w:r>
        <w:rPr/>
        <w:t>日内将应诉情况和处理建议报县政府或本机关主要负责人审定。</w:t>
      </w:r>
    </w:p>
    <w:p>
      <w:pPr>
        <w:pStyle w:val="BodyText"/>
        <w:spacing w:line="340" w:lineRule="auto"/>
        <w:ind w:right="150" w:firstLine="640"/>
        <w:jc w:val="both"/>
      </w:pPr>
      <w:r>
        <w:rPr>
          <w:rFonts w:ascii="黑体" w:eastAsia="黑体" w:hint="eastAsia"/>
          <w:b/>
        </w:rPr>
        <w:t>第二十条 </w:t>
      </w:r>
      <w:r>
        <w:rPr/>
        <w:t>行政机关应当依法自觉履行人民法院生效判决、裁定和调解书。</w:t>
      </w:r>
    </w:p>
    <w:p>
      <w:pPr>
        <w:pStyle w:val="BodyText"/>
        <w:spacing w:line="338" w:lineRule="auto"/>
        <w:ind w:right="269" w:firstLine="640"/>
        <w:jc w:val="both"/>
      </w:pPr>
      <w:r>
        <w:rPr>
          <w:rFonts w:ascii="黑体" w:eastAsia="黑体" w:hint="eastAsia"/>
          <w:b/>
        </w:rPr>
        <w:t>第二十一条 </w:t>
      </w:r>
      <w:r>
        <w:rPr/>
        <w:t>行政机关应当认真研究落实人民法院提出的司法建议，并及时将处理情况书面告知人民法院。</w:t>
      </w:r>
    </w:p>
    <w:p>
      <w:pPr>
        <w:pStyle w:val="BodyText"/>
        <w:spacing w:line="338" w:lineRule="auto"/>
        <w:ind w:right="270" w:firstLine="640"/>
        <w:jc w:val="both"/>
      </w:pPr>
      <w:r>
        <w:rPr>
          <w:rFonts w:ascii="黑体" w:eastAsia="黑体" w:hint="eastAsia"/>
          <w:b/>
          <w:spacing w:val="2"/>
        </w:rPr>
        <w:t>第二十二条 </w:t>
      </w:r>
      <w:r>
        <w:rPr>
          <w:spacing w:val="-5"/>
        </w:rPr>
        <w:t>行政机关在收到人民法院生效裁判文书 </w:t>
      </w:r>
      <w:r>
        <w:rPr>
          <w:rFonts w:ascii="Times New Roman" w:eastAsia="Times New Roman"/>
        </w:rPr>
        <w:t>10 </w:t>
      </w:r>
      <w:r>
        <w:rPr/>
        <w:t>日</w:t>
      </w:r>
      <w:r>
        <w:rPr>
          <w:spacing w:val="-12"/>
          <w:w w:val="95"/>
        </w:rPr>
        <w:t>内，应将裁判文书副本、行政机关负责人出庭应诉情况等报县司 </w:t>
      </w:r>
      <w:r>
        <w:rPr>
          <w:spacing w:val="-12"/>
        </w:rPr>
        <w:t>法局备案。</w:t>
      </w:r>
    </w:p>
    <w:p>
      <w:pPr>
        <w:spacing w:before="0"/>
        <w:ind w:left="751" w:right="0" w:firstLine="0"/>
        <w:jc w:val="both"/>
        <w:rPr>
          <w:sz w:val="32"/>
        </w:rPr>
      </w:pPr>
      <w:r>
        <w:rPr>
          <w:rFonts w:ascii="黑体" w:eastAsia="黑体" w:hint="eastAsia"/>
          <w:b/>
          <w:sz w:val="32"/>
        </w:rPr>
        <w:t>第二十三条 </w:t>
      </w:r>
      <w:r>
        <w:rPr>
          <w:sz w:val="32"/>
        </w:rPr>
        <w:t>行政诉讼案件结案后，行政机关应当及时将应</w:t>
      </w:r>
    </w:p>
    <w:p>
      <w:pPr>
        <w:spacing w:after="0"/>
        <w:jc w:val="both"/>
        <w:rPr>
          <w:sz w:val="32"/>
        </w:rPr>
        <w:sectPr>
          <w:pgSz w:w="11910" w:h="16840"/>
          <w:pgMar w:header="0" w:footer="1770" w:top="1580" w:bottom="1960" w:left="1420" w:right="1260"/>
        </w:sectPr>
      </w:pPr>
    </w:p>
    <w:p>
      <w:pPr>
        <w:pStyle w:val="BodyText"/>
        <w:spacing w:before="1"/>
        <w:ind w:left="0"/>
        <w:rPr>
          <w:sz w:val="15"/>
        </w:rPr>
      </w:pPr>
    </w:p>
    <w:p>
      <w:pPr>
        <w:pStyle w:val="BodyText"/>
        <w:spacing w:line="340" w:lineRule="auto" w:before="54"/>
        <w:ind w:right="271"/>
      </w:pPr>
      <w:r>
        <w:rPr>
          <w:spacing w:val="-9"/>
          <w:w w:val="95"/>
        </w:rPr>
        <w:t>诉案件立卷归档，档案材料应包括目录、起诉状、答辩状、代理 </w:t>
      </w:r>
      <w:r>
        <w:rPr>
          <w:spacing w:val="-9"/>
        </w:rPr>
        <w:t>意见、人民法院裁判文书等内容。</w:t>
      </w:r>
    </w:p>
    <w:p>
      <w:pPr>
        <w:pStyle w:val="BodyText"/>
        <w:tabs>
          <w:tab w:pos="2035" w:val="left" w:leader="none"/>
          <w:tab w:pos="2676" w:val="left" w:leader="none"/>
        </w:tabs>
        <w:spacing w:line="338" w:lineRule="auto"/>
        <w:ind w:right="170" w:firstLine="640"/>
        <w:jc w:val="right"/>
      </w:pPr>
      <w:r>
        <w:rPr>
          <w:rFonts w:ascii="黑体" w:eastAsia="黑体" w:hint="eastAsia"/>
          <w:b/>
        </w:rPr>
        <w:t>第二十四条</w:t>
        <w:tab/>
      </w:r>
      <w:r>
        <w:rPr/>
        <w:t>县司法局应当开展行政应诉培训工作</w:t>
      </w:r>
      <w:r>
        <w:rPr>
          <w:spacing w:val="-123"/>
        </w:rPr>
        <w:t>，</w:t>
      </w:r>
      <w:r>
        <w:rPr/>
        <w:t>定期组织行政机关负责人</w:t>
      </w:r>
      <w:r>
        <w:rPr>
          <w:spacing w:val="-115"/>
        </w:rPr>
        <w:t>、</w:t>
      </w:r>
      <w:r>
        <w:rPr/>
        <w:t>承担应诉工作的人员及行政执法人员进行行</w:t>
      </w:r>
      <w:r>
        <w:rPr>
          <w:spacing w:val="-12"/>
          <w:w w:val="95"/>
        </w:rPr>
        <w:t>政</w:t>
      </w:r>
      <w:r>
        <w:rPr>
          <w:spacing w:val="-10"/>
          <w:w w:val="95"/>
        </w:rPr>
        <w:t>诉</w:t>
      </w:r>
      <w:r>
        <w:rPr>
          <w:spacing w:val="-12"/>
          <w:w w:val="95"/>
        </w:rPr>
        <w:t>讼相</w:t>
      </w:r>
      <w:r>
        <w:rPr>
          <w:spacing w:val="-10"/>
          <w:w w:val="95"/>
        </w:rPr>
        <w:t>关</w:t>
      </w:r>
      <w:r>
        <w:rPr>
          <w:spacing w:val="-12"/>
          <w:w w:val="95"/>
        </w:rPr>
        <w:t>知识</w:t>
      </w:r>
      <w:r>
        <w:rPr>
          <w:spacing w:val="-10"/>
          <w:w w:val="95"/>
        </w:rPr>
        <w:t>学</w:t>
      </w:r>
      <w:r>
        <w:rPr>
          <w:spacing w:val="-12"/>
          <w:w w:val="95"/>
        </w:rPr>
        <w:t>习及</w:t>
      </w:r>
      <w:r>
        <w:rPr>
          <w:spacing w:val="-10"/>
          <w:w w:val="95"/>
        </w:rPr>
        <w:t>应</w:t>
      </w:r>
      <w:r>
        <w:rPr>
          <w:spacing w:val="-12"/>
          <w:w w:val="95"/>
        </w:rPr>
        <w:t>诉实</w:t>
      </w:r>
      <w:r>
        <w:rPr>
          <w:spacing w:val="-10"/>
          <w:w w:val="95"/>
        </w:rPr>
        <w:t>务</w:t>
      </w:r>
      <w:r>
        <w:rPr>
          <w:spacing w:val="-12"/>
          <w:w w:val="95"/>
        </w:rPr>
        <w:t>培训</w:t>
      </w:r>
      <w:r>
        <w:rPr>
          <w:spacing w:val="-10"/>
          <w:w w:val="95"/>
        </w:rPr>
        <w:t>，</w:t>
      </w:r>
      <w:r>
        <w:rPr>
          <w:spacing w:val="-12"/>
          <w:w w:val="95"/>
        </w:rPr>
        <w:t>提高</w:t>
      </w:r>
      <w:r>
        <w:rPr>
          <w:spacing w:val="-10"/>
          <w:w w:val="95"/>
        </w:rPr>
        <w:t>出</w:t>
      </w:r>
      <w:r>
        <w:rPr>
          <w:spacing w:val="-12"/>
          <w:w w:val="95"/>
        </w:rPr>
        <w:t>庭应</w:t>
      </w:r>
      <w:r>
        <w:rPr>
          <w:spacing w:val="-10"/>
          <w:w w:val="95"/>
        </w:rPr>
        <w:t>诉</w:t>
      </w:r>
      <w:r>
        <w:rPr>
          <w:spacing w:val="-12"/>
          <w:w w:val="95"/>
        </w:rPr>
        <w:t>能力</w:t>
      </w:r>
      <w:r>
        <w:rPr>
          <w:spacing w:val="-10"/>
          <w:w w:val="95"/>
        </w:rPr>
        <w:t>和</w:t>
      </w:r>
      <w:r>
        <w:rPr>
          <w:spacing w:val="-12"/>
          <w:w w:val="95"/>
        </w:rPr>
        <w:t>水平</w:t>
      </w:r>
      <w:r>
        <w:rPr>
          <w:w w:val="95"/>
        </w:rPr>
        <w:t>。 </w:t>
      </w:r>
      <w:r>
        <w:rPr>
          <w:rFonts w:ascii="黑体" w:eastAsia="黑体" w:hint="eastAsia"/>
          <w:b/>
        </w:rPr>
        <w:t>第二十五条</w:t>
        <w:tab/>
      </w:r>
      <w:r>
        <w:rPr/>
        <w:t>经过行政复议案件的应诉工作经费</w:t>
      </w:r>
      <w:r>
        <w:rPr>
          <w:spacing w:val="-120"/>
        </w:rPr>
        <w:t>，</w:t>
      </w:r>
      <w:r>
        <w:rPr/>
        <w:t>由县政府</w:t>
      </w:r>
    </w:p>
    <w:p>
      <w:pPr>
        <w:pStyle w:val="BodyText"/>
        <w:spacing w:before="4"/>
      </w:pPr>
      <w:r>
        <w:rPr/>
        <w:t>列入财政预算。</w:t>
      </w:r>
    </w:p>
    <w:p>
      <w:pPr>
        <w:pStyle w:val="BodyText"/>
        <w:spacing w:line="338" w:lineRule="auto" w:before="170"/>
        <w:ind w:right="269" w:firstLine="640"/>
        <w:jc w:val="both"/>
      </w:pPr>
      <w:r>
        <w:rPr>
          <w:rFonts w:ascii="黑体" w:eastAsia="黑体" w:hint="eastAsia"/>
          <w:b/>
          <w:spacing w:val="1"/>
        </w:rPr>
        <w:t>第二十六条 </w:t>
      </w:r>
      <w:r>
        <w:rPr>
          <w:spacing w:val="-8"/>
        </w:rPr>
        <w:t>行政机关应当于每年 </w:t>
      </w:r>
      <w:r>
        <w:rPr>
          <w:rFonts w:ascii="Times New Roman" w:eastAsia="Times New Roman"/>
        </w:rPr>
        <w:t>1 </w:t>
      </w:r>
      <w:r>
        <w:rPr>
          <w:spacing w:val="-38"/>
        </w:rPr>
        <w:t>月 </w:t>
      </w:r>
      <w:r>
        <w:rPr>
          <w:rFonts w:ascii="Times New Roman" w:eastAsia="Times New Roman"/>
        </w:rPr>
        <w:t>20 </w:t>
      </w:r>
      <w:r>
        <w:rPr/>
        <w:t>日前统计汇总上</w:t>
      </w:r>
      <w:r>
        <w:rPr>
          <w:spacing w:val="-10"/>
        </w:rPr>
        <w:t>一年度行政应诉工作情况，形成分析报告报送县依法行政领导组</w:t>
      </w:r>
      <w:r>
        <w:rPr>
          <w:spacing w:val="-13"/>
        </w:rPr>
        <w:t>办公室；县依法行政领导组办公室按年度对本县行政应诉工作进行汇总，形成分析报告报送县政府。</w:t>
      </w:r>
    </w:p>
    <w:p>
      <w:pPr>
        <w:pStyle w:val="BodyText"/>
        <w:spacing w:line="340" w:lineRule="auto" w:before="6"/>
        <w:ind w:right="153" w:firstLine="640"/>
        <w:jc w:val="both"/>
      </w:pPr>
      <w:r>
        <w:rPr>
          <w:rFonts w:ascii="黑体" w:eastAsia="黑体" w:hint="eastAsia"/>
          <w:b/>
          <w:spacing w:val="24"/>
        </w:rPr>
        <w:t>第二十七条 </w:t>
      </w:r>
      <w:r>
        <w:rPr>
          <w:spacing w:val="-8"/>
        </w:rPr>
        <w:t>县政府将行政机关负责人出庭应诉、支持人民</w:t>
      </w:r>
      <w:r>
        <w:rPr>
          <w:spacing w:val="-14"/>
        </w:rPr>
        <w:t>法院受理和审理行政案件、执行人民法院生效裁判、落实人民法院司法建议、行政应诉能力建设等情况纳入依法行政考核体系。</w:t>
      </w:r>
    </w:p>
    <w:p>
      <w:pPr>
        <w:pStyle w:val="BodyText"/>
        <w:spacing w:line="340" w:lineRule="auto"/>
        <w:ind w:right="270" w:firstLine="640"/>
        <w:jc w:val="both"/>
      </w:pPr>
      <w:r>
        <w:rPr>
          <w:rFonts w:ascii="黑体" w:eastAsia="黑体" w:hint="eastAsia"/>
          <w:b/>
          <w:spacing w:val="24"/>
        </w:rPr>
        <w:t>第二十八条 </w:t>
      </w:r>
      <w:r>
        <w:rPr>
          <w:spacing w:val="-11"/>
        </w:rPr>
        <w:t>有下列情形行为之一的，由任免机关或者监察</w:t>
      </w:r>
      <w:r>
        <w:rPr>
          <w:spacing w:val="-19"/>
          <w:w w:val="95"/>
        </w:rPr>
        <w:t>机关依照《中华人民共和国行政诉讼法》</w:t>
      </w:r>
      <w:r>
        <w:rPr>
          <w:spacing w:val="-21"/>
          <w:w w:val="95"/>
        </w:rPr>
        <w:t>、《行政机关公务员处分  </w:t>
      </w:r>
      <w:r>
        <w:rPr>
          <w:spacing w:val="-32"/>
          <w:w w:val="95"/>
        </w:rPr>
        <w:t>条例》、《中华人民共和国公职人员政务处分法》</w:t>
      </w:r>
      <w:r>
        <w:rPr>
          <w:spacing w:val="-28"/>
          <w:w w:val="95"/>
        </w:rPr>
        <w:t>、《领导干部干预  </w:t>
      </w:r>
      <w:r>
        <w:rPr>
          <w:spacing w:val="-17"/>
          <w:w w:val="95"/>
        </w:rPr>
        <w:t>司法活动、插手具体案件处理的记录、通报和责任追究规定》等 </w:t>
      </w:r>
      <w:r>
        <w:rPr>
          <w:spacing w:val="-20"/>
        </w:rPr>
        <w:t>规定对相关责任人员予以严肃处理；构成犯罪的，移送司法机关依法追究刑事责任：</w:t>
      </w:r>
    </w:p>
    <w:p>
      <w:pPr>
        <w:pStyle w:val="BodyText"/>
        <w:spacing w:line="397" w:lineRule="exact"/>
        <w:ind w:left="751"/>
      </w:pPr>
      <w:r>
        <w:rPr/>
        <w:t>（一</w:t>
      </w:r>
      <w:r>
        <w:rPr>
          <w:spacing w:val="-115"/>
        </w:rPr>
        <w:t>）</w:t>
      </w:r>
      <w:r>
        <w:rPr/>
        <w:t>对于行政机关未依法应诉举证等导致案件败诉且造成</w:t>
      </w:r>
    </w:p>
    <w:p>
      <w:pPr>
        <w:pStyle w:val="BodyText"/>
        <w:spacing w:before="165"/>
      </w:pPr>
      <w:r>
        <w:rPr/>
        <w:t>重大经济损失或严重后果的；</w:t>
      </w:r>
    </w:p>
    <w:p>
      <w:pPr>
        <w:spacing w:after="0"/>
        <w:sectPr>
          <w:pgSz w:w="11910" w:h="16840"/>
          <w:pgMar w:header="0" w:footer="1770" w:top="1580" w:bottom="1960" w:left="1420" w:right="1260"/>
        </w:sectPr>
      </w:pPr>
    </w:p>
    <w:p>
      <w:pPr>
        <w:pStyle w:val="BodyText"/>
        <w:spacing w:before="1"/>
        <w:ind w:left="0"/>
        <w:rPr>
          <w:sz w:val="15"/>
        </w:rPr>
      </w:pPr>
    </w:p>
    <w:p>
      <w:pPr>
        <w:pStyle w:val="BodyText"/>
        <w:spacing w:before="54"/>
        <w:ind w:left="751"/>
      </w:pPr>
      <w:r>
        <w:rPr/>
        <w:t>（二）干预、阻碍人民法院依法受理和审理行政案件的；</w:t>
      </w:r>
    </w:p>
    <w:p>
      <w:pPr>
        <w:pStyle w:val="BodyText"/>
        <w:spacing w:before="171"/>
        <w:ind w:left="751"/>
      </w:pPr>
      <w:r>
        <w:rPr/>
        <w:t>（三）无正当理由拒不到庭或者未经法庭许可中途退庭的；</w:t>
      </w:r>
    </w:p>
    <w:p>
      <w:pPr>
        <w:pStyle w:val="BodyText"/>
        <w:spacing w:line="340" w:lineRule="auto" w:before="169"/>
        <w:ind w:right="271" w:firstLine="640"/>
      </w:pPr>
      <w:r>
        <w:rPr>
          <w:w w:val="95"/>
        </w:rPr>
        <w:t>（四</w:t>
      </w:r>
      <w:r>
        <w:rPr>
          <w:spacing w:val="-115"/>
          <w:w w:val="95"/>
        </w:rPr>
        <w:t>）</w:t>
      </w:r>
      <w:r>
        <w:rPr>
          <w:w w:val="95"/>
        </w:rPr>
        <w:t>被诉行政机关负责人不出庭应诉也不委托本办法规定 </w:t>
      </w:r>
      <w:r>
        <w:rPr/>
        <w:t>的负责人出庭应诉的；</w:t>
      </w:r>
    </w:p>
    <w:p>
      <w:pPr>
        <w:pStyle w:val="BodyText"/>
        <w:spacing w:line="407" w:lineRule="exact"/>
        <w:ind w:left="751"/>
      </w:pPr>
      <w:r>
        <w:rPr/>
        <w:t>（五）拒不履行人民法院生效的判决、裁定或者调解书的；</w:t>
      </w:r>
    </w:p>
    <w:p>
      <w:pPr>
        <w:pStyle w:val="BodyText"/>
        <w:spacing w:line="340" w:lineRule="auto" w:before="168"/>
        <w:ind w:right="271" w:firstLine="640"/>
      </w:pPr>
      <w:r>
        <w:rPr>
          <w:w w:val="95"/>
        </w:rPr>
        <w:t>（六</w:t>
      </w:r>
      <w:r>
        <w:rPr>
          <w:spacing w:val="-58"/>
          <w:w w:val="95"/>
        </w:rPr>
        <w:t>）</w:t>
      </w:r>
      <w:r>
        <w:rPr>
          <w:spacing w:val="-3"/>
          <w:w w:val="95"/>
        </w:rPr>
        <w:t>行政机关对败诉案件反映出的问题未进行整改、导致 </w:t>
      </w:r>
      <w:r>
        <w:rPr>
          <w:spacing w:val="-3"/>
        </w:rPr>
        <w:t>同类问题多次被人民法院判决败诉的；</w:t>
      </w:r>
    </w:p>
    <w:p>
      <w:pPr>
        <w:pStyle w:val="BodyText"/>
        <w:spacing w:line="338" w:lineRule="auto"/>
        <w:ind w:right="271" w:firstLine="645"/>
      </w:pPr>
      <w:r>
        <w:rPr>
          <w:w w:val="95"/>
        </w:rPr>
        <w:t>（七</w:t>
      </w:r>
      <w:r>
        <w:rPr>
          <w:spacing w:val="-120"/>
          <w:w w:val="95"/>
        </w:rPr>
        <w:t>）</w:t>
      </w:r>
      <w:r>
        <w:rPr>
          <w:w w:val="95"/>
        </w:rPr>
        <w:t>行政机关出庭应诉人员在出庭应诉活动中有其他违法 </w:t>
      </w:r>
      <w:r>
        <w:rPr/>
        <w:t>失职行为的。</w:t>
      </w:r>
    </w:p>
    <w:p>
      <w:pPr>
        <w:pStyle w:val="BodyText"/>
        <w:tabs>
          <w:tab w:pos="2681" w:val="left" w:leader="none"/>
        </w:tabs>
        <w:spacing w:line="338" w:lineRule="auto"/>
        <w:ind w:right="102" w:firstLine="645"/>
      </w:pPr>
      <w:r>
        <w:rPr>
          <w:rFonts w:ascii="黑体" w:eastAsia="黑体" w:hint="eastAsia"/>
          <w:b/>
        </w:rPr>
        <w:t>第二十九条</w:t>
        <w:tab/>
      </w:r>
      <w:r>
        <w:rPr>
          <w:spacing w:val="-12"/>
          <w:w w:val="95"/>
        </w:rPr>
        <w:t>行</w:t>
      </w:r>
      <w:r>
        <w:rPr>
          <w:spacing w:val="-10"/>
          <w:w w:val="95"/>
        </w:rPr>
        <w:t>政</w:t>
      </w:r>
      <w:r>
        <w:rPr>
          <w:spacing w:val="-12"/>
          <w:w w:val="95"/>
        </w:rPr>
        <w:t>机关</w:t>
      </w:r>
      <w:r>
        <w:rPr>
          <w:spacing w:val="-10"/>
          <w:w w:val="95"/>
        </w:rPr>
        <w:t>及</w:t>
      </w:r>
      <w:r>
        <w:rPr>
          <w:spacing w:val="-12"/>
          <w:w w:val="95"/>
        </w:rPr>
        <w:t>其</w:t>
      </w:r>
      <w:r>
        <w:rPr>
          <w:spacing w:val="-10"/>
          <w:w w:val="95"/>
        </w:rPr>
        <w:t>工</w:t>
      </w:r>
      <w:r>
        <w:rPr>
          <w:spacing w:val="-12"/>
          <w:w w:val="95"/>
        </w:rPr>
        <w:t>作人</w:t>
      </w:r>
      <w:r>
        <w:rPr>
          <w:spacing w:val="-10"/>
          <w:w w:val="95"/>
        </w:rPr>
        <w:t>员</w:t>
      </w:r>
      <w:r>
        <w:rPr>
          <w:spacing w:val="-12"/>
          <w:w w:val="95"/>
        </w:rPr>
        <w:t>违法</w:t>
      </w:r>
      <w:r>
        <w:rPr>
          <w:spacing w:val="-10"/>
          <w:w w:val="95"/>
        </w:rPr>
        <w:t>办</w:t>
      </w:r>
      <w:r>
        <w:rPr>
          <w:spacing w:val="-12"/>
          <w:w w:val="95"/>
        </w:rPr>
        <w:t>案</w:t>
      </w:r>
      <w:r>
        <w:rPr>
          <w:spacing w:val="-53"/>
          <w:w w:val="95"/>
        </w:rPr>
        <w:t>，</w:t>
      </w:r>
      <w:r>
        <w:rPr>
          <w:spacing w:val="-12"/>
          <w:w w:val="95"/>
        </w:rPr>
        <w:t>被</w:t>
      </w:r>
      <w:r>
        <w:rPr>
          <w:spacing w:val="-10"/>
          <w:w w:val="95"/>
        </w:rPr>
        <w:t>审</w:t>
      </w:r>
      <w:r>
        <w:rPr>
          <w:spacing w:val="-12"/>
          <w:w w:val="95"/>
        </w:rPr>
        <w:t>判机</w:t>
      </w:r>
      <w:r>
        <w:rPr>
          <w:spacing w:val="-7"/>
          <w:w w:val="95"/>
        </w:rPr>
        <w:t>关</w:t>
      </w:r>
      <w:r>
        <w:rPr>
          <w:spacing w:val="-13"/>
          <w:w w:val="95"/>
        </w:rPr>
        <w:t>、 </w:t>
      </w:r>
      <w:r>
        <w:rPr/>
        <w:t>行政复议机关确认具体行政行为违法</w:t>
      </w:r>
      <w:r>
        <w:rPr>
          <w:spacing w:val="-115"/>
        </w:rPr>
        <w:t>，</w:t>
      </w:r>
      <w:r>
        <w:rPr/>
        <w:t>由此造成国家赔偿的行政案件</w:t>
      </w:r>
      <w:r>
        <w:rPr>
          <w:spacing w:val="-58"/>
        </w:rPr>
        <w:t>，</w:t>
      </w:r>
      <w:r>
        <w:rPr/>
        <w:t>所需赔偿金额由实施违法行为的行政机关承担</w:t>
      </w:r>
      <w:r>
        <w:rPr>
          <w:spacing w:val="-55"/>
        </w:rPr>
        <w:t>。</w:t>
      </w:r>
      <w:r>
        <w:rPr/>
        <w:t>行政机关赔偿后</w:t>
      </w:r>
      <w:r>
        <w:rPr>
          <w:spacing w:val="-115"/>
        </w:rPr>
        <w:t>，</w:t>
      </w:r>
      <w:r>
        <w:rPr/>
        <w:t>可以根据国家法律法规规定向有关直接责任人员追偿部分或者全部赔偿费用</w:t>
      </w:r>
      <w:r>
        <w:rPr>
          <w:spacing w:val="-115"/>
        </w:rPr>
        <w:t>，</w:t>
      </w:r>
      <w:r>
        <w:rPr/>
        <w:t>并对直接负责的主管人员和其他直接责任人员依法依规予以追究。</w:t>
      </w:r>
    </w:p>
    <w:p>
      <w:pPr>
        <w:pStyle w:val="BodyText"/>
        <w:tabs>
          <w:tab w:pos="2355" w:val="left" w:leader="none"/>
        </w:tabs>
        <w:spacing w:before="12"/>
        <w:ind w:left="751"/>
      </w:pPr>
      <w:r>
        <w:rPr>
          <w:rFonts w:ascii="黑体" w:eastAsia="黑体" w:hint="eastAsia"/>
          <w:b/>
        </w:rPr>
        <w:t>第三十条</w:t>
        <w:tab/>
      </w:r>
      <w:r>
        <w:rPr>
          <w:spacing w:val="-12"/>
        </w:rPr>
        <w:t>本</w:t>
      </w:r>
      <w:r>
        <w:rPr>
          <w:spacing w:val="-10"/>
        </w:rPr>
        <w:t>办</w:t>
      </w:r>
      <w:r>
        <w:rPr>
          <w:spacing w:val="-12"/>
        </w:rPr>
        <w:t>法自</w:t>
      </w:r>
      <w:r>
        <w:rPr>
          <w:spacing w:val="-10"/>
        </w:rPr>
        <w:t>印</w:t>
      </w:r>
      <w:r>
        <w:rPr>
          <w:spacing w:val="-12"/>
        </w:rPr>
        <w:t>发之</w:t>
      </w:r>
      <w:r>
        <w:rPr>
          <w:spacing w:val="-10"/>
        </w:rPr>
        <w:t>日</w:t>
      </w:r>
      <w:r>
        <w:rPr>
          <w:spacing w:val="-12"/>
        </w:rPr>
        <w:t>起施</w:t>
      </w:r>
      <w:r>
        <w:rPr>
          <w:spacing w:val="-10"/>
        </w:rPr>
        <w:t>行</w:t>
      </w:r>
      <w:r>
        <w:rPr>
          <w:spacing w:val="-34"/>
        </w:rPr>
        <w:t>，</w:t>
      </w:r>
      <w:r>
        <w:rPr>
          <w:spacing w:val="-12"/>
        </w:rPr>
        <w:t>由</w:t>
      </w:r>
      <w:r>
        <w:rPr>
          <w:spacing w:val="-10"/>
        </w:rPr>
        <w:t>县</w:t>
      </w:r>
      <w:r>
        <w:rPr>
          <w:spacing w:val="-12"/>
        </w:rPr>
        <w:t>司法</w:t>
      </w:r>
      <w:r>
        <w:rPr>
          <w:spacing w:val="-10"/>
        </w:rPr>
        <w:t>局</w:t>
      </w:r>
      <w:r>
        <w:rPr>
          <w:spacing w:val="-12"/>
        </w:rPr>
        <w:t>负责</w:t>
      </w:r>
      <w:r>
        <w:rPr>
          <w:spacing w:val="-10"/>
        </w:rPr>
        <w:t>解</w:t>
      </w:r>
      <w:r>
        <w:rPr>
          <w:spacing w:val="-12"/>
        </w:rPr>
        <w:t>释</w:t>
      </w:r>
      <w:r>
        <w:rPr/>
        <w:t>。</w:t>
      </w:r>
    </w:p>
    <w:p>
      <w:pPr>
        <w:pStyle w:val="BodyText"/>
        <w:spacing w:line="338" w:lineRule="auto" w:before="170"/>
        <w:ind w:right="110"/>
      </w:pPr>
      <w:r>
        <w:rPr>
          <w:w w:val="95"/>
        </w:rPr>
        <w:t>《关于印发霍邱县行政机关行政应诉办法的通知</w:t>
      </w:r>
      <w:r>
        <w:rPr>
          <w:spacing w:val="-219"/>
          <w:w w:val="95"/>
        </w:rPr>
        <w:t>》</w:t>
      </w:r>
      <w:r>
        <w:rPr>
          <w:w w:val="95"/>
        </w:rPr>
        <w:t>（</w:t>
      </w:r>
      <w:r>
        <w:rPr>
          <w:spacing w:val="-20"/>
          <w:w w:val="95"/>
        </w:rPr>
        <w:t>霍政〔</w:t>
      </w:r>
      <w:r>
        <w:rPr>
          <w:rFonts w:ascii="Times New Roman" w:eastAsia="Times New Roman"/>
          <w:w w:val="95"/>
        </w:rPr>
        <w:t>2017</w:t>
      </w:r>
      <w:r>
        <w:rPr>
          <w:w w:val="95"/>
        </w:rPr>
        <w:t>〕 </w:t>
      </w:r>
      <w:r>
        <w:rPr>
          <w:rFonts w:ascii="Times New Roman" w:eastAsia="Times New Roman"/>
        </w:rPr>
        <w:t>33</w:t>
      </w:r>
      <w:r>
        <w:rPr>
          <w:rFonts w:ascii="Times New Roman" w:eastAsia="Times New Roman"/>
          <w:spacing w:val="-7"/>
        </w:rPr>
        <w:t> </w:t>
      </w:r>
      <w:r>
        <w:rPr>
          <w:spacing w:val="5"/>
        </w:rPr>
        <w:t>号</w:t>
      </w:r>
      <w:r>
        <w:rPr>
          <w:spacing w:val="7"/>
        </w:rPr>
        <w:t>）</w:t>
      </w:r>
      <w:r>
        <w:rPr>
          <w:spacing w:val="4"/>
        </w:rPr>
        <w:t>同时废止。国家、省、市对行政应诉工作另有规定的， 从其规定。</w:t>
      </w:r>
    </w:p>
    <w:p>
      <w:pPr>
        <w:pStyle w:val="BodyText"/>
        <w:spacing w:before="12"/>
        <w:ind w:left="0"/>
        <w:rPr>
          <w:sz w:val="45"/>
        </w:rPr>
      </w:pPr>
    </w:p>
    <w:p>
      <w:pPr>
        <w:spacing w:before="0"/>
        <w:ind w:left="111" w:right="0" w:firstLine="0"/>
        <w:jc w:val="left"/>
        <w:rPr>
          <w:rFonts w:ascii="仿宋" w:eastAsia="仿宋" w:hint="eastAsia"/>
          <w:sz w:val="28"/>
        </w:rPr>
      </w:pPr>
      <w:r>
        <w:rPr/>
        <w:pict>
          <v:rect style="position:absolute;margin-left:76.550003pt;margin-top:21.149998pt;width:442.2pt;height:1pt;mso-position-horizontal-relative:page;mso-position-vertical-relative:paragraph;z-index:-15727104;mso-wrap-distance-left:0;mso-wrap-distance-right:0" filled="true" fillcolor="#000000" stroked="false">
            <v:fill type="solid"/>
            <w10:wrap type="topAndBottom"/>
          </v:rect>
        </w:pict>
      </w:r>
      <w:r>
        <w:rPr>
          <w:rFonts w:ascii="仿宋" w:eastAsia="仿宋" w:hint="eastAsia"/>
          <w:sz w:val="28"/>
        </w:rPr>
        <w:t>信息公开类别：主动公开</w:t>
      </w:r>
    </w:p>
    <w:p>
      <w:pPr>
        <w:tabs>
          <w:tab w:pos="6031" w:val="left" w:leader="none"/>
        </w:tabs>
        <w:spacing w:before="89" w:after="61"/>
        <w:ind w:left="430" w:right="0" w:firstLine="0"/>
        <w:jc w:val="left"/>
        <w:rPr>
          <w:rFonts w:ascii="仿宋" w:eastAsia="仿宋" w:hint="eastAsia"/>
          <w:sz w:val="28"/>
        </w:rPr>
      </w:pPr>
      <w:r>
        <w:rPr>
          <w:rFonts w:ascii="仿宋" w:eastAsia="仿宋" w:hint="eastAsia"/>
          <w:sz w:val="28"/>
        </w:rPr>
        <w:t>霍</w:t>
      </w:r>
      <w:r>
        <w:rPr>
          <w:rFonts w:ascii="仿宋" w:eastAsia="仿宋" w:hint="eastAsia"/>
          <w:spacing w:val="-3"/>
          <w:sz w:val="28"/>
        </w:rPr>
        <w:t>邱</w:t>
      </w:r>
      <w:r>
        <w:rPr>
          <w:rFonts w:ascii="仿宋" w:eastAsia="仿宋" w:hint="eastAsia"/>
          <w:sz w:val="28"/>
        </w:rPr>
        <w:t>县人</w:t>
      </w:r>
      <w:r>
        <w:rPr>
          <w:rFonts w:ascii="仿宋" w:eastAsia="仿宋" w:hint="eastAsia"/>
          <w:spacing w:val="-3"/>
          <w:sz w:val="28"/>
        </w:rPr>
        <w:t>民</w:t>
      </w:r>
      <w:r>
        <w:rPr>
          <w:rFonts w:ascii="仿宋" w:eastAsia="仿宋" w:hint="eastAsia"/>
          <w:sz w:val="28"/>
        </w:rPr>
        <w:t>政府</w:t>
      </w:r>
      <w:r>
        <w:rPr>
          <w:rFonts w:ascii="仿宋" w:eastAsia="仿宋" w:hint="eastAsia"/>
          <w:spacing w:val="-3"/>
          <w:sz w:val="28"/>
        </w:rPr>
        <w:t>办</w:t>
      </w:r>
      <w:r>
        <w:rPr>
          <w:rFonts w:ascii="仿宋" w:eastAsia="仿宋" w:hint="eastAsia"/>
          <w:sz w:val="28"/>
        </w:rPr>
        <w:t>公室</w:t>
        <w:tab/>
      </w:r>
      <w:r>
        <w:rPr>
          <w:rFonts w:ascii="Times New Roman" w:eastAsia="Times New Roman"/>
          <w:sz w:val="28"/>
        </w:rPr>
        <w:t>2020</w:t>
      </w:r>
      <w:r>
        <w:rPr>
          <w:rFonts w:ascii="Times New Roman" w:eastAsia="Times New Roman"/>
          <w:spacing w:val="-29"/>
          <w:sz w:val="28"/>
        </w:rPr>
        <w:t> </w:t>
      </w:r>
      <w:r>
        <w:rPr>
          <w:rFonts w:ascii="仿宋" w:eastAsia="仿宋" w:hint="eastAsia"/>
          <w:spacing w:val="45"/>
          <w:sz w:val="28"/>
        </w:rPr>
        <w:t>年</w:t>
      </w:r>
      <w:r>
        <w:rPr>
          <w:rFonts w:ascii="Times New Roman" w:eastAsia="Times New Roman"/>
          <w:sz w:val="28"/>
        </w:rPr>
        <w:t>12</w:t>
      </w:r>
      <w:r>
        <w:rPr>
          <w:rFonts w:ascii="Times New Roman" w:eastAsia="Times New Roman"/>
          <w:spacing w:val="-26"/>
          <w:sz w:val="28"/>
        </w:rPr>
        <w:t> </w:t>
      </w:r>
      <w:r>
        <w:rPr>
          <w:rFonts w:ascii="仿宋" w:eastAsia="仿宋" w:hint="eastAsia"/>
          <w:spacing w:val="43"/>
          <w:sz w:val="28"/>
        </w:rPr>
        <w:t>月</w:t>
      </w:r>
      <w:r>
        <w:rPr>
          <w:rFonts w:ascii="Times New Roman" w:eastAsia="Times New Roman"/>
          <w:sz w:val="28"/>
        </w:rPr>
        <w:t>6</w:t>
      </w:r>
      <w:r>
        <w:rPr>
          <w:rFonts w:ascii="Times New Roman" w:eastAsia="Times New Roman"/>
          <w:spacing w:val="-26"/>
          <w:sz w:val="28"/>
        </w:rPr>
        <w:t> </w:t>
      </w:r>
      <w:r>
        <w:rPr>
          <w:rFonts w:ascii="仿宋" w:eastAsia="仿宋" w:hint="eastAsia"/>
          <w:sz w:val="28"/>
        </w:rPr>
        <w:t>日</w:t>
      </w:r>
      <w:r>
        <w:rPr>
          <w:rFonts w:ascii="仿宋" w:eastAsia="仿宋" w:hint="eastAsia"/>
          <w:spacing w:val="-3"/>
          <w:sz w:val="28"/>
        </w:rPr>
        <w:t>印</w:t>
      </w:r>
      <w:r>
        <w:rPr>
          <w:rFonts w:ascii="仿宋" w:eastAsia="仿宋" w:hint="eastAsia"/>
          <w:sz w:val="28"/>
        </w:rPr>
        <w:t>发</w:t>
      </w:r>
    </w:p>
    <w:p>
      <w:pPr>
        <w:pStyle w:val="BodyText"/>
        <w:spacing w:line="20" w:lineRule="exact"/>
        <w:rPr>
          <w:rFonts w:ascii="仿宋"/>
          <w:sz w:val="2"/>
        </w:rPr>
      </w:pPr>
      <w:r>
        <w:rPr>
          <w:rFonts w:ascii="仿宋"/>
          <w:sz w:val="2"/>
        </w:rPr>
        <w:pict>
          <v:group style="width:442.2pt;height:1pt;mso-position-horizontal-relative:char;mso-position-vertical-relative:line" coordorigin="0,0" coordsize="8844,20">
            <v:rect style="position:absolute;left:0;top:0;width:8844;height:20" filled="true" fillcolor="#000000" stroked="false">
              <v:fill type="solid"/>
            </v:rect>
          </v:group>
        </w:pict>
      </w:r>
      <w:r>
        <w:rPr>
          <w:rFonts w:ascii="仿宋"/>
          <w:sz w:val="2"/>
        </w:rPr>
      </w:r>
    </w:p>
    <w:sectPr>
      <w:pgSz w:w="11910" w:h="16840"/>
      <w:pgMar w:header="0" w:footer="1770" w:top="1580" w:bottom="196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82.720001pt;margin-top:742.409912pt;width:40.050pt;height:17.6pt;mso-position-horizontal-relative:page;mso-position-vertical-relative:page;z-index:-15810048" type="#_x0000_t202" filled="false" stroked="false">
          <v:textbox inset="0,0,0,0">
            <w:txbxContent>
              <w:p>
                <w:pPr>
                  <w:spacing w:line="351" w:lineRule="exact" w:before="0"/>
                  <w:ind w:left="20" w:right="0" w:firstLine="0"/>
                  <w:jc w:val="left"/>
                  <w:rPr>
                    <w:rFonts w:ascii="仿宋" w:eastAsia="仿宋" w:hint="eastAsia"/>
                    <w:sz w:val="28"/>
                  </w:rPr>
                </w:pPr>
                <w:r>
                  <w:rPr>
                    <w:rFonts w:ascii="仿宋" w:eastAsia="仿宋" w:hint="eastAsia"/>
                    <w:sz w:val="28"/>
                  </w:rPr>
                  <w:t>－</w:t>
                </w:r>
                <w:r>
                  <w:rPr/>
                  <w:fldChar w:fldCharType="begin"/>
                </w:r>
                <w:r>
                  <w:rPr>
                    <w:rFonts w:ascii="Times New Roman" w:eastAsia="Times New Roman"/>
                    <w:sz w:val="28"/>
                  </w:rPr>
                  <w:instrText> PAGE </w:instrText>
                </w:r>
                <w:r>
                  <w:rPr/>
                  <w:fldChar w:fldCharType="separate"/>
                </w:r>
                <w:r>
                  <w:rPr/>
                  <w:t>1</w:t>
                </w:r>
                <w:r>
                  <w:rPr/>
                  <w:fldChar w:fldCharType="end"/>
                </w:r>
                <w:r>
                  <w:rPr>
                    <w:rFonts w:ascii="仿宋" w:eastAsia="仿宋" w:hint="eastAsia"/>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558998pt;margin-top:742.409912pt;width:40.050pt;height:17.6pt;mso-position-horizontal-relative:page;mso-position-vertical-relative:page;z-index:-15809536" type="#_x0000_t202" filled="false" stroked="false">
          <v:textbox inset="0,0,0,0">
            <w:txbxContent>
              <w:p>
                <w:pPr>
                  <w:spacing w:line="351" w:lineRule="exact" w:before="0"/>
                  <w:ind w:left="20" w:right="0" w:firstLine="0"/>
                  <w:jc w:val="left"/>
                  <w:rPr>
                    <w:rFonts w:ascii="仿宋" w:eastAsia="仿宋" w:hint="eastAsia"/>
                    <w:sz w:val="28"/>
                  </w:rPr>
                </w:pPr>
                <w:r>
                  <w:rPr>
                    <w:rFonts w:ascii="仿宋" w:eastAsia="仿宋" w:hint="eastAsia"/>
                    <w:sz w:val="28"/>
                  </w:rPr>
                  <w:t>－</w:t>
                </w:r>
                <w:r>
                  <w:rPr/>
                  <w:fldChar w:fldCharType="begin"/>
                </w:r>
                <w:r>
                  <w:rPr>
                    <w:rFonts w:ascii="Times New Roman" w:eastAsia="Times New Roman"/>
                    <w:sz w:val="28"/>
                  </w:rPr>
                  <w:instrText> PAGE </w:instrText>
                </w:r>
                <w:r>
                  <w:rPr/>
                  <w:fldChar w:fldCharType="separate"/>
                </w:r>
                <w:r>
                  <w:rPr/>
                  <w:t>2</w:t>
                </w:r>
                <w:r>
                  <w:rPr/>
                  <w:fldChar w:fldCharType="end"/>
                </w:r>
                <w:r>
                  <w:rPr>
                    <w:rFonts w:ascii="仿宋" w:eastAsia="仿宋" w:hint="eastAsia"/>
                    <w:sz w:val="28"/>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11"/>
    </w:pPr>
    <w:rPr>
      <w:rFonts w:ascii="宋体" w:hAnsi="宋体" w:eastAsia="宋体" w:cs="宋体"/>
      <w:sz w:val="32"/>
      <w:szCs w:val="32"/>
      <w:lang w:val="en-US" w:eastAsia="zh-CN" w:bidi="ar-SA"/>
    </w:rPr>
  </w:style>
  <w:style w:styleId="Heading1" w:type="paragraph">
    <w:name w:val="Heading 1"/>
    <w:basedOn w:val="Normal"/>
    <w:uiPriority w:val="1"/>
    <w:qFormat/>
    <w:pPr>
      <w:ind w:left="571"/>
      <w:outlineLvl w:val="1"/>
    </w:pPr>
    <w:rPr>
      <w:rFonts w:ascii="宋体" w:hAnsi="宋体" w:eastAsia="宋体" w:cs="宋体"/>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dcterms:created xsi:type="dcterms:W3CDTF">2021-08-23T03:02:19Z</dcterms:created>
  <dcterms:modified xsi:type="dcterms:W3CDTF">2021-08-23T03:02:19Z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WPS 文字</vt:lpwstr>
  </property>
  <property fmtid="{D5CDD505-2E9C-101B-9397-08002B2CF9AE}" pid="4" name="LastSaved">
    <vt:filetime>2021-08-23T00:00:00Z</vt:filetime>
  </property>
</Properties>
</file>