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iCs w:val="0"/>
          <w:caps w:val="0"/>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spacing w:val="0"/>
          <w:sz w:val="44"/>
          <w:szCs w:val="44"/>
          <w:bdr w:val="none" w:color="auto" w:sz="0" w:space="0"/>
          <w:shd w:val="clear" w:fill="FFFFFF"/>
        </w:rPr>
        <w:t>霍邱县临水镇人民政府2023年政府信息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Calibri" w:eastAsia="仿宋_GB2312" w:cs="仿宋_GB2312"/>
          <w:i w:val="0"/>
          <w:iCs w:val="0"/>
          <w:caps w:val="0"/>
          <w:spacing w:val="0"/>
          <w:sz w:val="32"/>
          <w:szCs w:val="32"/>
          <w:bdr w:val="none" w:color="auto" w:sz="0" w:space="0"/>
          <w:shd w:val="clear" w:fill="FFFFFF"/>
        </w:rPr>
      </w:pPr>
      <w:r>
        <w:rPr>
          <w:rFonts w:hint="eastAsia" w:ascii="方正小标宋简体" w:hAnsi="方正小标宋简体" w:eastAsia="方正小标宋简体" w:cs="方正小标宋简体"/>
          <w:i w:val="0"/>
          <w:iCs w:val="0"/>
          <w:caps w:val="0"/>
          <w:spacing w:val="0"/>
          <w:sz w:val="44"/>
          <w:szCs w:val="44"/>
          <w:bdr w:val="none" w:color="auto" w:sz="0" w:space="0"/>
          <w:shd w:val="clear" w:fill="FFFFFF"/>
        </w:rPr>
        <w:t>公开工作年度报</w:t>
      </w:r>
      <w:r>
        <w:rPr>
          <w:rFonts w:hint="eastAsia" w:ascii="方正小标宋简体" w:hAnsi="方正小标宋简体" w:eastAsia="方正小标宋简体" w:cs="方正小标宋简体"/>
          <w:i w:val="0"/>
          <w:iCs w:val="0"/>
          <w:caps w:val="0"/>
          <w:spacing w:val="0"/>
          <w:sz w:val="44"/>
          <w:szCs w:val="44"/>
          <w:shd w:val="clear" w:fill="FFFFFF"/>
        </w:rPr>
        <w:t>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ascii="仿宋_GB2312" w:hAnsi="Calibri" w:eastAsia="仿宋_GB2312" w:cs="仿宋_GB2312"/>
          <w:i w:val="0"/>
          <w:iCs w:val="0"/>
          <w:caps w:val="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ascii="Calibri" w:hAnsi="Calibri" w:cs="Calibri"/>
          <w:sz w:val="24"/>
          <w:szCs w:val="24"/>
        </w:rPr>
      </w:pPr>
      <w:r>
        <w:rPr>
          <w:rFonts w:ascii="仿宋_GB2312" w:hAnsi="Calibri" w:eastAsia="仿宋_GB2312" w:cs="仿宋_GB2312"/>
          <w:i w:val="0"/>
          <w:iCs w:val="0"/>
          <w:caps w:val="0"/>
          <w:spacing w:val="0"/>
          <w:sz w:val="32"/>
          <w:szCs w:val="32"/>
          <w:bdr w:val="none" w:color="auto" w:sz="0" w:space="0"/>
          <w:shd w:val="clear" w:fill="FFFFFF"/>
        </w:rPr>
        <w:t>根据《中华人民共和国政府信息公开条例》、《安徽省</w:t>
      </w:r>
      <w:r>
        <w:rPr>
          <w:rFonts w:hint="eastAsia" w:ascii="仿宋_GB2312" w:hAnsi="Calibri" w:eastAsia="仿宋_GB2312" w:cs="仿宋_GB2312"/>
          <w:i w:val="0"/>
          <w:iCs w:val="0"/>
          <w:caps w:val="0"/>
          <w:spacing w:val="0"/>
          <w:sz w:val="32"/>
          <w:szCs w:val="32"/>
          <w:bdr w:val="none" w:color="auto" w:sz="0" w:space="0"/>
          <w:shd w:val="clear" w:fill="FFFFFF"/>
        </w:rPr>
        <w:t>信息公开办公室关于做好2023年度政府信息公开工作年度报告编制和数据报送工作的通知》(皖政务办秘〔2024〕2号)和《六安市信息公开办公室关于做好2023年度政府信息公开年度报告编制和发布工作的通知》(六信息公开办〔2024〕2号)文件要求，霍邱县临水镇人民政府办公室编制2023年政府信息公开工作年度报告。报告全文包括总体情况、行政机关主动公开政府信息情况、收到和处理政府信息公开申请情况、政府信息公开行政复议、行政诉讼情况、政府信息公开工作存在的主要问题及改进情况和其他需要报告事项等6方面内容。本年度报告中所列数据统计期限为2023年1月1日起至2023年12月31日。如对本报告有疑问，请与霍邱县临水镇人民政府办公室联系(地址:霍邱县临水镇临水街道；邮编:237400；电话:0564-6363901)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ascii="黑体" w:hAnsi="宋体" w:eastAsia="黑体" w:cs="黑体"/>
          <w:b w:val="0"/>
          <w:bCs w:val="0"/>
          <w:i w:val="0"/>
          <w:iCs w:val="0"/>
          <w:caps w:val="0"/>
          <w:spacing w:val="0"/>
          <w:sz w:val="32"/>
          <w:szCs w:val="32"/>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00"/>
        <w:jc w:val="both"/>
        <w:rPr>
          <w:rFonts w:hint="default" w:ascii="Calibri" w:hAnsi="Calibri" w:cs="Calibri"/>
          <w:sz w:val="24"/>
          <w:szCs w:val="24"/>
        </w:rPr>
      </w:pPr>
      <w:r>
        <w:rPr>
          <w:rFonts w:hint="eastAsia" w:ascii="仿宋_GB2312" w:hAnsi="Calibri" w:eastAsia="仿宋_GB2312" w:cs="仿宋_GB2312"/>
          <w:i w:val="0"/>
          <w:iCs w:val="0"/>
          <w:caps w:val="0"/>
          <w:spacing w:val="0"/>
          <w:sz w:val="32"/>
          <w:szCs w:val="32"/>
          <w:bdr w:val="none" w:color="auto" w:sz="0" w:space="0"/>
          <w:shd w:val="clear" w:fill="FFFFFF"/>
        </w:rPr>
        <w:t>2023年，临水镇严格按照</w:t>
      </w:r>
      <w:r>
        <w:rPr>
          <w:rFonts w:ascii="仿宋" w:hAnsi="仿宋" w:eastAsia="仿宋" w:cs="仿宋"/>
          <w:i w:val="0"/>
          <w:iCs w:val="0"/>
          <w:caps w:val="0"/>
          <w:spacing w:val="0"/>
          <w:sz w:val="32"/>
          <w:szCs w:val="32"/>
          <w:bdr w:val="none" w:color="auto" w:sz="0" w:space="0"/>
          <w:shd w:val="clear" w:fill="FFFFFF"/>
        </w:rPr>
        <w:t>省、市、县关于</w:t>
      </w:r>
      <w:r>
        <w:rPr>
          <w:rFonts w:hint="eastAsia" w:ascii="仿宋" w:hAnsi="仿宋" w:eastAsia="仿宋" w:cs="仿宋"/>
          <w:i w:val="0"/>
          <w:iCs w:val="0"/>
          <w:caps w:val="0"/>
          <w:spacing w:val="0"/>
          <w:sz w:val="32"/>
          <w:szCs w:val="32"/>
          <w:bdr w:val="none" w:color="auto" w:sz="0" w:space="0"/>
          <w:shd w:val="clear" w:fill="FFFFFF"/>
        </w:rPr>
        <w:t>信息公开工作要求，做好信息公开工作部署，落实上级安排工作任务，不断加强信息公开力度，定期维护整理信息公开栏目内容，保证公开质量，提高公开实效。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（一）主动公开情况。</w:t>
      </w:r>
      <w:r>
        <w:rPr>
          <w:rFonts w:hint="eastAsia" w:ascii="仿宋_GB2312" w:hAnsi="Calibri" w:eastAsia="仿宋_GB2312" w:cs="仿宋_GB2312"/>
          <w:i w:val="0"/>
          <w:iCs w:val="0"/>
          <w:caps w:val="0"/>
          <w:spacing w:val="0"/>
          <w:sz w:val="32"/>
          <w:szCs w:val="32"/>
          <w:bdr w:val="none" w:color="auto" w:sz="0" w:space="0"/>
          <w:shd w:val="clear" w:fill="FFFFFF"/>
        </w:rPr>
        <w:t>我镇认真贯彻落实《中华人民共和国政府信息公开条例》精神，坚持“公开为常态，不公开为例外”为原则，做好政府信息发布，聚焦重点领域，政策文件、政策解读、惠民资金、扶贫救灾等专栏常态更新。2023年临水镇共公开基础栏目652条信息，其中政策文件4条，解读4条，惠民资金栏目235条，</w:t>
      </w:r>
      <w:r>
        <w:rPr>
          <w:rFonts w:hint="eastAsia" w:ascii="仿宋_GB2312" w:hAnsi="Calibri" w:eastAsia="仿宋_GB2312" w:cs="仿宋_GB2312"/>
          <w:i w:val="0"/>
          <w:iCs w:val="0"/>
          <w:caps w:val="0"/>
          <w:spacing w:val="0"/>
          <w:sz w:val="32"/>
          <w:szCs w:val="32"/>
          <w:bdr w:val="none" w:color="auto" w:sz="0" w:space="0"/>
          <w:shd w:val="clear" w:fill="FFFFFF"/>
          <w:lang w:val="en-US" w:eastAsia="zh-CN"/>
        </w:rPr>
        <w:t>包括低保、养老保险、医疗救助等；</w:t>
      </w:r>
      <w:r>
        <w:rPr>
          <w:rFonts w:hint="eastAsia" w:ascii="仿宋_GB2312" w:hAnsi="Calibri" w:eastAsia="仿宋_GB2312" w:cs="仿宋_GB2312"/>
          <w:i w:val="0"/>
          <w:iCs w:val="0"/>
          <w:caps w:val="0"/>
          <w:spacing w:val="0"/>
          <w:sz w:val="32"/>
          <w:szCs w:val="32"/>
          <w:bdr w:val="none" w:color="auto" w:sz="0" w:space="0"/>
          <w:shd w:val="clear" w:fill="FFFFFF"/>
        </w:rPr>
        <w:t>回应关切38条</w:t>
      </w:r>
      <w:r>
        <w:rPr>
          <w:rFonts w:hint="eastAsia" w:ascii="仿宋_GB2312" w:hAnsi="Calibri" w:eastAsia="仿宋_GB2312" w:cs="仿宋_GB2312"/>
          <w:i w:val="0"/>
          <w:iCs w:val="0"/>
          <w:caps w:val="0"/>
          <w:spacing w:val="0"/>
          <w:sz w:val="32"/>
          <w:szCs w:val="32"/>
          <w:bdr w:val="none" w:color="auto" w:sz="0" w:space="0"/>
          <w:shd w:val="clear" w:fill="FFFFFF"/>
          <w:lang w:eastAsia="zh-CN"/>
        </w:rPr>
        <w:t>，</w:t>
      </w:r>
      <w:r>
        <w:rPr>
          <w:rFonts w:hint="eastAsia" w:ascii="仿宋_GB2312" w:hAnsi="Calibri" w:eastAsia="仿宋_GB2312" w:cs="仿宋_GB2312"/>
          <w:i w:val="0"/>
          <w:iCs w:val="0"/>
          <w:caps w:val="0"/>
          <w:spacing w:val="0"/>
          <w:sz w:val="32"/>
          <w:szCs w:val="32"/>
          <w:bdr w:val="none" w:color="auto" w:sz="0" w:space="0"/>
          <w:shd w:val="clear" w:fill="FFFFFF"/>
          <w:lang w:val="en-US" w:eastAsia="zh-CN"/>
        </w:rPr>
        <w:t>重点涉及时事、食品安全、涉及群众切身利益的重要政策等</w:t>
      </w:r>
      <w:r>
        <w:rPr>
          <w:rFonts w:hint="eastAsia" w:ascii="仿宋_GB2312" w:hAnsi="Calibri" w:eastAsia="仿宋_GB2312" w:cs="仿宋_GB2312"/>
          <w:i w:val="0"/>
          <w:iCs w:val="0"/>
          <w:caps w:val="0"/>
          <w:spacing w:val="0"/>
          <w:sz w:val="32"/>
          <w:szCs w:val="32"/>
          <w:bdr w:val="none" w:color="auto" w:sz="0" w:space="0"/>
          <w:shd w:val="clear" w:fill="FFFFFF"/>
        </w:rPr>
        <w:t>；两化栏目更新约1200条信息，其中危房改造12条，扶贫34条，救灾16条，社会救助111条，食品药品监管39条。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（二）依申请公开。</w:t>
      </w:r>
      <w:r>
        <w:rPr>
          <w:rFonts w:hint="eastAsia" w:ascii="仿宋_GB2312" w:hAnsi="Calibri" w:eastAsia="仿宋_GB2312" w:cs="仿宋_GB2312"/>
          <w:i w:val="0"/>
          <w:iCs w:val="0"/>
          <w:caps w:val="0"/>
          <w:spacing w:val="0"/>
          <w:sz w:val="32"/>
          <w:szCs w:val="32"/>
          <w:bdr w:val="none" w:color="auto" w:sz="0" w:space="0"/>
          <w:shd w:val="clear" w:fill="FFFFFF"/>
        </w:rPr>
        <w:t>规范做好依申请公开工作，严格按照《中华人民共和国政府信息公开条例》等有关法规文件要求，进一步完善受理、登记、办理、审核、答复、归档、报备等流程，规范依申请公开办理程序。2023年度临水镇人民政府政府收到依申请公开0条，其中按时办结0条，行政复议数量0条，行政诉讼数量0条，做到依法依规，及时妥善地处理群众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（三）政府信息管理。</w:t>
      </w:r>
      <w:r>
        <w:rPr>
          <w:rFonts w:hint="eastAsia" w:ascii="仿宋_GB2312" w:hAnsi="Calibri" w:eastAsia="仿宋_GB2312" w:cs="仿宋_GB2312"/>
          <w:i w:val="0"/>
          <w:iCs w:val="0"/>
          <w:caps w:val="0"/>
          <w:spacing w:val="0"/>
          <w:sz w:val="32"/>
          <w:szCs w:val="32"/>
          <w:bdr w:val="none" w:color="auto" w:sz="0" w:space="0"/>
          <w:shd w:val="clear" w:fill="FFFFFF"/>
        </w:rPr>
        <w:t>一是落实政府信息及时、准确公开，建立健全政府信息管理动态调整机制，准确把握不予公开的范围，定期对公开和不予公开的政府信息进行评估，对失效、废止的政府信息定期清理。二是领导责任制。强化“一把手挂帅，副职领导具体抓，责任到部门，落实到人头”的工作机制，要求各部门联动，积极配合提供信息，同时减少人员流动，确保专人专岗，确保业务精通熟练，负责日常政府信息公开内容维护和更新、组织协调等工作。三是严格落实涉密审查制，执行三级审核制度，先审后发、授权发布，三级联动，确保内容准确、表述规范，坚持杜绝对公民身份证号、电话号码、银行卡号等敏感信息发布，从源头确保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（四）政府信息公开平台建设情况。</w:t>
      </w:r>
      <w:r>
        <w:rPr>
          <w:rFonts w:hint="eastAsia" w:ascii="仿宋_GB2312" w:hAnsi="Calibri" w:eastAsia="仿宋_GB2312" w:cs="仿宋_GB2312"/>
          <w:i w:val="0"/>
          <w:iCs w:val="0"/>
          <w:caps w:val="0"/>
          <w:spacing w:val="0"/>
          <w:sz w:val="32"/>
          <w:szCs w:val="32"/>
          <w:bdr w:val="none" w:color="auto" w:sz="0" w:space="0"/>
          <w:shd w:val="clear" w:fill="FFFFFF"/>
        </w:rPr>
        <w:t>一是设立信息公开专区，安排工作人员常驻，提供政策咨询、信息公开信息查阅、事项办理等服务；首问负责、一次性告知、限时办结等制度上墙公示；整合便民服务大厅窗口，设立民生事务类、社会事务类、农经事务类等综合窗口，同时设立“办不成事”、帮办代办窗口，更好帮助群众提供服务、解决问题。二是严格按照上级依托霍邱县政府网站为政府信息公开第一平台，严格按照县委、县政府相关工作要求，及时发布信息、规范栏目设置，杜绝空白栏目、更新不及时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（五）监督保障。</w:t>
      </w:r>
      <w:r>
        <w:rPr>
          <w:rFonts w:hint="eastAsia" w:ascii="仿宋_GB2312" w:hAnsi="Calibri" w:eastAsia="仿宋_GB2312" w:cs="仿宋_GB2312"/>
          <w:i w:val="0"/>
          <w:iCs w:val="0"/>
          <w:caps w:val="0"/>
          <w:spacing w:val="0"/>
          <w:sz w:val="32"/>
          <w:szCs w:val="32"/>
          <w:bdr w:val="none" w:color="auto" w:sz="0" w:space="0"/>
          <w:shd w:val="clear" w:fill="FFFFFF"/>
        </w:rPr>
        <w:t xml:space="preserve">成立临水镇信息公开工作领导小组，临水镇党委政府牵头组织安排，联合各镇直单位，强化督促指导政务信息公开工作。针对月度、季度监测均能第一时间落实整改完善，对监测反馈中出现严重错误表述、错别字、语句不通等问题及时进行纠正，完善考核考评管理制度，将政府信息公开纳入年度目标绩效考核中，采用季度检查村务公开，及时召开会议整改，全年共检查4次，召开会议4次，进一步规范了信息公开化、及时化、透明化。 </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w:t>
      </w:r>
      <w:r>
        <w:rPr>
          <w:rFonts w:hint="default" w:ascii="Times New Roman" w:hAnsi="Times New Roman" w:eastAsia="等线" w:cs="Times New Roman"/>
          <w:i w:val="0"/>
          <w:iCs w:val="0"/>
          <w:caps w:val="0"/>
          <w:color w:val="000000"/>
          <w:spacing w:val="0"/>
          <w:sz w:val="32"/>
          <w:szCs w:val="32"/>
          <w:bdr w:val="none" w:color="auto" w:sz="0" w:space="0"/>
          <w:shd w:val="clear" w:fill="FFFFFF"/>
        </w:rPr>
        <w:t>3</w:t>
      </w:r>
      <w:r>
        <w:rPr>
          <w:rFonts w:hint="eastAsia" w:ascii="仿宋_GB2312" w:hAnsi="Calibri" w:eastAsia="仿宋_GB2312" w:cs="仿宋_GB2312"/>
          <w:i w:val="0"/>
          <w:iCs w:val="0"/>
          <w:caps w:val="0"/>
          <w:color w:val="333333"/>
          <w:spacing w:val="0"/>
          <w:sz w:val="32"/>
          <w:szCs w:val="32"/>
          <w:bdr w:val="none" w:color="auto" w:sz="0" w:space="0"/>
          <w:shd w:val="clear" w:fill="FFFFFF"/>
        </w:rPr>
        <w:t>年我镇社会评议良好，未产生责任追究相关问题和结果。</w:t>
      </w:r>
      <w:r>
        <w:rPr>
          <w:rFonts w:hint="eastAsia" w:ascii="仿宋_GB2312" w:hAnsi="Calibri" w:eastAsia="仿宋_GB2312" w:cs="仿宋_GB2312"/>
          <w:i w:val="0"/>
          <w:iCs w:val="0"/>
          <w:caps w:val="0"/>
          <w:spacing w:val="0"/>
          <w:sz w:val="32"/>
          <w:szCs w:val="32"/>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3"/>
        <w:jc w:val="both"/>
        <w:rPr>
          <w:rFonts w:hint="default" w:ascii="Calibri" w:hAnsi="Calibri" w:cs="Calibri"/>
          <w:sz w:val="24"/>
          <w:szCs w:val="24"/>
        </w:rPr>
      </w:pPr>
      <w:r>
        <w:rPr>
          <w:rFonts w:hint="eastAsia" w:ascii="黑体" w:hAnsi="宋体" w:eastAsia="黑体" w:cs="黑体"/>
          <w:b/>
          <w:bCs/>
          <w:i w:val="0"/>
          <w:iCs w:val="0"/>
          <w:caps w:val="0"/>
          <w:spacing w:val="0"/>
          <w:sz w:val="32"/>
          <w:szCs w:val="32"/>
          <w:bdr w:val="none" w:color="auto" w:sz="0" w:space="0"/>
          <w:shd w:val="clear" w:fill="FFFFFF"/>
        </w:rPr>
        <w:t>二、主动公开政府信息情况</w:t>
      </w:r>
    </w:p>
    <w:tbl>
      <w:tblPr>
        <w:tblW w:w="94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11"/>
        <w:gridCol w:w="2435"/>
        <w:gridCol w:w="2435"/>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4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2435"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本年制发件数</w:t>
            </w:r>
          </w:p>
        </w:tc>
        <w:tc>
          <w:tcPr>
            <w:tcW w:w="2435"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本年废止件数</w:t>
            </w:r>
          </w:p>
        </w:tc>
        <w:tc>
          <w:tcPr>
            <w:tcW w:w="1954"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规章</w:t>
            </w:r>
          </w:p>
        </w:tc>
        <w:tc>
          <w:tcPr>
            <w:tcW w:w="2435"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c>
          <w:tcPr>
            <w:tcW w:w="2435"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c>
          <w:tcPr>
            <w:tcW w:w="1954"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行政规范性文件</w:t>
            </w:r>
          </w:p>
        </w:tc>
        <w:tc>
          <w:tcPr>
            <w:tcW w:w="2435"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c>
          <w:tcPr>
            <w:tcW w:w="2435"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c>
          <w:tcPr>
            <w:tcW w:w="1954"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435"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行政许可</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default" w:ascii="Calibri" w:hAnsi="Calibri" w:cs="Calibri"/>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435"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信息内容</w:t>
            </w:r>
          </w:p>
        </w:tc>
        <w:tc>
          <w:tcPr>
            <w:tcW w:w="6824" w:type="dxa"/>
            <w:gridSpan w:val="3"/>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行政处罚</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行政强制</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435"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信息内容</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611" w:type="dxa"/>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行政事业性收费</w:t>
            </w:r>
          </w:p>
        </w:tc>
        <w:tc>
          <w:tcPr>
            <w:tcW w:w="6824" w:type="dxa"/>
            <w:gridSpan w:val="3"/>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Calibri" w:hAnsi="Calibri" w:cs="Calibri"/>
          <w:sz w:val="24"/>
          <w:szCs w:val="24"/>
        </w:rPr>
      </w:pPr>
      <w:r>
        <w:rPr>
          <w:rFonts w:hint="eastAsia" w:ascii="黑体" w:hAnsi="宋体" w:eastAsia="黑体" w:cs="黑体"/>
          <w:b/>
          <w:bCs/>
          <w:i w:val="0"/>
          <w:iCs w:val="0"/>
          <w:caps w:val="0"/>
          <w:spacing w:val="0"/>
          <w:sz w:val="32"/>
          <w:szCs w:val="32"/>
          <w:bdr w:val="none" w:color="auto" w:sz="0" w:space="0"/>
          <w:shd w:val="clear" w:fill="FFFFFF"/>
        </w:rPr>
        <w:t>三、收到和处理政府信息公开申请情况</w:t>
      </w:r>
    </w:p>
    <w:tbl>
      <w:tblPr>
        <w:tblW w:w="96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11"/>
        <w:gridCol w:w="931"/>
        <w:gridCol w:w="3085"/>
        <w:gridCol w:w="669"/>
        <w:gridCol w:w="669"/>
        <w:gridCol w:w="669"/>
        <w:gridCol w:w="669"/>
        <w:gridCol w:w="670"/>
        <w:gridCol w:w="671"/>
        <w:gridCol w:w="3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5344" w:type="dxa"/>
            <w:gridSpan w:val="3"/>
            <w:vMerge w:val="restart"/>
            <w:tcBorders>
              <w:top w:val="single" w:color="auto" w:sz="6" w:space="0"/>
              <w:left w:val="single" w:color="auto" w:sz="6" w:space="0"/>
              <w:bottom w:val="outset"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ascii="楷体" w:hAnsi="楷体" w:eastAsia="楷体" w:cs="楷体"/>
                <w:sz w:val="20"/>
                <w:szCs w:val="20"/>
              </w:rPr>
              <w:t>（本列数据的勾稽关系为：第一项加第二项之和，等于第三项加第四项之和）</w:t>
            </w:r>
          </w:p>
        </w:tc>
        <w:tc>
          <w:tcPr>
            <w:tcW w:w="4315" w:type="dxa"/>
            <w:gridSpan w:val="7"/>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344" w:type="dxa"/>
            <w:gridSpan w:val="3"/>
            <w:vMerge w:val="continue"/>
            <w:tcBorders>
              <w:top w:val="single" w:color="auto" w:sz="6" w:space="0"/>
              <w:left w:val="single" w:color="auto" w:sz="6" w:space="0"/>
              <w:bottom w:val="outset"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671" w:type="dxa"/>
            <w:vMerge w:val="restart"/>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自然人</w:t>
            </w:r>
          </w:p>
        </w:tc>
        <w:tc>
          <w:tcPr>
            <w:tcW w:w="3356" w:type="dxa"/>
            <w:gridSpan w:val="5"/>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法人或其他组织</w:t>
            </w:r>
          </w:p>
        </w:tc>
        <w:tc>
          <w:tcPr>
            <w:tcW w:w="288" w:type="dxa"/>
            <w:vMerge w:val="restart"/>
            <w:tcBorders>
              <w:top w:val="single" w:color="auto" w:sz="6" w:space="0"/>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344" w:type="dxa"/>
            <w:gridSpan w:val="3"/>
            <w:vMerge w:val="continue"/>
            <w:tcBorders>
              <w:top w:val="single" w:color="auto" w:sz="6" w:space="0"/>
              <w:left w:val="single" w:color="auto" w:sz="6" w:space="0"/>
              <w:bottom w:val="outset"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671" w:type="dxa"/>
            <w:vMerge w:val="continue"/>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商业</w:t>
            </w:r>
          </w:p>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企业</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科研</w:t>
            </w:r>
          </w:p>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机构</w:t>
            </w:r>
          </w:p>
        </w:tc>
        <w:tc>
          <w:tcPr>
            <w:tcW w:w="671"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社会公益组织</w:t>
            </w:r>
          </w:p>
        </w:tc>
        <w:tc>
          <w:tcPr>
            <w:tcW w:w="671"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法律服务机构</w:t>
            </w:r>
          </w:p>
        </w:tc>
        <w:tc>
          <w:tcPr>
            <w:tcW w:w="672"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0"/>
                <w:szCs w:val="20"/>
              </w:rPr>
              <w:t>其他</w:t>
            </w:r>
          </w:p>
        </w:tc>
        <w:tc>
          <w:tcPr>
            <w:tcW w:w="288" w:type="dxa"/>
            <w:vMerge w:val="continue"/>
            <w:tcBorders>
              <w:top w:val="single" w:color="auto" w:sz="6" w:space="0"/>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44" w:type="dxa"/>
            <w:gridSpan w:val="3"/>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344" w:type="dxa"/>
            <w:gridSpan w:val="3"/>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restart"/>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三、本年度办理结果</w:t>
            </w:r>
          </w:p>
        </w:tc>
        <w:tc>
          <w:tcPr>
            <w:tcW w:w="4029" w:type="dxa"/>
            <w:gridSpan w:val="2"/>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（一）予以公开</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4029" w:type="dxa"/>
            <w:gridSpan w:val="2"/>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restart"/>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（三）不予公开</w:t>
            </w: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1.属于国家秘密</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single" w:color="auto" w:sz="6" w:space="0"/>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2.其他法律行政法规禁止公开</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3.危及“三安全一稳定”</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4.保护第三方合法权益</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5.属于三类内部事务信息</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6.属于四类过程性信息</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7.属于行政执法案卷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8.属于行政查询事项</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restart"/>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（四）无法提供</w:t>
            </w: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1.本机关不掌握相关政府信息</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2.没有现成信息需要另行制作</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3.补正后申请内容仍不明确</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restart"/>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（五）不予处理</w:t>
            </w: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1.信访举报投诉类申请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2.重复申请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3.要求提供公开出版物</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4.无正当理由大量反复申请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rPr>
              <w:t>5.要求行政机关确认或重新出具已获取信息</w:t>
            </w:r>
          </w:p>
        </w:tc>
        <w:tc>
          <w:tcPr>
            <w:tcW w:w="671"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outset"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restart"/>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（六）其他处理</w:t>
            </w: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rPr>
              <w:t>1.申请人无正当理由逾期不补正、行政机关不再处理其政府信息公开申请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both"/>
              <w:rPr>
                <w:rFonts w:hint="default" w:ascii="Calibri" w:hAnsi="Calibri" w:cs="Calibri"/>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932" w:type="dxa"/>
            <w:vMerge w:val="continue"/>
            <w:tcBorders>
              <w:top w:val="nil"/>
              <w:left w:val="nil"/>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3097"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3.其他</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15" w:type="dxa"/>
            <w:vMerge w:val="continue"/>
            <w:tcBorders>
              <w:top w:val="nil"/>
              <w:left w:val="single" w:color="auto" w:sz="6" w:space="0"/>
              <w:bottom w:val="outset" w:color="auto" w:sz="6" w:space="0"/>
              <w:right w:val="single" w:color="auto" w:sz="6" w:space="0"/>
            </w:tcBorders>
            <w:shd w:val="clear" w:color="auto" w:fill="E6F4FF"/>
            <w:tcMar>
              <w:top w:w="0" w:type="dxa"/>
              <w:left w:w="57" w:type="dxa"/>
              <w:bottom w:w="0" w:type="dxa"/>
              <w:right w:w="57" w:type="dxa"/>
            </w:tcMar>
            <w:vAlign w:val="center"/>
          </w:tcPr>
          <w:p>
            <w:pPr>
              <w:rPr>
                <w:rFonts w:hint="default" w:ascii="Times New Roman" w:hAnsi="Times New Roman" w:cs="Times New Roman"/>
                <w:sz w:val="20"/>
                <w:szCs w:val="20"/>
              </w:rPr>
            </w:pPr>
          </w:p>
        </w:tc>
        <w:tc>
          <w:tcPr>
            <w:tcW w:w="4029" w:type="dxa"/>
            <w:gridSpan w:val="2"/>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（七）总计</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344" w:type="dxa"/>
            <w:gridSpan w:val="3"/>
            <w:tcBorders>
              <w:top w:val="nil"/>
              <w:left w:val="single" w:color="auto" w:sz="6" w:space="0"/>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left"/>
              <w:rPr>
                <w:rFonts w:hint="default" w:ascii="Calibri" w:hAnsi="Calibri" w:cs="Calibri"/>
                <w:sz w:val="21"/>
                <w:szCs w:val="21"/>
              </w:rPr>
            </w:pPr>
            <w:r>
              <w:rPr>
                <w:rFonts w:hint="eastAsia" w:ascii="宋体" w:hAnsi="宋体" w:eastAsia="宋体" w:cs="宋体"/>
                <w:sz w:val="20"/>
                <w:szCs w:val="20"/>
              </w:rPr>
              <w:t>四、结转下年度继续办理</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671"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672"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288" w:type="dxa"/>
            <w:tcBorders>
              <w:top w:val="nil"/>
              <w:left w:val="nil"/>
              <w:bottom w:val="single" w:color="auto" w:sz="6" w:space="0"/>
              <w:right w:val="single" w:color="auto" w:sz="6" w:space="0"/>
            </w:tcBorders>
            <w:shd w:val="clear" w:color="auto" w:fill="E6F4FF"/>
            <w:tcMar>
              <w:top w:w="0" w:type="dxa"/>
              <w:left w:w="57" w:type="dxa"/>
              <w:bottom w:w="0" w:type="dxa"/>
              <w:right w:w="57"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Calibri" w:hAnsi="Calibri" w:cs="Calibri"/>
          <w:sz w:val="24"/>
          <w:szCs w:val="24"/>
        </w:rPr>
      </w:pPr>
      <w:r>
        <w:rPr>
          <w:rFonts w:hint="eastAsia" w:ascii="黑体" w:hAnsi="宋体" w:eastAsia="黑体" w:cs="黑体"/>
          <w:b/>
          <w:bCs/>
          <w:i w:val="0"/>
          <w:iCs w:val="0"/>
          <w:caps w:val="0"/>
          <w:spacing w:val="0"/>
          <w:sz w:val="32"/>
          <w:szCs w:val="32"/>
          <w:bdr w:val="none" w:color="auto" w:sz="0" w:space="0"/>
          <w:shd w:val="clear" w:fill="FFFFFF"/>
        </w:rPr>
        <w:t>四、政府信息公开行政复议、行政诉讼情况</w:t>
      </w:r>
    </w:p>
    <w:tbl>
      <w:tblPr>
        <w:tblW w:w="1062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16"/>
        <w:gridCol w:w="816"/>
        <w:gridCol w:w="816"/>
        <w:gridCol w:w="816"/>
        <w:gridCol w:w="416"/>
        <w:gridCol w:w="816"/>
        <w:gridCol w:w="816"/>
        <w:gridCol w:w="816"/>
        <w:gridCol w:w="816"/>
        <w:gridCol w:w="516"/>
        <w:gridCol w:w="816"/>
        <w:gridCol w:w="816"/>
        <w:gridCol w:w="816"/>
        <w:gridCol w:w="816"/>
        <w:gridCol w:w="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280" w:type="dxa"/>
            <w:gridSpan w:val="5"/>
            <w:tcBorders>
              <w:top w:val="single" w:color="auto" w:sz="6" w:space="0"/>
              <w:left w:val="single" w:color="auto" w:sz="6" w:space="0"/>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行政复议</w:t>
            </w:r>
          </w:p>
        </w:tc>
        <w:tc>
          <w:tcPr>
            <w:tcW w:w="7348" w:type="dxa"/>
            <w:gridSpan w:val="10"/>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restart"/>
            <w:tcBorders>
              <w:top w:val="nil"/>
              <w:left w:val="single" w:color="auto" w:sz="6" w:space="0"/>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结果维持</w:t>
            </w:r>
          </w:p>
        </w:tc>
        <w:tc>
          <w:tcPr>
            <w:tcW w:w="816" w:type="dxa"/>
            <w:vMerge w:val="restart"/>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 纠正</w:t>
            </w:r>
          </w:p>
        </w:tc>
        <w:tc>
          <w:tcPr>
            <w:tcW w:w="816" w:type="dxa"/>
            <w:vMerge w:val="restart"/>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其他 结果</w:t>
            </w:r>
          </w:p>
        </w:tc>
        <w:tc>
          <w:tcPr>
            <w:tcW w:w="816" w:type="dxa"/>
            <w:vMerge w:val="restart"/>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尚未 审结</w:t>
            </w:r>
          </w:p>
        </w:tc>
        <w:tc>
          <w:tcPr>
            <w:tcW w:w="416" w:type="dxa"/>
            <w:vMerge w:val="restart"/>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总计</w:t>
            </w:r>
          </w:p>
        </w:tc>
        <w:tc>
          <w:tcPr>
            <w:tcW w:w="3780" w:type="dxa"/>
            <w:gridSpan w:val="5"/>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3568" w:type="dxa"/>
            <w:gridSpan w:val="5"/>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16" w:type="dxa"/>
            <w:vMerge w:val="continue"/>
            <w:tcBorders>
              <w:top w:val="nil"/>
              <w:left w:val="single" w:color="auto" w:sz="6" w:space="0"/>
              <w:bottom w:val="single"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816" w:type="dxa"/>
            <w:vMerge w:val="continue"/>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816" w:type="dxa"/>
            <w:vMerge w:val="continue"/>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816" w:type="dxa"/>
            <w:vMerge w:val="continue"/>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416" w:type="dxa"/>
            <w:vMerge w:val="continue"/>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rPr>
                <w:rFonts w:hint="default" w:ascii="Times New Roman" w:hAnsi="Times New Roman" w:cs="Times New Roman"/>
                <w:sz w:val="20"/>
                <w:szCs w:val="20"/>
              </w:rPr>
            </w:pP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 维持</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 纠正</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其他 结果</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尚未 审结</w:t>
            </w:r>
          </w:p>
        </w:tc>
        <w:tc>
          <w:tcPr>
            <w:tcW w:w="5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总计</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 维持</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结果 纠正</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其他 结果</w:t>
            </w:r>
          </w:p>
        </w:tc>
        <w:tc>
          <w:tcPr>
            <w:tcW w:w="816"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尚未 审结</w:t>
            </w:r>
          </w:p>
        </w:tc>
        <w:tc>
          <w:tcPr>
            <w:tcW w:w="304" w:type="dxa"/>
            <w:tcBorders>
              <w:top w:val="single" w:color="auto" w:sz="6" w:space="0"/>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416" w:type="dxa"/>
            <w:tcBorders>
              <w:top w:val="nil"/>
              <w:left w:val="single" w:color="auto" w:sz="6" w:space="0"/>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4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 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default" w:ascii="Calibri" w:hAnsi="Calibri" w:cs="Calibri"/>
                <w:sz w:val="20"/>
                <w:szCs w:val="20"/>
              </w:rPr>
              <w:t>0 </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5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816"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firstLine="0"/>
              <w:jc w:val="center"/>
              <w:rPr>
                <w:rFonts w:hint="default" w:ascii="Calibri" w:hAnsi="Calibri" w:cs="Calibri"/>
                <w:sz w:val="21"/>
                <w:szCs w:val="21"/>
              </w:rPr>
            </w:pPr>
            <w:r>
              <w:rPr>
                <w:rFonts w:hint="eastAsia" w:ascii="宋体" w:hAnsi="宋体" w:eastAsia="宋体" w:cs="宋体"/>
                <w:sz w:val="20"/>
                <w:szCs w:val="20"/>
              </w:rPr>
              <w:t> </w:t>
            </w:r>
            <w:r>
              <w:rPr>
                <w:rFonts w:hint="eastAsia" w:ascii="黑体" w:hAnsi="宋体" w:eastAsia="黑体" w:cs="黑体"/>
                <w:sz w:val="20"/>
                <w:szCs w:val="20"/>
              </w:rPr>
              <w:t>0</w:t>
            </w:r>
          </w:p>
        </w:tc>
        <w:tc>
          <w:tcPr>
            <w:tcW w:w="304" w:type="dxa"/>
            <w:tcBorders>
              <w:top w:val="nil"/>
              <w:left w:val="nil"/>
              <w:bottom w:val="single" w:color="auto" w:sz="6" w:space="0"/>
              <w:right w:val="single" w:color="auto" w:sz="6" w:space="0"/>
            </w:tcBorders>
            <w:shd w:val="clear" w:color="auto" w:fill="E6F4FF"/>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450" w:lineRule="atLeast"/>
              <w:ind w:left="0" w:right="0"/>
              <w:jc w:val="center"/>
              <w:rPr>
                <w:rFonts w:hint="default" w:ascii="Calibri" w:hAnsi="Calibri" w:cs="Calibri"/>
                <w:sz w:val="21"/>
                <w:szCs w:val="21"/>
              </w:rPr>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Calibri" w:hAnsi="Calibri" w:cs="Calibri"/>
          <w:sz w:val="24"/>
          <w:szCs w:val="24"/>
        </w:rPr>
      </w:pPr>
      <w:r>
        <w:rPr>
          <w:rFonts w:hint="eastAsia" w:ascii="黑体" w:hAnsi="宋体" w:eastAsia="黑体" w:cs="黑体"/>
          <w:b/>
          <w:bCs/>
          <w:i w:val="0"/>
          <w:iCs w:val="0"/>
          <w:caps w:val="0"/>
          <w:spacing w:val="0"/>
          <w:sz w:val="32"/>
          <w:szCs w:val="32"/>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1、上年度存在的问题：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i w:val="0"/>
          <w:iCs w:val="0"/>
          <w:caps w:val="0"/>
          <w:spacing w:val="0"/>
          <w:sz w:val="32"/>
          <w:szCs w:val="32"/>
          <w:bdr w:val="none" w:color="auto" w:sz="0" w:space="0"/>
          <w:shd w:val="clear" w:fill="FFFFFF"/>
        </w:rPr>
        <w:t>一是</w:t>
      </w:r>
      <w:r>
        <w:rPr>
          <w:rFonts w:hint="eastAsia" w:ascii="仿宋_GB2312" w:hAnsi="Calibri" w:eastAsia="仿宋_GB2312" w:cs="仿宋_GB2312"/>
          <w:i w:val="0"/>
          <w:iCs w:val="0"/>
          <w:caps w:val="0"/>
          <w:color w:val="000000"/>
          <w:spacing w:val="0"/>
          <w:sz w:val="32"/>
          <w:szCs w:val="32"/>
          <w:bdr w:val="none" w:color="auto" w:sz="0" w:space="0"/>
          <w:shd w:val="clear" w:fill="FFFFFF"/>
        </w:rPr>
        <w:t>信息公开不及时、不主动，依赖集中办公。二是信息公开内容不全面，如主动回应、民生关切事项发布较少。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color w:val="000000"/>
          <w:spacing w:val="0"/>
          <w:sz w:val="32"/>
          <w:szCs w:val="32"/>
          <w:bdr w:val="none" w:color="auto" w:sz="0" w:space="0"/>
          <w:shd w:val="clear" w:fill="FFFFFF"/>
        </w:rPr>
        <w:t>改进情况：</w:t>
      </w:r>
      <w:r>
        <w:rPr>
          <w:rFonts w:hint="eastAsia" w:ascii="仿宋_GB2312" w:hAnsi="Calibri" w:eastAsia="仿宋_GB2312" w:cs="仿宋_GB2312"/>
          <w:i w:val="0"/>
          <w:iCs w:val="0"/>
          <w:caps w:val="0"/>
          <w:color w:val="000000"/>
          <w:spacing w:val="0"/>
          <w:sz w:val="32"/>
          <w:szCs w:val="32"/>
          <w:bdr w:val="none" w:color="auto" w:sz="0" w:space="0"/>
          <w:shd w:val="clear" w:fill="FFFFFF"/>
        </w:rPr>
        <w:t>一是强化监督，分管领导加强督促，要求严格按照月、季度等信息时间节点，及时公开，坚持该公开的一定公开，该公开的一定及时。二是加强信息公开力度，及时发布公众关切信息，如惠民资金、主动回应等，鼓励群众参与和反馈，了解他们的需求和关注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2、本年度存在的问题：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i w:val="0"/>
          <w:iCs w:val="0"/>
          <w:caps w:val="0"/>
          <w:spacing w:val="0"/>
          <w:sz w:val="32"/>
          <w:szCs w:val="32"/>
          <w:bdr w:val="none" w:color="auto" w:sz="0" w:space="0"/>
          <w:shd w:val="clear" w:fill="FFFFFF"/>
        </w:rPr>
        <w:t>一是与各单位沟通不通畅，信息发布存在滞后及空白的现象，常常以说明替代，发布不全。二是对政府信息公开工作认识不足，重视不够，更新不及时，存在“挤牙膏”心理。三是公开质量水平有待提升，不能及时发现问题，盲目上报，未落实好三审制度，常出现表述错误、错别字、语句不通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4"/>
          <w:szCs w:val="24"/>
        </w:rPr>
      </w:pPr>
      <w:r>
        <w:rPr>
          <w:rFonts w:hint="eastAsia" w:ascii="仿宋_GB2312" w:hAnsi="Calibri" w:eastAsia="仿宋_GB2312" w:cs="仿宋_GB2312"/>
          <w:b/>
          <w:bCs/>
          <w:i w:val="0"/>
          <w:iCs w:val="0"/>
          <w:caps w:val="0"/>
          <w:spacing w:val="0"/>
          <w:sz w:val="32"/>
          <w:szCs w:val="32"/>
          <w:bdr w:val="none" w:color="auto" w:sz="0" w:space="0"/>
          <w:shd w:val="clear" w:fill="FFFFFF"/>
        </w:rPr>
        <w:t>改进措施：</w:t>
      </w:r>
      <w:r>
        <w:rPr>
          <w:rFonts w:hint="eastAsia" w:ascii="仿宋_GB2312" w:hAnsi="Calibri" w:eastAsia="仿宋_GB2312" w:cs="仿宋_GB2312"/>
          <w:i w:val="0"/>
          <w:iCs w:val="0"/>
          <w:caps w:val="0"/>
          <w:spacing w:val="0"/>
          <w:sz w:val="32"/>
          <w:szCs w:val="32"/>
          <w:bdr w:val="none" w:color="auto" w:sz="0" w:space="0"/>
          <w:shd w:val="clear" w:fill="FFFFFF"/>
        </w:rPr>
        <w:t>一是分管领导牵头，定期召开会议，联系各相关镇直单位，积极配合信息公开工作，主动提供相关材料、数据，保障政府信息公开准确、全面。二是认真落实省、市、县信息公开工作相关要求，落实专人负责制度，加强工作人员培训，提高工作人员责任心和业务水平。三是强化考核制度，落实“谁发谁负责，谁审谁负责”制度，提高公开质量水平，保证我镇信息公开工作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3"/>
        <w:jc w:val="both"/>
        <w:rPr>
          <w:rFonts w:hint="default" w:ascii="Calibri" w:hAnsi="Calibri" w:cs="Calibri"/>
          <w:sz w:val="21"/>
          <w:szCs w:val="21"/>
        </w:rPr>
      </w:pPr>
      <w:r>
        <w:rPr>
          <w:rFonts w:hint="eastAsia" w:ascii="黑体" w:hAnsi="宋体" w:eastAsia="黑体" w:cs="黑体"/>
          <w:b/>
          <w:bCs/>
          <w:i w:val="0"/>
          <w:iCs w:val="0"/>
          <w:caps w:val="0"/>
          <w:spacing w:val="0"/>
          <w:sz w:val="32"/>
          <w:szCs w:val="32"/>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spacing w:val="0"/>
          <w:sz w:val="32"/>
          <w:szCs w:val="32"/>
          <w:bdr w:val="none" w:color="auto" w:sz="0" w:space="0"/>
          <w:shd w:val="clear" w:fill="FFFFFF"/>
        </w:rPr>
        <w:t>落实信息公开工作，积极探索“线上”培训模式，拓展信息公开培训渠道，线上利用微信群等对信息公开工作人员进行“一对一”指导。充分利用农村广播“村村响”，围绕群众喜好与需求，播放扶贫政策、便民服务、惠农政策、文明乡风等信息，让群众更便捷获得政策宣传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both"/>
        <w:rPr>
          <w:rFonts w:hint="default" w:ascii="Calibri" w:hAnsi="Calibri" w:cs="Calibri"/>
          <w:sz w:val="21"/>
          <w:szCs w:val="21"/>
        </w:rPr>
      </w:pPr>
      <w:r>
        <w:rPr>
          <w:rFonts w:hint="eastAsia" w:ascii="仿宋_GB2312" w:hAnsi="Calibri" w:eastAsia="仿宋_GB2312" w:cs="仿宋_GB2312"/>
          <w:i w:val="0"/>
          <w:iCs w:val="0"/>
          <w:caps w:val="0"/>
          <w:spacing w:val="0"/>
          <w:sz w:val="32"/>
          <w:szCs w:val="32"/>
          <w:bdr w:val="none" w:color="auto" w:sz="0" w:space="0"/>
          <w:shd w:val="clear" w:fill="FFFFFF"/>
        </w:rPr>
        <w:t>按照《国务院办公厅关于印发〈政府信息公开信息处理费管理办法〉的通知》（国办函〔2020〕109号）规定的按件、按量收费标准，</w:t>
      </w:r>
      <w:r>
        <w:rPr>
          <w:rFonts w:hint="eastAsia" w:ascii="仿宋_GB2312" w:hAnsi="Calibri" w:eastAsia="仿宋_GB2312" w:cs="仿宋_GB2312"/>
          <w:b w:val="0"/>
          <w:bCs w:val="0"/>
          <w:i w:val="0"/>
          <w:iCs w:val="0"/>
          <w:caps w:val="0"/>
          <w:spacing w:val="0"/>
          <w:sz w:val="32"/>
          <w:szCs w:val="32"/>
          <w:bdr w:val="none" w:color="auto" w:sz="0" w:space="0"/>
          <w:shd w:val="clear" w:fill="FFFFFF"/>
        </w:rPr>
        <w:t>本年度没有产生信息公开处理费。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textAlignment w:val="center"/>
        <w:rPr>
          <w:rFonts w:hint="default" w:ascii="Calibri" w:hAnsi="Calibri" w:cs="Calibri"/>
          <w:sz w:val="21"/>
          <w:szCs w:val="21"/>
        </w:rPr>
      </w:pPr>
      <w:r>
        <w:rPr>
          <w:rFonts w:hint="default" w:ascii="Calibri" w:hAnsi="Calibri" w:cs="Calibri"/>
          <w:sz w:val="21"/>
          <w:szCs w:val="21"/>
          <w:bdr w:val="none" w:color="auto" w:sz="0" w:space="0"/>
          <w:shd w:val="clear" w:fill="FFFFFF"/>
        </w:rPr>
        <w:t>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NjBiYmEwZGQ1NjdmZTc2M2EyOTJiZTczN2U0MDUifQ=="/>
  </w:docVars>
  <w:rsids>
    <w:rsidRoot w:val="05376C90"/>
    <w:rsid w:val="05376C90"/>
    <w:rsid w:val="36923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2024-04-02T02:21:00Z</dcterms:created>
  <dc:creator>S小酸</dc:creator>
  <cp:lastModifiedBy>S小酸</cp:lastModifiedBy>
  <dcterms:modified xsi:type="dcterms:W3CDTF">2024-04-02T02:29:14Z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06CB60B2613949A9B87F04FBB5028641_11</vt:lpwstr>
  </property>
</Properties>
</file>