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640"/>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霍邱县司法局2023年政府信息公开</w:t>
      </w:r>
    </w:p>
    <w:p>
      <w:pPr>
        <w:widowControl/>
        <w:spacing w:line="560" w:lineRule="exact"/>
        <w:ind w:firstLine="640"/>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工作年度报告</w:t>
      </w:r>
    </w:p>
    <w:p>
      <w:pPr>
        <w:widowControl/>
        <w:spacing w:line="560" w:lineRule="exact"/>
        <w:ind w:firstLine="640"/>
        <w:rPr>
          <w:rFonts w:ascii="仿宋_GB2312" w:hAnsi="宋体" w:eastAsia="仿宋_GB2312" w:cs="宋体"/>
          <w:kern w:val="0"/>
          <w:sz w:val="32"/>
          <w:szCs w:val="32"/>
        </w:rPr>
      </w:pPr>
    </w:p>
    <w:p>
      <w:pPr>
        <w:widowControl/>
        <w:spacing w:line="560" w:lineRule="exact"/>
        <w:ind w:firstLine="640"/>
        <w:rPr>
          <w:rFonts w:ascii="宋体" w:hAnsi="宋体" w:eastAsia="宋体" w:cs="宋体"/>
          <w:kern w:val="0"/>
          <w:szCs w:val="21"/>
        </w:rPr>
      </w:pPr>
      <w:r>
        <w:rPr>
          <w:rFonts w:hint="eastAsia" w:ascii="仿宋_GB2312" w:hAnsi="宋体" w:eastAsia="仿宋_GB2312" w:cs="宋体"/>
          <w:kern w:val="0"/>
          <w:sz w:val="32"/>
          <w:szCs w:val="32"/>
        </w:rPr>
        <w:t>根据《中华人民共和国政府信息公开条例》和《安徽省政务公开办公室关于做好</w:t>
      </w:r>
      <w:r>
        <w:rPr>
          <w:rFonts w:ascii="Times New Roman" w:hAnsi="Times New Roman" w:eastAsia="宋体" w:cs="Times New Roman"/>
          <w:kern w:val="0"/>
          <w:sz w:val="32"/>
          <w:szCs w:val="32"/>
        </w:rPr>
        <w:t>2023</w:t>
      </w:r>
      <w:r>
        <w:rPr>
          <w:rFonts w:hint="eastAsia" w:ascii="仿宋_GB2312" w:hAnsi="宋体" w:eastAsia="仿宋_GB2312" w:cs="宋体"/>
          <w:kern w:val="0"/>
          <w:sz w:val="32"/>
          <w:szCs w:val="32"/>
        </w:rPr>
        <w:t>年度政府信息公开工作年度报告编制和数据报送工作的通知》（皖政务办秘〔</w:t>
      </w:r>
      <w:r>
        <w:rPr>
          <w:rFonts w:ascii="Times New Roman" w:hAnsi="Times New Roman" w:eastAsia="宋体" w:cs="Times New Roman"/>
          <w:kern w:val="0"/>
          <w:sz w:val="32"/>
          <w:szCs w:val="32"/>
        </w:rPr>
        <w:t>2024</w:t>
      </w:r>
      <w:r>
        <w:rPr>
          <w:rFonts w:hint="eastAsia" w:ascii="仿宋_GB2312" w:hAnsi="宋体" w:eastAsia="仿宋_GB2312" w:cs="宋体"/>
          <w:kern w:val="0"/>
          <w:sz w:val="32"/>
          <w:szCs w:val="32"/>
        </w:rPr>
        <w:t>〕</w:t>
      </w:r>
      <w:r>
        <w:rPr>
          <w:rFonts w:ascii="Times New Roman" w:hAnsi="Times New Roman" w:eastAsia="宋体" w:cs="Times New Roman"/>
          <w:kern w:val="0"/>
          <w:sz w:val="32"/>
          <w:szCs w:val="32"/>
        </w:rPr>
        <w:t>2</w:t>
      </w:r>
      <w:r>
        <w:rPr>
          <w:rFonts w:hint="eastAsia" w:ascii="仿宋_GB2312" w:hAnsi="宋体" w:eastAsia="仿宋_GB2312" w:cs="宋体"/>
          <w:kern w:val="0"/>
          <w:sz w:val="32"/>
          <w:szCs w:val="32"/>
        </w:rPr>
        <w:t>号）、《六安市政务公开办公室关于做好</w:t>
      </w:r>
      <w:r>
        <w:rPr>
          <w:rFonts w:ascii="Times New Roman" w:hAnsi="Times New Roman" w:eastAsia="宋体" w:cs="Times New Roman"/>
          <w:kern w:val="0"/>
          <w:sz w:val="32"/>
          <w:szCs w:val="32"/>
        </w:rPr>
        <w:t>2023</w:t>
      </w:r>
      <w:r>
        <w:rPr>
          <w:rFonts w:hint="eastAsia" w:ascii="仿宋_GB2312" w:hAnsi="宋体" w:eastAsia="仿宋_GB2312" w:cs="宋体"/>
          <w:kern w:val="0"/>
          <w:sz w:val="32"/>
          <w:szCs w:val="32"/>
        </w:rPr>
        <w:t>年度政府信息公开年度报告编制和发布工作的通知》（六政务公开办〔</w:t>
      </w:r>
      <w:r>
        <w:rPr>
          <w:rFonts w:ascii="Times New Roman" w:hAnsi="Times New Roman" w:eastAsia="宋体" w:cs="Times New Roman"/>
          <w:kern w:val="0"/>
          <w:sz w:val="32"/>
          <w:szCs w:val="32"/>
        </w:rPr>
        <w:t>2024〕2</w:t>
      </w:r>
      <w:r>
        <w:rPr>
          <w:rFonts w:hint="eastAsia" w:ascii="仿宋" w:hAnsi="仿宋" w:eastAsia="仿宋" w:cs="宋体"/>
          <w:kern w:val="0"/>
          <w:sz w:val="32"/>
          <w:szCs w:val="32"/>
        </w:rPr>
        <w:t>号</w:t>
      </w:r>
      <w:r>
        <w:rPr>
          <w:rFonts w:ascii="Times New Roman" w:hAnsi="Times New Roman" w:eastAsia="宋体" w:cs="Times New Roman"/>
          <w:kern w:val="0"/>
          <w:sz w:val="32"/>
          <w:szCs w:val="32"/>
        </w:rPr>
        <w:t>）</w:t>
      </w:r>
      <w:r>
        <w:rPr>
          <w:rFonts w:hint="eastAsia" w:ascii="仿宋_GB2312" w:hAnsi="宋体" w:eastAsia="仿宋_GB2312" w:cs="宋体"/>
          <w:kern w:val="0"/>
          <w:sz w:val="32"/>
          <w:szCs w:val="32"/>
        </w:rPr>
        <w:t>文件要求，霍邱县司法局编制</w:t>
      </w:r>
      <w:r>
        <w:rPr>
          <w:rFonts w:ascii="Times New Roman" w:hAnsi="Times New Roman" w:eastAsia="宋体" w:cs="Times New Roman"/>
          <w:kern w:val="0"/>
          <w:sz w:val="32"/>
          <w:szCs w:val="32"/>
        </w:rPr>
        <w:t>2023</w:t>
      </w:r>
      <w:r>
        <w:rPr>
          <w:rFonts w:hint="eastAsia" w:ascii="仿宋_GB2312" w:hAnsi="宋体" w:eastAsia="仿宋_GB2312" w:cs="宋体"/>
          <w:kern w:val="0"/>
          <w:sz w:val="32"/>
          <w:szCs w:val="32"/>
        </w:rPr>
        <w:t>年政府信息公开年度报告。报告全文包括总体情况、主动公开政府信息情况、收到和处理政府信息公开申请情况、政府信息公开行政复议、行政诉讼情况、存在的主要问题及改进措施和其他需要报告事项等</w:t>
      </w:r>
      <w:r>
        <w:rPr>
          <w:rFonts w:ascii="Times New Roman" w:hAnsi="Times New Roman" w:eastAsia="宋体" w:cs="Times New Roman"/>
          <w:kern w:val="0"/>
          <w:sz w:val="32"/>
          <w:szCs w:val="32"/>
        </w:rPr>
        <w:t>6</w:t>
      </w:r>
      <w:r>
        <w:rPr>
          <w:rFonts w:hint="eastAsia" w:ascii="仿宋_GB2312" w:hAnsi="宋体" w:eastAsia="仿宋_GB2312" w:cs="宋体"/>
          <w:kern w:val="0"/>
          <w:sz w:val="32"/>
          <w:szCs w:val="32"/>
        </w:rPr>
        <w:t>方面内容。本年度报告中所列数据统计期限为</w:t>
      </w:r>
      <w:r>
        <w:rPr>
          <w:rFonts w:ascii="Times New Roman" w:hAnsi="Times New Roman" w:eastAsia="宋体" w:cs="Times New Roman"/>
          <w:kern w:val="0"/>
          <w:sz w:val="32"/>
          <w:szCs w:val="32"/>
        </w:rPr>
        <w:t>2023</w:t>
      </w:r>
      <w:r>
        <w:rPr>
          <w:rFonts w:hint="eastAsia" w:ascii="仿宋_GB2312" w:hAnsi="宋体" w:eastAsia="仿宋_GB2312" w:cs="宋体"/>
          <w:kern w:val="0"/>
          <w:sz w:val="32"/>
          <w:szCs w:val="32"/>
        </w:rPr>
        <w:t>年</w:t>
      </w:r>
      <w:r>
        <w:rPr>
          <w:rFonts w:ascii="Times New Roman" w:hAnsi="Times New Roman" w:eastAsia="宋体" w:cs="Times New Roman"/>
          <w:kern w:val="0"/>
          <w:sz w:val="32"/>
          <w:szCs w:val="32"/>
        </w:rPr>
        <w:t>1</w:t>
      </w:r>
      <w:r>
        <w:rPr>
          <w:rFonts w:hint="eastAsia" w:ascii="仿宋_GB2312" w:hAnsi="宋体" w:eastAsia="仿宋_GB2312" w:cs="宋体"/>
          <w:kern w:val="0"/>
          <w:sz w:val="32"/>
          <w:szCs w:val="32"/>
        </w:rPr>
        <w:t>月</w:t>
      </w:r>
      <w:r>
        <w:rPr>
          <w:rFonts w:ascii="Times New Roman" w:hAnsi="Times New Roman" w:eastAsia="宋体" w:cs="Times New Roman"/>
          <w:kern w:val="0"/>
          <w:sz w:val="32"/>
          <w:szCs w:val="32"/>
        </w:rPr>
        <w:t>1</w:t>
      </w:r>
      <w:r>
        <w:rPr>
          <w:rFonts w:hint="eastAsia" w:ascii="仿宋_GB2312" w:hAnsi="宋体" w:eastAsia="仿宋_GB2312" w:cs="宋体"/>
          <w:kern w:val="0"/>
          <w:sz w:val="32"/>
          <w:szCs w:val="32"/>
        </w:rPr>
        <w:t>日起至</w:t>
      </w:r>
      <w:r>
        <w:rPr>
          <w:rFonts w:ascii="Times New Roman" w:hAnsi="Times New Roman" w:eastAsia="宋体" w:cs="Times New Roman"/>
          <w:kern w:val="0"/>
          <w:sz w:val="32"/>
          <w:szCs w:val="32"/>
        </w:rPr>
        <w:t>2023</w:t>
      </w:r>
      <w:r>
        <w:rPr>
          <w:rFonts w:hint="eastAsia" w:ascii="仿宋_GB2312" w:hAnsi="宋体" w:eastAsia="仿宋_GB2312" w:cs="宋体"/>
          <w:kern w:val="0"/>
          <w:sz w:val="32"/>
          <w:szCs w:val="32"/>
        </w:rPr>
        <w:t>年</w:t>
      </w:r>
      <w:r>
        <w:rPr>
          <w:rFonts w:ascii="Times New Roman" w:hAnsi="Times New Roman" w:eastAsia="宋体" w:cs="Times New Roman"/>
          <w:kern w:val="0"/>
          <w:sz w:val="32"/>
          <w:szCs w:val="32"/>
        </w:rPr>
        <w:t>12</w:t>
      </w:r>
      <w:r>
        <w:rPr>
          <w:rFonts w:hint="eastAsia" w:ascii="仿宋_GB2312" w:hAnsi="宋体" w:eastAsia="仿宋_GB2312" w:cs="宋体"/>
          <w:kern w:val="0"/>
          <w:sz w:val="32"/>
          <w:szCs w:val="32"/>
        </w:rPr>
        <w:t>月</w:t>
      </w:r>
      <w:r>
        <w:rPr>
          <w:rFonts w:ascii="Times New Roman" w:hAnsi="Times New Roman" w:eastAsia="宋体" w:cs="Times New Roman"/>
          <w:kern w:val="0"/>
          <w:sz w:val="32"/>
          <w:szCs w:val="32"/>
        </w:rPr>
        <w:t>31</w:t>
      </w:r>
      <w:r>
        <w:rPr>
          <w:rFonts w:hint="eastAsia" w:ascii="仿宋_GB2312" w:hAnsi="宋体" w:eastAsia="仿宋_GB2312" w:cs="宋体"/>
          <w:kern w:val="0"/>
          <w:sz w:val="32"/>
          <w:szCs w:val="32"/>
        </w:rPr>
        <w:t>日。如对本报告有疑问，请与霍邱县司法局联系（地址：蓼城大道西北段；邮编：</w:t>
      </w:r>
      <w:r>
        <w:rPr>
          <w:rFonts w:ascii="Times New Roman" w:hAnsi="Times New Roman" w:eastAsia="宋体" w:cs="Times New Roman"/>
          <w:kern w:val="0"/>
          <w:sz w:val="32"/>
          <w:szCs w:val="32"/>
        </w:rPr>
        <w:t>237400</w:t>
      </w:r>
      <w:r>
        <w:rPr>
          <w:rFonts w:hint="eastAsia" w:ascii="仿宋_GB2312" w:hAnsi="宋体" w:eastAsia="仿宋_GB2312" w:cs="宋体"/>
          <w:kern w:val="0"/>
          <w:sz w:val="32"/>
          <w:szCs w:val="32"/>
        </w:rPr>
        <w:t>；联系电话：</w:t>
      </w:r>
      <w:r>
        <w:rPr>
          <w:rFonts w:ascii="Times New Roman" w:hAnsi="Times New Roman" w:eastAsia="宋体" w:cs="Times New Roman"/>
          <w:kern w:val="0"/>
          <w:sz w:val="32"/>
          <w:szCs w:val="32"/>
        </w:rPr>
        <w:t>0564-6373699</w:t>
      </w:r>
      <w:r>
        <w:rPr>
          <w:rFonts w:hint="eastAsia" w:ascii="仿宋_GB2312" w:hAnsi="宋体" w:eastAsia="仿宋_GB2312" w:cs="宋体"/>
          <w:kern w:val="0"/>
          <w:sz w:val="32"/>
          <w:szCs w:val="32"/>
        </w:rPr>
        <w:t>）。</w:t>
      </w:r>
    </w:p>
    <w:p>
      <w:pPr>
        <w:widowControl/>
        <w:spacing w:line="560" w:lineRule="exact"/>
        <w:ind w:firstLine="640"/>
        <w:rPr>
          <w:rFonts w:ascii="Calibri" w:hAnsi="Calibri" w:eastAsia="宋体" w:cs="Calibri"/>
          <w:kern w:val="0"/>
          <w:szCs w:val="21"/>
        </w:rPr>
      </w:pPr>
      <w:r>
        <w:rPr>
          <w:rFonts w:hint="eastAsia" w:ascii="黑体" w:hAnsi="黑体" w:eastAsia="黑体" w:cs="Calibri"/>
          <w:kern w:val="0"/>
          <w:sz w:val="32"/>
          <w:szCs w:val="32"/>
        </w:rPr>
        <w:t> 一、总体情况</w:t>
      </w:r>
    </w:p>
    <w:p>
      <w:pPr>
        <w:widowControl/>
        <w:spacing w:line="560" w:lineRule="exact"/>
        <w:ind w:firstLine="640"/>
        <w:rPr>
          <w:rFonts w:ascii="Calibri" w:hAnsi="Calibri" w:eastAsia="宋体" w:cs="Calibri"/>
          <w:kern w:val="0"/>
          <w:szCs w:val="21"/>
        </w:rPr>
      </w:pPr>
      <w:r>
        <w:rPr>
          <w:rFonts w:hint="eastAsia" w:ascii="楷体_GB2312" w:hAnsi="Calibri" w:eastAsia="楷体_GB2312" w:cs="Calibri"/>
          <w:kern w:val="0"/>
          <w:sz w:val="32"/>
          <w:szCs w:val="32"/>
        </w:rPr>
        <w:t>（一）主动公开情况</w:t>
      </w:r>
    </w:p>
    <w:p>
      <w:pPr>
        <w:widowControl/>
        <w:spacing w:line="560" w:lineRule="exact"/>
        <w:ind w:firstLine="640"/>
        <w:rPr>
          <w:rFonts w:ascii="Calibri" w:hAnsi="Calibri" w:eastAsia="宋体" w:cs="Calibri"/>
          <w:kern w:val="0"/>
          <w:szCs w:val="21"/>
        </w:rPr>
      </w:pPr>
      <w:r>
        <w:rPr>
          <w:rFonts w:ascii="Times New Roman" w:hAnsi="Times New Roman" w:eastAsia="宋体" w:cs="Times New Roman"/>
          <w:kern w:val="0"/>
          <w:sz w:val="32"/>
          <w:szCs w:val="32"/>
        </w:rPr>
        <w:t>2023</w:t>
      </w:r>
      <w:r>
        <w:rPr>
          <w:rFonts w:hint="eastAsia" w:ascii="仿宋_GB2312" w:hAnsi="Calibri" w:eastAsia="仿宋_GB2312" w:cs="Calibri"/>
          <w:kern w:val="0"/>
          <w:sz w:val="32"/>
          <w:szCs w:val="32"/>
        </w:rPr>
        <w:t>年，霍邱县司法局围绕建设法治政府和提供优质法律服务，及时更新政府信息。</w:t>
      </w:r>
      <w:bookmarkStart w:id="0" w:name="_GoBack"/>
      <w:bookmarkEnd w:id="0"/>
      <w:r>
        <w:rPr>
          <w:rFonts w:hint="eastAsia" w:ascii="仿宋_GB2312" w:hAnsi="Calibri" w:eastAsia="仿宋_GB2312" w:cs="Calibri"/>
          <w:b/>
          <w:bCs/>
          <w:kern w:val="0"/>
          <w:sz w:val="32"/>
          <w:szCs w:val="32"/>
        </w:rPr>
        <w:t>一是提升政府信息公开力度。</w:t>
      </w:r>
      <w:r>
        <w:rPr>
          <w:rFonts w:hint="eastAsia" w:ascii="仿宋_GB2312" w:hAnsi="Calibri" w:eastAsia="仿宋_GB2312" w:cs="Calibri"/>
          <w:kern w:val="0"/>
          <w:sz w:val="32"/>
          <w:szCs w:val="32"/>
        </w:rPr>
        <w:t>我局坚持</w:t>
      </w:r>
      <w:r>
        <w:rPr>
          <w:rFonts w:ascii="Times New Roman" w:hAnsi="Times New Roman" w:eastAsia="宋体" w:cs="Times New Roman"/>
          <w:kern w:val="0"/>
          <w:sz w:val="32"/>
          <w:szCs w:val="32"/>
        </w:rPr>
        <w:t>“</w:t>
      </w:r>
      <w:r>
        <w:rPr>
          <w:rFonts w:hint="eastAsia" w:ascii="仿宋_GB2312" w:hAnsi="Calibri" w:eastAsia="仿宋_GB2312" w:cs="Calibri"/>
          <w:kern w:val="0"/>
          <w:sz w:val="32"/>
          <w:szCs w:val="32"/>
        </w:rPr>
        <w:t>公开为常态、不公开为例外</w:t>
      </w:r>
      <w:r>
        <w:rPr>
          <w:rFonts w:ascii="Times New Roman" w:hAnsi="Times New Roman" w:eastAsia="宋体" w:cs="Times New Roman"/>
          <w:kern w:val="0"/>
          <w:sz w:val="32"/>
          <w:szCs w:val="32"/>
        </w:rPr>
        <w:t>”</w:t>
      </w:r>
      <w:r>
        <w:rPr>
          <w:rFonts w:hint="eastAsia" w:ascii="仿宋_GB2312" w:hAnsi="Calibri" w:eastAsia="仿宋_GB2312" w:cs="Calibri"/>
          <w:kern w:val="0"/>
          <w:sz w:val="32"/>
          <w:szCs w:val="32"/>
        </w:rPr>
        <w:t>的原则，妥善处理公开与保密的关系，及时公开我局政府信息。</w:t>
      </w:r>
      <w:r>
        <w:rPr>
          <w:rFonts w:ascii="Times New Roman" w:hAnsi="Times New Roman" w:eastAsia="宋体" w:cs="Times New Roman"/>
          <w:kern w:val="0"/>
          <w:sz w:val="32"/>
          <w:szCs w:val="32"/>
        </w:rPr>
        <w:t>2023</w:t>
      </w:r>
      <w:r>
        <w:rPr>
          <w:rFonts w:hint="eastAsia" w:ascii="仿宋_GB2312" w:hAnsi="Calibri" w:eastAsia="仿宋_GB2312" w:cs="Calibri"/>
          <w:kern w:val="0"/>
          <w:sz w:val="32"/>
          <w:szCs w:val="32"/>
        </w:rPr>
        <w:t>年我局主动发布信息共计</w:t>
      </w:r>
      <w:r>
        <w:rPr>
          <w:rFonts w:ascii="Times New Roman" w:hAnsi="Times New Roman" w:eastAsia="宋体" w:cs="Times New Roman"/>
          <w:kern w:val="0"/>
          <w:sz w:val="32"/>
          <w:szCs w:val="32"/>
        </w:rPr>
        <w:t>334</w:t>
      </w:r>
      <w:r>
        <w:rPr>
          <w:rFonts w:hint="eastAsia" w:ascii="仿宋_GB2312" w:hAnsi="Calibri" w:eastAsia="仿宋_GB2312" w:cs="Calibri"/>
          <w:kern w:val="0"/>
          <w:sz w:val="32"/>
          <w:szCs w:val="32"/>
        </w:rPr>
        <w:t>条，其中回应关切</w:t>
      </w:r>
      <w:r>
        <w:rPr>
          <w:rFonts w:ascii="Times New Roman" w:hAnsi="Times New Roman" w:eastAsia="宋体" w:cs="Times New Roman"/>
          <w:kern w:val="0"/>
          <w:sz w:val="32"/>
          <w:szCs w:val="32"/>
        </w:rPr>
        <w:t>34</w:t>
      </w:r>
      <w:r>
        <w:rPr>
          <w:rFonts w:hint="eastAsia" w:ascii="仿宋_GB2312" w:hAnsi="Calibri" w:eastAsia="仿宋_GB2312" w:cs="Calibri"/>
          <w:kern w:val="0"/>
          <w:sz w:val="32"/>
          <w:szCs w:val="32"/>
        </w:rPr>
        <w:t>条，召开新闻发布会</w:t>
      </w:r>
      <w:r>
        <w:rPr>
          <w:rFonts w:ascii="Times New Roman" w:hAnsi="Times New Roman" w:eastAsia="宋体" w:cs="Times New Roman"/>
          <w:kern w:val="0"/>
          <w:sz w:val="32"/>
          <w:szCs w:val="32"/>
        </w:rPr>
        <w:t>1</w:t>
      </w:r>
      <w:r>
        <w:rPr>
          <w:rFonts w:hint="eastAsia" w:ascii="仿宋_GB2312" w:hAnsi="Calibri" w:eastAsia="仿宋_GB2312" w:cs="Calibri"/>
          <w:kern w:val="0"/>
          <w:sz w:val="32"/>
          <w:szCs w:val="32"/>
        </w:rPr>
        <w:t>次。</w:t>
      </w:r>
      <w:r>
        <w:rPr>
          <w:rFonts w:hint="eastAsia" w:ascii="仿宋_GB2312" w:hAnsi="Calibri" w:eastAsia="仿宋_GB2312" w:cs="Calibri"/>
          <w:b/>
          <w:bCs/>
          <w:kern w:val="0"/>
          <w:sz w:val="32"/>
          <w:szCs w:val="32"/>
        </w:rPr>
        <w:t>二是切实提高政策解读质量。</w:t>
      </w:r>
      <w:r>
        <w:rPr>
          <w:rFonts w:hint="eastAsia" w:ascii="仿宋_GB2312" w:hAnsi="Calibri" w:eastAsia="仿宋_GB2312" w:cs="Calibri"/>
          <w:kern w:val="0"/>
          <w:sz w:val="32"/>
          <w:szCs w:val="32"/>
        </w:rPr>
        <w:t>注重对政策背景、出台目的、重要举措等方面的实质性解读，采取文字解读、新闻发布会、图片解读等多种形式对政策文件进行及时解读。本年度累计发布上级政策解读</w:t>
      </w:r>
      <w:r>
        <w:rPr>
          <w:rFonts w:ascii="Times New Roman" w:hAnsi="Times New Roman" w:eastAsia="宋体" w:cs="Times New Roman"/>
          <w:kern w:val="0"/>
          <w:sz w:val="32"/>
          <w:szCs w:val="32"/>
        </w:rPr>
        <w:t>14</w:t>
      </w:r>
      <w:r>
        <w:rPr>
          <w:rFonts w:hint="eastAsia" w:ascii="仿宋_GB2312" w:hAnsi="Calibri" w:eastAsia="仿宋_GB2312" w:cs="Calibri"/>
          <w:kern w:val="0"/>
          <w:sz w:val="32"/>
          <w:szCs w:val="32"/>
        </w:rPr>
        <w:t>件。本级政策解读</w:t>
      </w:r>
      <w:r>
        <w:rPr>
          <w:rFonts w:ascii="Times New Roman" w:hAnsi="Times New Roman" w:eastAsia="宋体" w:cs="Times New Roman"/>
          <w:kern w:val="0"/>
          <w:sz w:val="32"/>
          <w:szCs w:val="32"/>
        </w:rPr>
        <w:t>4</w:t>
      </w:r>
      <w:r>
        <w:rPr>
          <w:rFonts w:hint="eastAsia" w:ascii="仿宋_GB2312" w:hAnsi="Calibri" w:eastAsia="仿宋_GB2312" w:cs="Calibri"/>
          <w:kern w:val="0"/>
          <w:sz w:val="32"/>
          <w:szCs w:val="32"/>
        </w:rPr>
        <w:t>件，其中新闻发布会</w:t>
      </w:r>
      <w:r>
        <w:rPr>
          <w:rFonts w:ascii="Times New Roman" w:hAnsi="Times New Roman" w:eastAsia="宋体" w:cs="Times New Roman"/>
          <w:kern w:val="0"/>
          <w:sz w:val="32"/>
          <w:szCs w:val="32"/>
        </w:rPr>
        <w:t>1</w:t>
      </w:r>
      <w:r>
        <w:rPr>
          <w:rFonts w:hint="eastAsia" w:ascii="仿宋_GB2312" w:hAnsi="Calibri" w:eastAsia="仿宋_GB2312" w:cs="Calibri"/>
          <w:kern w:val="0"/>
          <w:sz w:val="32"/>
          <w:szCs w:val="32"/>
        </w:rPr>
        <w:t>件。</w:t>
      </w:r>
      <w:r>
        <w:rPr>
          <w:rFonts w:hint="eastAsia" w:ascii="仿宋_GB2312" w:hAnsi="Calibri" w:eastAsia="仿宋_GB2312" w:cs="Calibri"/>
          <w:b/>
          <w:bCs/>
          <w:kern w:val="0"/>
          <w:sz w:val="32"/>
          <w:szCs w:val="32"/>
        </w:rPr>
        <w:t>三是提升基层信息公开水平。</w:t>
      </w:r>
      <w:r>
        <w:rPr>
          <w:rFonts w:hint="eastAsia" w:ascii="仿宋_GB2312" w:hAnsi="Calibri" w:eastAsia="仿宋_GB2312" w:cs="Calibri"/>
          <w:kern w:val="0"/>
          <w:sz w:val="32"/>
          <w:szCs w:val="32"/>
        </w:rPr>
        <w:t>紧扣人民群众需求和社会关注的重点、热点和难点问题，充实公开内容，严格按照公共法律服务领域事项目录，进一步明确公开的范围、内容和形式。全年，共发布公共法律服务领域信息</w:t>
      </w:r>
      <w:r>
        <w:rPr>
          <w:rFonts w:ascii="Times New Roman" w:hAnsi="Times New Roman" w:eastAsia="宋体" w:cs="Times New Roman"/>
          <w:kern w:val="0"/>
          <w:sz w:val="32"/>
          <w:szCs w:val="32"/>
        </w:rPr>
        <w:t>123</w:t>
      </w:r>
      <w:r>
        <w:rPr>
          <w:rFonts w:hint="eastAsia" w:ascii="仿宋_GB2312" w:hAnsi="Calibri" w:eastAsia="仿宋_GB2312" w:cs="Calibri"/>
          <w:kern w:val="0"/>
          <w:sz w:val="32"/>
          <w:szCs w:val="32"/>
        </w:rPr>
        <w:t>条。</w:t>
      </w:r>
    </w:p>
    <w:p>
      <w:pPr>
        <w:widowControl/>
        <w:spacing w:line="560" w:lineRule="exact"/>
        <w:ind w:firstLine="640"/>
        <w:rPr>
          <w:rFonts w:ascii="Calibri" w:hAnsi="Calibri" w:eastAsia="宋体" w:cs="Calibri"/>
          <w:kern w:val="0"/>
          <w:szCs w:val="21"/>
        </w:rPr>
      </w:pPr>
      <w:r>
        <w:rPr>
          <w:rFonts w:hint="eastAsia" w:ascii="楷体_GB2312" w:hAnsi="Calibri" w:eastAsia="楷体_GB2312" w:cs="Calibri"/>
          <w:kern w:val="0"/>
          <w:sz w:val="32"/>
          <w:szCs w:val="32"/>
        </w:rPr>
        <w:t>（二）依申请公开</w:t>
      </w:r>
    </w:p>
    <w:p>
      <w:pPr>
        <w:widowControl/>
        <w:spacing w:line="560" w:lineRule="exact"/>
        <w:ind w:firstLine="640"/>
        <w:rPr>
          <w:rFonts w:ascii="Calibri" w:hAnsi="Calibri" w:eastAsia="宋体" w:cs="Calibri"/>
          <w:kern w:val="0"/>
          <w:szCs w:val="21"/>
        </w:rPr>
      </w:pPr>
      <w:r>
        <w:rPr>
          <w:rFonts w:hint="eastAsia" w:ascii="仿宋_GB2312" w:hAnsi="Calibri" w:eastAsia="仿宋_GB2312" w:cs="Calibri"/>
          <w:kern w:val="0"/>
          <w:sz w:val="32"/>
          <w:szCs w:val="32"/>
        </w:rPr>
        <w:t>认真贯彻落实《国务院办公厅关于做好政府信息依申请公开工作的意见》，拓宽政民互动渠道，保障电话、网络、当面提交等申请方式畅通，落实专人办理。</w:t>
      </w:r>
      <w:r>
        <w:rPr>
          <w:rFonts w:ascii="Times New Roman" w:hAnsi="Times New Roman" w:eastAsia="宋体" w:cs="Times New Roman"/>
          <w:kern w:val="0"/>
          <w:sz w:val="32"/>
          <w:szCs w:val="32"/>
        </w:rPr>
        <w:t>2023</w:t>
      </w:r>
      <w:r>
        <w:rPr>
          <w:rFonts w:hint="eastAsia" w:ascii="仿宋_GB2312" w:hAnsi="Calibri" w:eastAsia="仿宋_GB2312" w:cs="Calibri"/>
          <w:kern w:val="0"/>
          <w:sz w:val="32"/>
          <w:szCs w:val="32"/>
        </w:rPr>
        <w:t>年度未收到依申请公开申请事项。</w:t>
      </w:r>
    </w:p>
    <w:p>
      <w:pPr>
        <w:widowControl/>
        <w:spacing w:line="560" w:lineRule="exact"/>
        <w:ind w:firstLine="640"/>
        <w:rPr>
          <w:rFonts w:ascii="Calibri" w:hAnsi="Calibri" w:eastAsia="宋体" w:cs="Calibri"/>
          <w:kern w:val="0"/>
          <w:szCs w:val="21"/>
        </w:rPr>
      </w:pPr>
      <w:r>
        <w:rPr>
          <w:rFonts w:hint="eastAsia" w:ascii="楷体_GB2312" w:hAnsi="Calibri" w:eastAsia="楷体_GB2312" w:cs="Calibri"/>
          <w:kern w:val="0"/>
          <w:sz w:val="32"/>
          <w:szCs w:val="32"/>
        </w:rPr>
        <w:t>（三）政府信息管理</w:t>
      </w:r>
    </w:p>
    <w:p>
      <w:pPr>
        <w:widowControl/>
        <w:spacing w:line="560" w:lineRule="exact"/>
        <w:ind w:firstLine="640"/>
        <w:rPr>
          <w:rFonts w:ascii="Calibri" w:hAnsi="Calibri" w:eastAsia="宋体" w:cs="Calibri"/>
          <w:kern w:val="0"/>
          <w:szCs w:val="21"/>
        </w:rPr>
      </w:pPr>
      <w:r>
        <w:rPr>
          <w:rFonts w:hint="eastAsia" w:ascii="仿宋_GB2312" w:hAnsi="Calibri" w:eastAsia="仿宋_GB2312" w:cs="Calibri"/>
          <w:kern w:val="0"/>
          <w:sz w:val="32"/>
          <w:szCs w:val="32"/>
        </w:rPr>
        <w:t>不断扩大主动公开的范围和深度，确保群众看得到、易获取、能监督。建立健全政务公开信息三审制度，按照</w:t>
      </w:r>
      <w:r>
        <w:rPr>
          <w:rFonts w:ascii="Times New Roman" w:hAnsi="Times New Roman" w:eastAsia="宋体" w:cs="Times New Roman"/>
          <w:kern w:val="0"/>
          <w:sz w:val="32"/>
          <w:szCs w:val="32"/>
        </w:rPr>
        <w:t>“</w:t>
      </w:r>
      <w:r>
        <w:rPr>
          <w:rFonts w:hint="eastAsia" w:ascii="仿宋_GB2312" w:hAnsi="Calibri" w:eastAsia="仿宋_GB2312" w:cs="Calibri"/>
          <w:kern w:val="0"/>
          <w:sz w:val="32"/>
          <w:szCs w:val="32"/>
        </w:rPr>
        <w:t>谁发布，谁审查</w:t>
      </w:r>
      <w:r>
        <w:rPr>
          <w:rFonts w:ascii="Times New Roman" w:hAnsi="Times New Roman" w:eastAsia="宋体" w:cs="Times New Roman"/>
          <w:kern w:val="0"/>
          <w:sz w:val="32"/>
          <w:szCs w:val="32"/>
        </w:rPr>
        <w:t>”</w:t>
      </w:r>
      <w:r>
        <w:rPr>
          <w:rFonts w:hint="eastAsia" w:ascii="仿宋_GB2312" w:hAnsi="Calibri" w:eastAsia="仿宋_GB2312" w:cs="Calibri"/>
          <w:kern w:val="0"/>
          <w:sz w:val="32"/>
          <w:szCs w:val="32"/>
        </w:rPr>
        <w:t>和</w:t>
      </w:r>
      <w:r>
        <w:rPr>
          <w:rFonts w:ascii="Times New Roman" w:hAnsi="Times New Roman" w:eastAsia="宋体" w:cs="Times New Roman"/>
          <w:kern w:val="0"/>
          <w:sz w:val="32"/>
          <w:szCs w:val="32"/>
        </w:rPr>
        <w:t>“</w:t>
      </w:r>
      <w:r>
        <w:rPr>
          <w:rFonts w:hint="eastAsia" w:ascii="仿宋_GB2312" w:hAnsi="Calibri" w:eastAsia="仿宋_GB2312" w:cs="Calibri"/>
          <w:kern w:val="0"/>
          <w:sz w:val="32"/>
          <w:szCs w:val="32"/>
        </w:rPr>
        <w:t>涉密审查</w:t>
      </w:r>
      <w:r>
        <w:rPr>
          <w:rFonts w:ascii="Times New Roman" w:hAnsi="Times New Roman" w:eastAsia="宋体" w:cs="Times New Roman"/>
          <w:kern w:val="0"/>
          <w:sz w:val="32"/>
          <w:szCs w:val="32"/>
        </w:rPr>
        <w:t>”</w:t>
      </w:r>
      <w:r>
        <w:rPr>
          <w:rFonts w:hint="eastAsia" w:ascii="仿宋_GB2312" w:hAnsi="Calibri" w:eastAsia="仿宋_GB2312" w:cs="Calibri"/>
          <w:kern w:val="0"/>
          <w:sz w:val="32"/>
          <w:szCs w:val="32"/>
        </w:rPr>
        <w:t>的原则，确保政务公开信息的准确性、及时性。严格依照《中华人民共和国保守国家秘密法》等相关法律、法规，定期开展网站普查和专项排查，重点排查涉密、错敏词和泄漏隐私等信息。严格按照程序制定、清理规范性文件。经我单位清理，</w:t>
      </w:r>
      <w:r>
        <w:rPr>
          <w:rFonts w:ascii="Times New Roman" w:hAnsi="Times New Roman" w:eastAsia="宋体" w:cs="Times New Roman"/>
          <w:kern w:val="0"/>
          <w:sz w:val="32"/>
          <w:szCs w:val="32"/>
        </w:rPr>
        <w:t>2023</w:t>
      </w:r>
      <w:r>
        <w:rPr>
          <w:rFonts w:hint="eastAsia" w:ascii="仿宋_GB2312" w:hAnsi="Calibri" w:eastAsia="仿宋_GB2312" w:cs="Calibri"/>
          <w:kern w:val="0"/>
          <w:sz w:val="32"/>
          <w:szCs w:val="32"/>
        </w:rPr>
        <w:t>年我局无新增、修改、废止规范性文件。</w:t>
      </w:r>
    </w:p>
    <w:p>
      <w:pPr>
        <w:widowControl/>
        <w:spacing w:line="560" w:lineRule="exact"/>
        <w:ind w:firstLine="640"/>
        <w:rPr>
          <w:rFonts w:ascii="Calibri" w:hAnsi="Calibri" w:eastAsia="宋体" w:cs="Calibri"/>
          <w:kern w:val="0"/>
          <w:szCs w:val="21"/>
        </w:rPr>
      </w:pPr>
      <w:r>
        <w:rPr>
          <w:rFonts w:hint="eastAsia" w:ascii="楷体_GB2312" w:hAnsi="Calibri" w:eastAsia="楷体_GB2312" w:cs="Calibri"/>
          <w:kern w:val="0"/>
          <w:sz w:val="32"/>
          <w:szCs w:val="32"/>
        </w:rPr>
        <w:t>（四）政府信息公开平台建设情况</w:t>
      </w:r>
    </w:p>
    <w:p>
      <w:pPr>
        <w:widowControl/>
        <w:spacing w:line="560" w:lineRule="exact"/>
        <w:ind w:firstLine="640"/>
        <w:rPr>
          <w:rFonts w:ascii="Calibri" w:hAnsi="Calibri" w:eastAsia="宋体" w:cs="Calibri"/>
          <w:kern w:val="0"/>
          <w:szCs w:val="21"/>
        </w:rPr>
      </w:pPr>
      <w:r>
        <w:rPr>
          <w:rFonts w:ascii="Times New Roman" w:hAnsi="Times New Roman" w:eastAsia="宋体" w:cs="Times New Roman"/>
          <w:kern w:val="0"/>
          <w:sz w:val="32"/>
          <w:szCs w:val="32"/>
        </w:rPr>
        <w:t>2023</w:t>
      </w:r>
      <w:r>
        <w:rPr>
          <w:rFonts w:hint="eastAsia" w:ascii="仿宋_GB2312" w:hAnsi="Calibri" w:eastAsia="仿宋_GB2312" w:cs="Calibri"/>
          <w:kern w:val="0"/>
          <w:sz w:val="32"/>
          <w:szCs w:val="32"/>
        </w:rPr>
        <w:t>年，我局加强平台建设和栏目管理，明确</w:t>
      </w:r>
      <w:r>
        <w:rPr>
          <w:rFonts w:ascii="Times New Roman" w:hAnsi="Times New Roman" w:eastAsia="宋体" w:cs="Times New Roman"/>
          <w:kern w:val="0"/>
          <w:sz w:val="32"/>
          <w:szCs w:val="32"/>
        </w:rPr>
        <w:t>1</w:t>
      </w:r>
      <w:r>
        <w:rPr>
          <w:rFonts w:hint="eastAsia" w:ascii="仿宋_GB2312" w:hAnsi="Calibri" w:eastAsia="仿宋_GB2312" w:cs="Calibri"/>
          <w:kern w:val="0"/>
          <w:sz w:val="32"/>
          <w:szCs w:val="32"/>
        </w:rPr>
        <w:t>名业务经办人员负责平台维护和资料收集等工作，以服务好群众为目标，积极回应社会关切，发挥好政务公开网主平台作用，做到准确、全面、及时发布司法行政工作有关信息。根据县政务公开办要求，对照霍邱县权责清单目录，及时取消</w:t>
      </w:r>
      <w:r>
        <w:rPr>
          <w:rFonts w:ascii="Times New Roman" w:hAnsi="Times New Roman" w:eastAsia="宋体" w:cs="Times New Roman"/>
          <w:kern w:val="0"/>
          <w:sz w:val="32"/>
          <w:szCs w:val="32"/>
        </w:rPr>
        <w:t>2</w:t>
      </w:r>
      <w:r>
        <w:rPr>
          <w:rFonts w:hint="eastAsia" w:ascii="仿宋_GB2312" w:hAnsi="Calibri" w:eastAsia="仿宋_GB2312" w:cs="Calibri"/>
          <w:kern w:val="0"/>
          <w:sz w:val="32"/>
          <w:szCs w:val="32"/>
        </w:rPr>
        <w:t>类栏目，分别为行政奖励和行政裁决。</w:t>
      </w:r>
    </w:p>
    <w:p>
      <w:pPr>
        <w:widowControl/>
        <w:spacing w:line="560" w:lineRule="exact"/>
        <w:ind w:firstLine="640"/>
        <w:rPr>
          <w:rFonts w:ascii="Calibri" w:hAnsi="Calibri" w:eastAsia="宋体" w:cs="Calibri"/>
          <w:kern w:val="0"/>
          <w:szCs w:val="21"/>
        </w:rPr>
      </w:pPr>
      <w:r>
        <w:rPr>
          <w:rFonts w:hint="eastAsia" w:ascii="楷体_GB2312" w:hAnsi="Calibri" w:eastAsia="楷体_GB2312" w:cs="Calibri"/>
          <w:kern w:val="0"/>
          <w:sz w:val="32"/>
          <w:szCs w:val="32"/>
        </w:rPr>
        <w:t>（五）监督目录</w:t>
      </w:r>
    </w:p>
    <w:p>
      <w:pPr>
        <w:widowControl/>
        <w:spacing w:line="560" w:lineRule="exact"/>
        <w:ind w:firstLine="640"/>
        <w:rPr>
          <w:rFonts w:ascii="Calibri" w:hAnsi="Calibri" w:eastAsia="宋体" w:cs="Calibri"/>
          <w:kern w:val="0"/>
          <w:szCs w:val="21"/>
        </w:rPr>
      </w:pPr>
      <w:r>
        <w:rPr>
          <w:rFonts w:hint="eastAsia" w:ascii="仿宋_GB2312" w:hAnsi="Calibri" w:eastAsia="仿宋_GB2312" w:cs="Calibri"/>
          <w:kern w:val="0"/>
          <w:sz w:val="32"/>
          <w:szCs w:val="32"/>
        </w:rPr>
        <w:t>公开监督举报电话、信箱等，多渠道接受群众利害关系人员及社会各界的监督。根据市、县政务公开办监测反馈问题，安排专人逐条对照问题清单及时整改到位，形成整改情况报告和整改清单，按季度在</w:t>
      </w:r>
      <w:r>
        <w:rPr>
          <w:rFonts w:ascii="Times New Roman" w:hAnsi="Times New Roman" w:eastAsia="宋体" w:cs="Times New Roman"/>
          <w:kern w:val="0"/>
          <w:sz w:val="32"/>
          <w:szCs w:val="32"/>
        </w:rPr>
        <w:t>“</w:t>
      </w:r>
      <w:r>
        <w:rPr>
          <w:rFonts w:hint="eastAsia" w:ascii="仿宋_GB2312" w:hAnsi="Calibri" w:eastAsia="仿宋_GB2312" w:cs="Calibri"/>
          <w:kern w:val="0"/>
          <w:sz w:val="32"/>
          <w:szCs w:val="32"/>
        </w:rPr>
        <w:t>监督保障</w:t>
      </w:r>
      <w:r>
        <w:rPr>
          <w:rFonts w:ascii="Times New Roman" w:hAnsi="Times New Roman" w:eastAsia="宋体" w:cs="Times New Roman"/>
          <w:kern w:val="0"/>
          <w:sz w:val="32"/>
          <w:szCs w:val="32"/>
        </w:rPr>
        <w:t>”</w:t>
      </w:r>
      <w:r>
        <w:rPr>
          <w:rFonts w:hint="eastAsia" w:ascii="仿宋_GB2312" w:hAnsi="Calibri" w:eastAsia="仿宋_GB2312" w:cs="Calibri"/>
          <w:kern w:val="0"/>
          <w:sz w:val="32"/>
          <w:szCs w:val="32"/>
        </w:rPr>
        <w:t>栏目中公开。收集评议信息，针对评议发现的问题，及时落实整改，全年未收到社会差评或其他不满意现象。将信息公开纳入年度考核，强化监督检查，保障信息政务公开工作落到实处。</w:t>
      </w:r>
    </w:p>
    <w:p>
      <w:pPr>
        <w:widowControl/>
        <w:spacing w:line="560" w:lineRule="exact"/>
        <w:ind w:firstLine="640"/>
        <w:rPr>
          <w:rFonts w:ascii="Calibri" w:hAnsi="Calibri" w:eastAsia="宋体" w:cs="Calibri"/>
          <w:kern w:val="0"/>
          <w:szCs w:val="21"/>
        </w:rPr>
      </w:pPr>
      <w:r>
        <w:rPr>
          <w:rFonts w:hint="eastAsia" w:ascii="黑体" w:hAnsi="黑体" w:eastAsia="黑体" w:cs="Calibri"/>
          <w:kern w:val="0"/>
          <w:sz w:val="32"/>
          <w:szCs w:val="32"/>
        </w:rPr>
        <w:t>二、主动公开政府信息情况</w:t>
      </w:r>
    </w:p>
    <w:tbl>
      <w:tblPr>
        <w:tblStyle w:val="4"/>
        <w:tblW w:w="9735" w:type="dxa"/>
        <w:jc w:val="center"/>
        <w:tblLayout w:type="autofit"/>
        <w:tblCellMar>
          <w:top w:w="0" w:type="dxa"/>
          <w:left w:w="0" w:type="dxa"/>
          <w:bottom w:w="0" w:type="dxa"/>
          <w:right w:w="0" w:type="dxa"/>
        </w:tblCellMar>
      </w:tblPr>
      <w:tblGrid>
        <w:gridCol w:w="2433"/>
        <w:gridCol w:w="2434"/>
        <w:gridCol w:w="2434"/>
        <w:gridCol w:w="2434"/>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6" w:space="0"/>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信息内容</w:t>
            </w:r>
          </w:p>
        </w:tc>
        <w:tc>
          <w:tcPr>
            <w:tcW w:w="2435"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本年制发件数</w:t>
            </w:r>
          </w:p>
        </w:tc>
        <w:tc>
          <w:tcPr>
            <w:tcW w:w="2435"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本年废止件数</w:t>
            </w:r>
          </w:p>
        </w:tc>
        <w:tc>
          <w:tcPr>
            <w:tcW w:w="2435"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现行有效件数</w:t>
            </w:r>
          </w:p>
        </w:tc>
      </w:tr>
      <w:tr>
        <w:tblPrEx>
          <w:tblCellMar>
            <w:top w:w="0" w:type="dxa"/>
            <w:left w:w="0" w:type="dxa"/>
            <w:bottom w:w="0" w:type="dxa"/>
            <w:right w:w="0" w:type="dxa"/>
          </w:tblCellMar>
        </w:tblPrEx>
        <w:trPr>
          <w:trHeight w:val="459" w:hRule="atLeast"/>
          <w:jc w:val="center"/>
        </w:trPr>
        <w:tc>
          <w:tcPr>
            <w:tcW w:w="2435" w:type="dxa"/>
            <w:tcBorders>
              <w:top w:val="nil"/>
              <w:left w:val="single" w:color="auto" w:sz="6" w:space="0"/>
              <w:bottom w:val="single" w:color="auto" w:sz="6" w:space="0"/>
              <w:right w:val="single" w:color="auto" w:sz="6" w:space="0"/>
            </w:tcBorders>
            <w:tcMar>
              <w:top w:w="0" w:type="dxa"/>
              <w:left w:w="57" w:type="dxa"/>
              <w:bottom w:w="0" w:type="dxa"/>
              <w:right w:w="57" w:type="dxa"/>
            </w:tcMar>
            <w:vAlign w:val="center"/>
          </w:tcPr>
          <w:p>
            <w:pPr>
              <w:widowControl/>
              <w:spacing w:line="560" w:lineRule="exact"/>
              <w:jc w:val="left"/>
              <w:rPr>
                <w:rFonts w:ascii="Calibri" w:hAnsi="Calibri" w:eastAsia="宋体" w:cs="Calibri"/>
                <w:kern w:val="0"/>
                <w:szCs w:val="21"/>
              </w:rPr>
            </w:pPr>
            <w:r>
              <w:rPr>
                <w:rFonts w:hint="eastAsia" w:ascii="宋体" w:hAnsi="宋体" w:eastAsia="宋体" w:cs="Calibri"/>
                <w:color w:val="000000"/>
                <w:kern w:val="0"/>
                <w:sz w:val="20"/>
                <w:szCs w:val="20"/>
              </w:rPr>
              <w:t>规章</w:t>
            </w:r>
          </w:p>
        </w:tc>
        <w:tc>
          <w:tcPr>
            <w:tcW w:w="2435"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2435"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2435"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tcMar>
              <w:top w:w="0" w:type="dxa"/>
              <w:left w:w="57" w:type="dxa"/>
              <w:bottom w:w="0" w:type="dxa"/>
              <w:right w:w="57" w:type="dxa"/>
            </w:tcMar>
            <w:vAlign w:val="center"/>
          </w:tcPr>
          <w:p>
            <w:pPr>
              <w:widowControl/>
              <w:spacing w:line="560" w:lineRule="exact"/>
              <w:jc w:val="left"/>
              <w:rPr>
                <w:rFonts w:ascii="Calibri" w:hAnsi="Calibri" w:eastAsia="宋体" w:cs="Calibri"/>
                <w:kern w:val="0"/>
                <w:szCs w:val="21"/>
              </w:rPr>
            </w:pPr>
            <w:r>
              <w:rPr>
                <w:rFonts w:hint="eastAsia" w:ascii="宋体" w:hAnsi="宋体" w:eastAsia="宋体" w:cs="Calibri"/>
                <w:color w:val="000000"/>
                <w:kern w:val="0"/>
                <w:sz w:val="20"/>
                <w:szCs w:val="20"/>
              </w:rPr>
              <w:t>行政规范性文件</w:t>
            </w:r>
          </w:p>
        </w:tc>
        <w:tc>
          <w:tcPr>
            <w:tcW w:w="2435"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2435"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2435"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信息内容</w:t>
            </w:r>
          </w:p>
        </w:tc>
        <w:tc>
          <w:tcPr>
            <w:tcW w:w="7305" w:type="dxa"/>
            <w:gridSpan w:val="3"/>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tcMar>
              <w:top w:w="0" w:type="dxa"/>
              <w:left w:w="57" w:type="dxa"/>
              <w:bottom w:w="0" w:type="dxa"/>
              <w:right w:w="57" w:type="dxa"/>
            </w:tcMar>
            <w:vAlign w:val="center"/>
          </w:tcPr>
          <w:p>
            <w:pPr>
              <w:widowControl/>
              <w:spacing w:line="560" w:lineRule="exact"/>
              <w:jc w:val="left"/>
              <w:rPr>
                <w:rFonts w:ascii="Calibri" w:hAnsi="Calibri" w:eastAsia="宋体" w:cs="Calibri"/>
                <w:kern w:val="0"/>
                <w:szCs w:val="21"/>
              </w:rPr>
            </w:pPr>
            <w:r>
              <w:rPr>
                <w:rFonts w:hint="eastAsia" w:ascii="宋体" w:hAnsi="宋体" w:eastAsia="宋体" w:cs="Calibri"/>
                <w:color w:val="000000"/>
                <w:kern w:val="0"/>
                <w:sz w:val="20"/>
                <w:szCs w:val="20"/>
              </w:rPr>
              <w:t>行政许可</w:t>
            </w:r>
          </w:p>
        </w:tc>
        <w:tc>
          <w:tcPr>
            <w:tcW w:w="7305" w:type="dxa"/>
            <w:gridSpan w:val="3"/>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Cs w:val="21"/>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信息内容</w:t>
            </w:r>
          </w:p>
        </w:tc>
        <w:tc>
          <w:tcPr>
            <w:tcW w:w="7305" w:type="dxa"/>
            <w:gridSpan w:val="3"/>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本年处理决定数量</w:t>
            </w:r>
          </w:p>
        </w:tc>
      </w:tr>
      <w:tr>
        <w:tblPrEx>
          <w:tblCellMar>
            <w:top w:w="0" w:type="dxa"/>
            <w:left w:w="0" w:type="dxa"/>
            <w:bottom w:w="0" w:type="dxa"/>
            <w:right w:w="0" w:type="dxa"/>
          </w:tblCellMar>
        </w:tblPrEx>
        <w:trPr>
          <w:trHeight w:val="414" w:hRule="atLeast"/>
          <w:jc w:val="center"/>
        </w:trPr>
        <w:tc>
          <w:tcPr>
            <w:tcW w:w="2435" w:type="dxa"/>
            <w:tcBorders>
              <w:top w:val="nil"/>
              <w:left w:val="single" w:color="auto" w:sz="6" w:space="0"/>
              <w:bottom w:val="single" w:color="auto" w:sz="6" w:space="0"/>
              <w:right w:val="single" w:color="auto" w:sz="6" w:space="0"/>
            </w:tcBorders>
            <w:tcMar>
              <w:top w:w="0" w:type="dxa"/>
              <w:left w:w="57" w:type="dxa"/>
              <w:bottom w:w="0" w:type="dxa"/>
              <w:right w:w="57" w:type="dxa"/>
            </w:tcMar>
            <w:vAlign w:val="center"/>
          </w:tcPr>
          <w:p>
            <w:pPr>
              <w:widowControl/>
              <w:spacing w:line="560" w:lineRule="exact"/>
              <w:jc w:val="left"/>
              <w:rPr>
                <w:rFonts w:ascii="Calibri" w:hAnsi="Calibri" w:eastAsia="宋体" w:cs="Calibri"/>
                <w:kern w:val="0"/>
                <w:szCs w:val="21"/>
              </w:rPr>
            </w:pPr>
            <w:r>
              <w:rPr>
                <w:rFonts w:hint="eastAsia" w:ascii="宋体" w:hAnsi="宋体" w:eastAsia="宋体" w:cs="Calibri"/>
                <w:color w:val="000000"/>
                <w:kern w:val="0"/>
                <w:sz w:val="20"/>
                <w:szCs w:val="20"/>
              </w:rPr>
              <w:t>行政处罚</w:t>
            </w:r>
          </w:p>
        </w:tc>
        <w:tc>
          <w:tcPr>
            <w:tcW w:w="7305" w:type="dxa"/>
            <w:gridSpan w:val="3"/>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tcMar>
              <w:top w:w="0" w:type="dxa"/>
              <w:left w:w="57" w:type="dxa"/>
              <w:bottom w:w="0" w:type="dxa"/>
              <w:right w:w="57" w:type="dxa"/>
            </w:tcMar>
            <w:vAlign w:val="center"/>
          </w:tcPr>
          <w:p>
            <w:pPr>
              <w:widowControl/>
              <w:spacing w:line="560" w:lineRule="exact"/>
              <w:jc w:val="left"/>
              <w:rPr>
                <w:rFonts w:ascii="Calibri" w:hAnsi="Calibri" w:eastAsia="宋体" w:cs="Calibri"/>
                <w:kern w:val="0"/>
                <w:szCs w:val="21"/>
              </w:rPr>
            </w:pPr>
            <w:r>
              <w:rPr>
                <w:rFonts w:hint="eastAsia" w:ascii="宋体" w:hAnsi="宋体" w:eastAsia="宋体" w:cs="Calibri"/>
                <w:color w:val="000000"/>
                <w:kern w:val="0"/>
                <w:sz w:val="20"/>
                <w:szCs w:val="20"/>
              </w:rPr>
              <w:t>行政强制</w:t>
            </w:r>
          </w:p>
        </w:tc>
        <w:tc>
          <w:tcPr>
            <w:tcW w:w="7305" w:type="dxa"/>
            <w:gridSpan w:val="3"/>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信息内容</w:t>
            </w:r>
          </w:p>
        </w:tc>
        <w:tc>
          <w:tcPr>
            <w:tcW w:w="7305" w:type="dxa"/>
            <w:gridSpan w:val="3"/>
            <w:tcBorders>
              <w:top w:val="nil"/>
              <w:left w:val="nil"/>
              <w:bottom w:val="single" w:color="auto" w:sz="6" w:space="0"/>
              <w:right w:val="single" w:color="000000"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tcMar>
              <w:top w:w="0" w:type="dxa"/>
              <w:left w:w="57" w:type="dxa"/>
              <w:bottom w:w="0" w:type="dxa"/>
              <w:right w:w="57" w:type="dxa"/>
            </w:tcMar>
            <w:vAlign w:val="center"/>
          </w:tcPr>
          <w:p>
            <w:pPr>
              <w:widowControl/>
              <w:spacing w:line="560" w:lineRule="exact"/>
              <w:jc w:val="left"/>
              <w:rPr>
                <w:rFonts w:ascii="Calibri" w:hAnsi="Calibri" w:eastAsia="宋体" w:cs="Calibri"/>
                <w:kern w:val="0"/>
                <w:szCs w:val="21"/>
              </w:rPr>
            </w:pPr>
            <w:r>
              <w:rPr>
                <w:rFonts w:hint="eastAsia" w:ascii="宋体" w:hAnsi="宋体" w:eastAsia="宋体" w:cs="Calibri"/>
                <w:color w:val="000000"/>
                <w:kern w:val="0"/>
                <w:sz w:val="20"/>
                <w:szCs w:val="20"/>
              </w:rPr>
              <w:t>行政事业性收费</w:t>
            </w:r>
          </w:p>
        </w:tc>
        <w:tc>
          <w:tcPr>
            <w:tcW w:w="7305" w:type="dxa"/>
            <w:gridSpan w:val="3"/>
            <w:tcBorders>
              <w:top w:val="nil"/>
              <w:left w:val="nil"/>
              <w:bottom w:val="single" w:color="auto" w:sz="6" w:space="0"/>
              <w:right w:val="single" w:color="000000"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r>
    </w:tbl>
    <w:p>
      <w:pPr>
        <w:widowControl/>
        <w:spacing w:line="560" w:lineRule="exact"/>
        <w:ind w:firstLine="320"/>
        <w:rPr>
          <w:rFonts w:ascii="Calibri" w:hAnsi="Calibri" w:eastAsia="宋体" w:cs="Calibri"/>
          <w:kern w:val="0"/>
          <w:szCs w:val="21"/>
        </w:rPr>
      </w:pPr>
      <w:r>
        <w:rPr>
          <w:rFonts w:hint="eastAsia" w:ascii="黑体" w:hAnsi="黑体" w:eastAsia="黑体" w:cs="Calibri"/>
          <w:kern w:val="0"/>
          <w:sz w:val="32"/>
          <w:szCs w:val="32"/>
        </w:rPr>
        <w:t>三、收到和处理政府信息公开申请情况</w:t>
      </w:r>
    </w:p>
    <w:tbl>
      <w:tblPr>
        <w:tblStyle w:val="4"/>
        <w:tblW w:w="9750" w:type="dxa"/>
        <w:jc w:val="center"/>
        <w:tblLayout w:type="autofit"/>
        <w:tblCellMar>
          <w:top w:w="0" w:type="dxa"/>
          <w:left w:w="0" w:type="dxa"/>
          <w:bottom w:w="0" w:type="dxa"/>
          <w:right w:w="0" w:type="dxa"/>
        </w:tblCellMar>
      </w:tblPr>
      <w:tblGrid>
        <w:gridCol w:w="767"/>
        <w:gridCol w:w="943"/>
        <w:gridCol w:w="3221"/>
        <w:gridCol w:w="688"/>
        <w:gridCol w:w="688"/>
        <w:gridCol w:w="688"/>
        <w:gridCol w:w="688"/>
        <w:gridCol w:w="689"/>
        <w:gridCol w:w="689"/>
        <w:gridCol w:w="689"/>
      </w:tblGrid>
      <w:tr>
        <w:tblPrEx>
          <w:tblCellMar>
            <w:top w:w="0" w:type="dxa"/>
            <w:left w:w="0" w:type="dxa"/>
            <w:bottom w:w="0" w:type="dxa"/>
            <w:right w:w="0" w:type="dxa"/>
          </w:tblCellMar>
        </w:tblPrEx>
        <w:trPr>
          <w:jc w:val="center"/>
        </w:trPr>
        <w:tc>
          <w:tcPr>
            <w:tcW w:w="4929" w:type="dxa"/>
            <w:gridSpan w:val="3"/>
            <w:vMerge w:val="restart"/>
            <w:tcBorders>
              <w:top w:val="single" w:color="auto" w:sz="6" w:space="0"/>
              <w:left w:val="single" w:color="auto" w:sz="6" w:space="0"/>
              <w:bottom w:val="outset" w:color="auto" w:sz="6" w:space="0"/>
              <w:right w:val="single" w:color="auto" w:sz="6" w:space="0"/>
            </w:tcBorders>
            <w:tcMar>
              <w:top w:w="0" w:type="dxa"/>
              <w:left w:w="108" w:type="dxa"/>
              <w:bottom w:w="0" w:type="dxa"/>
              <w:right w:w="108" w:type="dxa"/>
            </w:tcMar>
            <w:vAlign w:val="center"/>
          </w:tcPr>
          <w:p>
            <w:pPr>
              <w:widowControl/>
              <w:spacing w:line="560" w:lineRule="exact"/>
              <w:jc w:val="left"/>
              <w:rPr>
                <w:rFonts w:ascii="Calibri" w:hAnsi="Calibri" w:eastAsia="宋体" w:cs="Calibri"/>
                <w:kern w:val="0"/>
                <w:szCs w:val="21"/>
              </w:rPr>
            </w:pPr>
            <w:r>
              <w:rPr>
                <w:rFonts w:hint="eastAsia" w:ascii="楷体" w:hAnsi="楷体" w:eastAsia="楷体" w:cs="Calibri"/>
                <w:color w:val="000000"/>
                <w:kern w:val="0"/>
                <w:sz w:val="20"/>
                <w:szCs w:val="20"/>
              </w:rPr>
              <w:t>（本列数据的勾稽关系为：第一项加第二项之和，等于第三项加第四项之和）</w:t>
            </w:r>
          </w:p>
        </w:tc>
        <w:tc>
          <w:tcPr>
            <w:tcW w:w="4816" w:type="dxa"/>
            <w:gridSpan w:val="7"/>
            <w:tcBorders>
              <w:top w:val="single" w:color="auto" w:sz="6" w:space="0"/>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6" w:space="0"/>
              <w:left w:val="single" w:color="auto" w:sz="6" w:space="0"/>
              <w:bottom w:val="outset"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688" w:type="dxa"/>
            <w:vMerge w:val="restart"/>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自然人</w:t>
            </w:r>
          </w:p>
        </w:tc>
        <w:tc>
          <w:tcPr>
            <w:tcW w:w="3440" w:type="dxa"/>
            <w:gridSpan w:val="5"/>
            <w:tcBorders>
              <w:top w:val="nil"/>
              <w:left w:val="nil"/>
              <w:bottom w:val="single" w:color="auto" w:sz="6" w:space="0"/>
              <w:right w:val="single" w:color="auto" w:sz="6"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法人或其他组织</w:t>
            </w:r>
          </w:p>
        </w:tc>
        <w:tc>
          <w:tcPr>
            <w:tcW w:w="688" w:type="dxa"/>
            <w:vMerge w:val="restart"/>
            <w:tcBorders>
              <w:top w:val="nil"/>
              <w:left w:val="nil"/>
              <w:bottom w:val="outset" w:color="auto" w:sz="6" w:space="0"/>
              <w:right w:val="single" w:color="auto" w:sz="6"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6" w:space="0"/>
              <w:left w:val="single" w:color="auto" w:sz="6" w:space="0"/>
              <w:bottom w:val="outset"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0" w:type="auto"/>
            <w:vMerge w:val="continue"/>
            <w:tcBorders>
              <w:top w:val="nil"/>
              <w:left w:val="nil"/>
              <w:bottom w:val="single"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688" w:type="dxa"/>
            <w:tcBorders>
              <w:top w:val="nil"/>
              <w:left w:val="nil"/>
              <w:bottom w:val="single" w:color="auto" w:sz="6" w:space="0"/>
              <w:right w:val="single" w:color="auto" w:sz="6"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商业</w:t>
            </w:r>
          </w:p>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企业</w:t>
            </w:r>
          </w:p>
        </w:tc>
        <w:tc>
          <w:tcPr>
            <w:tcW w:w="688" w:type="dxa"/>
            <w:tcBorders>
              <w:top w:val="nil"/>
              <w:left w:val="nil"/>
              <w:bottom w:val="single" w:color="auto" w:sz="6" w:space="0"/>
              <w:right w:val="single" w:color="auto" w:sz="6"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科研</w:t>
            </w:r>
          </w:p>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机构</w:t>
            </w:r>
          </w:p>
        </w:tc>
        <w:tc>
          <w:tcPr>
            <w:tcW w:w="688" w:type="dxa"/>
            <w:tcBorders>
              <w:top w:val="nil"/>
              <w:left w:val="nil"/>
              <w:bottom w:val="single" w:color="auto" w:sz="6" w:space="0"/>
              <w:right w:val="single" w:color="auto" w:sz="6"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社会公益组织</w:t>
            </w:r>
          </w:p>
        </w:tc>
        <w:tc>
          <w:tcPr>
            <w:tcW w:w="688" w:type="dxa"/>
            <w:tcBorders>
              <w:top w:val="nil"/>
              <w:left w:val="nil"/>
              <w:bottom w:val="single" w:color="auto" w:sz="6" w:space="0"/>
              <w:right w:val="single" w:color="auto" w:sz="6"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法律服务机构</w:t>
            </w:r>
          </w:p>
        </w:tc>
        <w:tc>
          <w:tcPr>
            <w:tcW w:w="688" w:type="dxa"/>
            <w:tcBorders>
              <w:top w:val="nil"/>
              <w:left w:val="nil"/>
              <w:bottom w:val="single" w:color="auto" w:sz="6" w:space="0"/>
              <w:right w:val="single" w:color="auto" w:sz="6"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其他</w:t>
            </w:r>
          </w:p>
        </w:tc>
        <w:tc>
          <w:tcPr>
            <w:tcW w:w="0" w:type="auto"/>
            <w:vMerge w:val="continue"/>
            <w:tcBorders>
              <w:top w:val="nil"/>
              <w:left w:val="nil"/>
              <w:bottom w:val="outset"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r>
      <w:tr>
        <w:tblPrEx>
          <w:tblCellMar>
            <w:top w:w="0" w:type="dxa"/>
            <w:left w:w="0" w:type="dxa"/>
            <w:bottom w:w="0" w:type="dxa"/>
            <w:right w:w="0" w:type="dxa"/>
          </w:tblCellMar>
        </w:tblPrEx>
        <w:trPr>
          <w:jc w:val="center"/>
        </w:trPr>
        <w:tc>
          <w:tcPr>
            <w:tcW w:w="4929" w:type="dxa"/>
            <w:gridSpan w:val="3"/>
            <w:tcBorders>
              <w:top w:val="nil"/>
              <w:left w:val="single" w:color="auto" w:sz="6" w:space="0"/>
              <w:bottom w:val="single" w:color="auto" w:sz="6" w:space="0"/>
              <w:right w:val="single" w:color="auto" w:sz="6" w:space="0"/>
            </w:tcBorders>
            <w:tcMar>
              <w:top w:w="0" w:type="dxa"/>
              <w:left w:w="57" w:type="dxa"/>
              <w:bottom w:w="0" w:type="dxa"/>
              <w:right w:w="57" w:type="dxa"/>
            </w:tcMar>
            <w:vAlign w:val="center"/>
          </w:tcPr>
          <w:p>
            <w:pPr>
              <w:widowControl/>
              <w:spacing w:line="560" w:lineRule="exact"/>
              <w:jc w:val="left"/>
              <w:rPr>
                <w:rFonts w:ascii="Calibri" w:hAnsi="Calibri" w:eastAsia="宋体" w:cs="Calibri"/>
                <w:kern w:val="0"/>
                <w:szCs w:val="21"/>
              </w:rPr>
            </w:pPr>
            <w:r>
              <w:rPr>
                <w:rFonts w:hint="eastAsia" w:ascii="宋体" w:hAnsi="宋体" w:eastAsia="宋体" w:cs="Calibri"/>
                <w:color w:val="000000"/>
                <w:kern w:val="0"/>
                <w:sz w:val="20"/>
                <w:szCs w:val="20"/>
              </w:rPr>
              <w:t>一、本年新收政府信息公开申请数量</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r>
      <w:tr>
        <w:tblPrEx>
          <w:tblCellMar>
            <w:top w:w="0" w:type="dxa"/>
            <w:left w:w="0" w:type="dxa"/>
            <w:bottom w:w="0" w:type="dxa"/>
            <w:right w:w="0" w:type="dxa"/>
          </w:tblCellMar>
        </w:tblPrEx>
        <w:trPr>
          <w:jc w:val="center"/>
        </w:trPr>
        <w:tc>
          <w:tcPr>
            <w:tcW w:w="4929" w:type="dxa"/>
            <w:gridSpan w:val="3"/>
            <w:tcBorders>
              <w:top w:val="nil"/>
              <w:left w:val="single" w:color="auto" w:sz="6" w:space="0"/>
              <w:bottom w:val="single" w:color="auto" w:sz="6" w:space="0"/>
              <w:right w:val="single" w:color="auto" w:sz="6" w:space="0"/>
            </w:tcBorders>
            <w:tcMar>
              <w:top w:w="0" w:type="dxa"/>
              <w:left w:w="57" w:type="dxa"/>
              <w:bottom w:w="0" w:type="dxa"/>
              <w:right w:w="57" w:type="dxa"/>
            </w:tcMar>
            <w:vAlign w:val="center"/>
          </w:tcPr>
          <w:p>
            <w:pPr>
              <w:widowControl/>
              <w:spacing w:line="560" w:lineRule="exact"/>
              <w:jc w:val="left"/>
              <w:rPr>
                <w:rFonts w:ascii="Calibri" w:hAnsi="Calibri" w:eastAsia="宋体" w:cs="Calibri"/>
                <w:kern w:val="0"/>
                <w:szCs w:val="21"/>
              </w:rPr>
            </w:pPr>
            <w:r>
              <w:rPr>
                <w:rFonts w:hint="eastAsia" w:ascii="宋体" w:hAnsi="宋体" w:eastAsia="宋体" w:cs="Calibri"/>
                <w:color w:val="000000"/>
                <w:kern w:val="0"/>
                <w:sz w:val="20"/>
                <w:szCs w:val="20"/>
              </w:rPr>
              <w:t>二、上年结转政府信息公开申请数量</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r>
      <w:tr>
        <w:tblPrEx>
          <w:tblCellMar>
            <w:top w:w="0" w:type="dxa"/>
            <w:left w:w="0" w:type="dxa"/>
            <w:bottom w:w="0" w:type="dxa"/>
            <w:right w:w="0" w:type="dxa"/>
          </w:tblCellMar>
        </w:tblPrEx>
        <w:trPr>
          <w:jc w:val="center"/>
        </w:trPr>
        <w:tc>
          <w:tcPr>
            <w:tcW w:w="767" w:type="dxa"/>
            <w:vMerge w:val="restart"/>
            <w:tcBorders>
              <w:top w:val="nil"/>
              <w:left w:val="single" w:color="auto" w:sz="6" w:space="0"/>
              <w:bottom w:val="outset" w:color="auto" w:sz="6" w:space="0"/>
              <w:right w:val="single" w:color="auto" w:sz="6" w:space="0"/>
            </w:tcBorders>
            <w:tcMar>
              <w:top w:w="0" w:type="dxa"/>
              <w:left w:w="57" w:type="dxa"/>
              <w:bottom w:w="0" w:type="dxa"/>
              <w:right w:w="57" w:type="dxa"/>
            </w:tcMar>
            <w:vAlign w:val="center"/>
          </w:tcPr>
          <w:p>
            <w:pPr>
              <w:widowControl/>
              <w:spacing w:line="560" w:lineRule="exact"/>
              <w:jc w:val="left"/>
              <w:rPr>
                <w:rFonts w:ascii="Calibri" w:hAnsi="Calibri" w:eastAsia="宋体" w:cs="Calibri"/>
                <w:kern w:val="0"/>
                <w:szCs w:val="21"/>
              </w:rPr>
            </w:pPr>
            <w:r>
              <w:rPr>
                <w:rFonts w:hint="eastAsia" w:ascii="宋体" w:hAnsi="宋体" w:eastAsia="宋体" w:cs="Calibri"/>
                <w:color w:val="000000"/>
                <w:kern w:val="0"/>
                <w:sz w:val="20"/>
                <w:szCs w:val="20"/>
              </w:rPr>
              <w:t>三、本年度办理结果</w:t>
            </w:r>
          </w:p>
        </w:tc>
        <w:tc>
          <w:tcPr>
            <w:tcW w:w="4162" w:type="dxa"/>
            <w:gridSpan w:val="2"/>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left"/>
              <w:rPr>
                <w:rFonts w:ascii="Calibri" w:hAnsi="Calibri" w:eastAsia="宋体" w:cs="Calibri"/>
                <w:kern w:val="0"/>
                <w:szCs w:val="21"/>
              </w:rPr>
            </w:pPr>
            <w:r>
              <w:rPr>
                <w:rFonts w:hint="eastAsia" w:ascii="宋体" w:hAnsi="宋体" w:eastAsia="宋体" w:cs="Calibri"/>
                <w:color w:val="000000"/>
                <w:kern w:val="0"/>
                <w:sz w:val="20"/>
                <w:szCs w:val="20"/>
              </w:rPr>
              <w:t>（一）予以公开</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6" w:space="0"/>
              <w:bottom w:val="outset"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4162" w:type="dxa"/>
            <w:gridSpan w:val="2"/>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left"/>
              <w:rPr>
                <w:rFonts w:ascii="Calibri" w:hAnsi="Calibri" w:eastAsia="宋体" w:cs="Calibri"/>
                <w:kern w:val="0"/>
                <w:szCs w:val="21"/>
              </w:rPr>
            </w:pPr>
            <w:r>
              <w:rPr>
                <w:rFonts w:hint="eastAsia" w:ascii="宋体" w:hAnsi="宋体" w:eastAsia="宋体" w:cs="Calibri"/>
                <w:color w:val="000000"/>
                <w:kern w:val="0"/>
                <w:sz w:val="20"/>
                <w:szCs w:val="20"/>
              </w:rPr>
              <w:t>（二）部分公开</w:t>
            </w:r>
            <w:r>
              <w:rPr>
                <w:rFonts w:hint="eastAsia" w:ascii="楷体" w:hAnsi="楷体" w:eastAsia="楷体" w:cs="Calibri"/>
                <w:color w:val="000000"/>
                <w:kern w:val="0"/>
                <w:sz w:val="20"/>
                <w:szCs w:val="20"/>
              </w:rPr>
              <w:t>（区分处理的，只计这一情形，不计其他情形）</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6" w:space="0"/>
              <w:bottom w:val="outset"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943" w:type="dxa"/>
            <w:vMerge w:val="restart"/>
            <w:tcBorders>
              <w:top w:val="nil"/>
              <w:left w:val="nil"/>
              <w:bottom w:val="outset" w:color="auto" w:sz="6" w:space="0"/>
              <w:right w:val="single" w:color="auto" w:sz="6" w:space="0"/>
            </w:tcBorders>
            <w:tcMar>
              <w:top w:w="0" w:type="dxa"/>
              <w:left w:w="57" w:type="dxa"/>
              <w:bottom w:w="0" w:type="dxa"/>
              <w:right w:w="57" w:type="dxa"/>
            </w:tcMar>
            <w:vAlign w:val="center"/>
          </w:tcPr>
          <w:p>
            <w:pPr>
              <w:widowControl/>
              <w:spacing w:line="560" w:lineRule="exact"/>
              <w:jc w:val="left"/>
              <w:rPr>
                <w:rFonts w:ascii="Calibri" w:hAnsi="Calibri" w:eastAsia="宋体" w:cs="Calibri"/>
                <w:kern w:val="0"/>
                <w:szCs w:val="21"/>
              </w:rPr>
            </w:pPr>
            <w:r>
              <w:rPr>
                <w:rFonts w:hint="eastAsia" w:ascii="宋体" w:hAnsi="宋体" w:eastAsia="宋体" w:cs="Calibri"/>
                <w:color w:val="000000"/>
                <w:kern w:val="0"/>
                <w:sz w:val="20"/>
                <w:szCs w:val="20"/>
              </w:rPr>
              <w:t>（三）不予公开</w:t>
            </w:r>
          </w:p>
        </w:tc>
        <w:tc>
          <w:tcPr>
            <w:tcW w:w="3219" w:type="dxa"/>
            <w:tcBorders>
              <w:top w:val="nil"/>
              <w:left w:val="nil"/>
              <w:bottom w:val="single" w:color="auto" w:sz="6" w:space="0"/>
              <w:right w:val="single" w:color="auto" w:sz="6" w:space="0"/>
            </w:tcBorders>
            <w:tcMar>
              <w:top w:w="0" w:type="dxa"/>
              <w:left w:w="57" w:type="dxa"/>
              <w:bottom w:w="0" w:type="dxa"/>
              <w:right w:w="57" w:type="dxa"/>
            </w:tcMar>
          </w:tcPr>
          <w:p>
            <w:pPr>
              <w:widowControl/>
              <w:spacing w:line="560" w:lineRule="exact"/>
              <w:jc w:val="left"/>
              <w:rPr>
                <w:rFonts w:ascii="Calibri" w:hAnsi="Calibri" w:eastAsia="宋体" w:cs="Calibri"/>
                <w:kern w:val="0"/>
                <w:szCs w:val="21"/>
              </w:rPr>
            </w:pPr>
            <w:r>
              <w:rPr>
                <w:rFonts w:ascii="Times New Roman" w:hAnsi="Times New Roman" w:eastAsia="宋体" w:cs="Times New Roman"/>
                <w:color w:val="000000"/>
                <w:kern w:val="0"/>
                <w:sz w:val="20"/>
                <w:szCs w:val="20"/>
              </w:rPr>
              <w:t>1.</w:t>
            </w:r>
            <w:r>
              <w:rPr>
                <w:rFonts w:hint="eastAsia" w:ascii="宋体" w:hAnsi="宋体" w:eastAsia="宋体" w:cs="Calibri"/>
                <w:color w:val="000000"/>
                <w:kern w:val="0"/>
                <w:sz w:val="20"/>
                <w:szCs w:val="20"/>
              </w:rPr>
              <w:t>属于国家秘密</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6" w:space="0"/>
              <w:bottom w:val="outset"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0" w:type="auto"/>
            <w:vMerge w:val="continue"/>
            <w:tcBorders>
              <w:top w:val="nil"/>
              <w:left w:val="nil"/>
              <w:bottom w:val="outset"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3219" w:type="dxa"/>
            <w:tcBorders>
              <w:top w:val="nil"/>
              <w:left w:val="nil"/>
              <w:bottom w:val="single" w:color="auto" w:sz="6" w:space="0"/>
              <w:right w:val="single" w:color="auto" w:sz="6" w:space="0"/>
            </w:tcBorders>
            <w:tcMar>
              <w:top w:w="0" w:type="dxa"/>
              <w:left w:w="57" w:type="dxa"/>
              <w:bottom w:w="0" w:type="dxa"/>
              <w:right w:w="57" w:type="dxa"/>
            </w:tcMar>
          </w:tcPr>
          <w:p>
            <w:pPr>
              <w:widowControl/>
              <w:spacing w:line="560" w:lineRule="exact"/>
              <w:jc w:val="left"/>
              <w:rPr>
                <w:rFonts w:ascii="Calibri" w:hAnsi="Calibri" w:eastAsia="宋体" w:cs="Calibri"/>
                <w:kern w:val="0"/>
                <w:szCs w:val="21"/>
              </w:rPr>
            </w:pPr>
            <w:r>
              <w:rPr>
                <w:rFonts w:ascii="Times New Roman" w:hAnsi="Times New Roman" w:eastAsia="宋体" w:cs="Times New Roman"/>
                <w:color w:val="000000"/>
                <w:kern w:val="0"/>
                <w:sz w:val="20"/>
                <w:szCs w:val="20"/>
              </w:rPr>
              <w:t>2.</w:t>
            </w:r>
            <w:r>
              <w:rPr>
                <w:rFonts w:hint="eastAsia" w:ascii="宋体" w:hAnsi="宋体" w:eastAsia="宋体" w:cs="Calibri"/>
                <w:color w:val="000000"/>
                <w:kern w:val="0"/>
                <w:sz w:val="20"/>
                <w:szCs w:val="20"/>
              </w:rPr>
              <w:t>其他法律行政法规禁止公开</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6" w:space="0"/>
              <w:bottom w:val="outset"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0" w:type="auto"/>
            <w:vMerge w:val="continue"/>
            <w:tcBorders>
              <w:top w:val="nil"/>
              <w:left w:val="nil"/>
              <w:bottom w:val="outset"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3219" w:type="dxa"/>
            <w:tcBorders>
              <w:top w:val="nil"/>
              <w:left w:val="nil"/>
              <w:bottom w:val="single" w:color="auto" w:sz="6" w:space="0"/>
              <w:right w:val="single" w:color="auto" w:sz="6" w:space="0"/>
            </w:tcBorders>
            <w:tcMar>
              <w:top w:w="0" w:type="dxa"/>
              <w:left w:w="57" w:type="dxa"/>
              <w:bottom w:w="0" w:type="dxa"/>
              <w:right w:w="57" w:type="dxa"/>
            </w:tcMar>
          </w:tcPr>
          <w:p>
            <w:pPr>
              <w:widowControl/>
              <w:spacing w:line="560" w:lineRule="exact"/>
              <w:jc w:val="left"/>
              <w:rPr>
                <w:rFonts w:ascii="Calibri" w:hAnsi="Calibri" w:eastAsia="宋体" w:cs="Calibri"/>
                <w:kern w:val="0"/>
                <w:szCs w:val="21"/>
              </w:rPr>
            </w:pPr>
            <w:r>
              <w:rPr>
                <w:rFonts w:ascii="Times New Roman" w:hAnsi="Times New Roman" w:eastAsia="宋体" w:cs="Times New Roman"/>
                <w:color w:val="000000"/>
                <w:kern w:val="0"/>
                <w:sz w:val="20"/>
                <w:szCs w:val="20"/>
              </w:rPr>
              <w:t>3.</w:t>
            </w:r>
            <w:r>
              <w:rPr>
                <w:rFonts w:hint="eastAsia" w:ascii="宋体" w:hAnsi="宋体" w:eastAsia="宋体" w:cs="Calibri"/>
                <w:color w:val="000000"/>
                <w:kern w:val="0"/>
                <w:sz w:val="20"/>
                <w:szCs w:val="20"/>
              </w:rPr>
              <w:t>危及</w:t>
            </w:r>
            <w:r>
              <w:rPr>
                <w:rFonts w:ascii="Times New Roman" w:hAnsi="Times New Roman" w:eastAsia="宋体" w:cs="Times New Roman"/>
                <w:color w:val="000000"/>
                <w:kern w:val="0"/>
                <w:sz w:val="20"/>
                <w:szCs w:val="20"/>
              </w:rPr>
              <w:t>“</w:t>
            </w:r>
            <w:r>
              <w:rPr>
                <w:rFonts w:hint="eastAsia" w:ascii="宋体" w:hAnsi="宋体" w:eastAsia="宋体" w:cs="Calibri"/>
                <w:color w:val="000000"/>
                <w:kern w:val="0"/>
                <w:sz w:val="20"/>
                <w:szCs w:val="20"/>
              </w:rPr>
              <w:t>三安全一稳定</w:t>
            </w:r>
            <w:r>
              <w:rPr>
                <w:rFonts w:ascii="Times New Roman" w:hAnsi="Times New Roman" w:eastAsia="宋体" w:cs="Times New Roman"/>
                <w:color w:val="000000"/>
                <w:kern w:val="0"/>
                <w:sz w:val="20"/>
                <w:szCs w:val="20"/>
              </w:rPr>
              <w:t>”</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6" w:space="0"/>
              <w:bottom w:val="outset"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0" w:type="auto"/>
            <w:vMerge w:val="continue"/>
            <w:tcBorders>
              <w:top w:val="nil"/>
              <w:left w:val="nil"/>
              <w:bottom w:val="outset"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3219" w:type="dxa"/>
            <w:tcBorders>
              <w:top w:val="nil"/>
              <w:left w:val="nil"/>
              <w:bottom w:val="single" w:color="auto" w:sz="6" w:space="0"/>
              <w:right w:val="single" w:color="auto" w:sz="6" w:space="0"/>
            </w:tcBorders>
            <w:tcMar>
              <w:top w:w="0" w:type="dxa"/>
              <w:left w:w="57" w:type="dxa"/>
              <w:bottom w:w="0" w:type="dxa"/>
              <w:right w:w="57" w:type="dxa"/>
            </w:tcMar>
          </w:tcPr>
          <w:p>
            <w:pPr>
              <w:widowControl/>
              <w:spacing w:line="560" w:lineRule="exact"/>
              <w:jc w:val="left"/>
              <w:rPr>
                <w:rFonts w:ascii="Calibri" w:hAnsi="Calibri" w:eastAsia="宋体" w:cs="Calibri"/>
                <w:kern w:val="0"/>
                <w:szCs w:val="21"/>
              </w:rPr>
            </w:pPr>
            <w:r>
              <w:rPr>
                <w:rFonts w:ascii="Times New Roman" w:hAnsi="Times New Roman" w:eastAsia="宋体" w:cs="Times New Roman"/>
                <w:color w:val="000000"/>
                <w:kern w:val="0"/>
                <w:sz w:val="20"/>
                <w:szCs w:val="20"/>
              </w:rPr>
              <w:t>4.</w:t>
            </w:r>
            <w:r>
              <w:rPr>
                <w:rFonts w:hint="eastAsia" w:ascii="宋体" w:hAnsi="宋体" w:eastAsia="宋体" w:cs="Calibri"/>
                <w:color w:val="000000"/>
                <w:kern w:val="0"/>
                <w:sz w:val="20"/>
                <w:szCs w:val="20"/>
              </w:rPr>
              <w:t>保护第三方合法权益</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6" w:space="0"/>
              <w:bottom w:val="outset"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0" w:type="auto"/>
            <w:vMerge w:val="continue"/>
            <w:tcBorders>
              <w:top w:val="nil"/>
              <w:left w:val="nil"/>
              <w:bottom w:val="outset"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3219" w:type="dxa"/>
            <w:tcBorders>
              <w:top w:val="nil"/>
              <w:left w:val="nil"/>
              <w:bottom w:val="single" w:color="auto" w:sz="6" w:space="0"/>
              <w:right w:val="single" w:color="auto" w:sz="6" w:space="0"/>
            </w:tcBorders>
            <w:tcMar>
              <w:top w:w="0" w:type="dxa"/>
              <w:left w:w="57" w:type="dxa"/>
              <w:bottom w:w="0" w:type="dxa"/>
              <w:right w:w="57" w:type="dxa"/>
            </w:tcMar>
          </w:tcPr>
          <w:p>
            <w:pPr>
              <w:widowControl/>
              <w:spacing w:line="560" w:lineRule="exact"/>
              <w:jc w:val="left"/>
              <w:rPr>
                <w:rFonts w:ascii="Calibri" w:hAnsi="Calibri" w:eastAsia="宋体" w:cs="Calibri"/>
                <w:kern w:val="0"/>
                <w:szCs w:val="21"/>
              </w:rPr>
            </w:pPr>
            <w:r>
              <w:rPr>
                <w:rFonts w:ascii="Times New Roman" w:hAnsi="Times New Roman" w:eastAsia="宋体" w:cs="Times New Roman"/>
                <w:color w:val="000000"/>
                <w:kern w:val="0"/>
                <w:sz w:val="20"/>
                <w:szCs w:val="20"/>
              </w:rPr>
              <w:t>5.</w:t>
            </w:r>
            <w:r>
              <w:rPr>
                <w:rFonts w:hint="eastAsia" w:ascii="宋体" w:hAnsi="宋体" w:eastAsia="宋体" w:cs="Calibri"/>
                <w:color w:val="000000"/>
                <w:kern w:val="0"/>
                <w:sz w:val="20"/>
                <w:szCs w:val="20"/>
              </w:rPr>
              <w:t>属于三类内部事务信息</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6" w:space="0"/>
              <w:bottom w:val="outset"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0" w:type="auto"/>
            <w:vMerge w:val="continue"/>
            <w:tcBorders>
              <w:top w:val="nil"/>
              <w:left w:val="nil"/>
              <w:bottom w:val="outset"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3219" w:type="dxa"/>
            <w:tcBorders>
              <w:top w:val="nil"/>
              <w:left w:val="nil"/>
              <w:bottom w:val="single" w:color="auto" w:sz="6" w:space="0"/>
              <w:right w:val="single" w:color="auto" w:sz="6" w:space="0"/>
            </w:tcBorders>
            <w:tcMar>
              <w:top w:w="0" w:type="dxa"/>
              <w:left w:w="57" w:type="dxa"/>
              <w:bottom w:w="0" w:type="dxa"/>
              <w:right w:w="57" w:type="dxa"/>
            </w:tcMar>
          </w:tcPr>
          <w:p>
            <w:pPr>
              <w:widowControl/>
              <w:spacing w:line="560" w:lineRule="exact"/>
              <w:jc w:val="left"/>
              <w:rPr>
                <w:rFonts w:ascii="Calibri" w:hAnsi="Calibri" w:eastAsia="宋体" w:cs="Calibri"/>
                <w:kern w:val="0"/>
                <w:szCs w:val="21"/>
              </w:rPr>
            </w:pPr>
            <w:r>
              <w:rPr>
                <w:rFonts w:ascii="Times New Roman" w:hAnsi="Times New Roman" w:eastAsia="宋体" w:cs="Times New Roman"/>
                <w:color w:val="000000"/>
                <w:kern w:val="0"/>
                <w:sz w:val="20"/>
                <w:szCs w:val="20"/>
              </w:rPr>
              <w:t>6.</w:t>
            </w:r>
            <w:r>
              <w:rPr>
                <w:rFonts w:hint="eastAsia" w:ascii="宋体" w:hAnsi="宋体" w:eastAsia="宋体" w:cs="Calibri"/>
                <w:color w:val="000000"/>
                <w:kern w:val="0"/>
                <w:sz w:val="20"/>
                <w:szCs w:val="20"/>
              </w:rPr>
              <w:t>属于四类过程性信息</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6" w:space="0"/>
              <w:bottom w:val="outset"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0" w:type="auto"/>
            <w:vMerge w:val="continue"/>
            <w:tcBorders>
              <w:top w:val="nil"/>
              <w:left w:val="nil"/>
              <w:bottom w:val="outset"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3219" w:type="dxa"/>
            <w:tcBorders>
              <w:top w:val="nil"/>
              <w:left w:val="nil"/>
              <w:bottom w:val="single" w:color="auto" w:sz="6" w:space="0"/>
              <w:right w:val="single" w:color="auto" w:sz="6" w:space="0"/>
            </w:tcBorders>
            <w:tcMar>
              <w:top w:w="0" w:type="dxa"/>
              <w:left w:w="57" w:type="dxa"/>
              <w:bottom w:w="0" w:type="dxa"/>
              <w:right w:w="57" w:type="dxa"/>
            </w:tcMar>
          </w:tcPr>
          <w:p>
            <w:pPr>
              <w:widowControl/>
              <w:spacing w:line="560" w:lineRule="exact"/>
              <w:jc w:val="left"/>
              <w:rPr>
                <w:rFonts w:ascii="Calibri" w:hAnsi="Calibri" w:eastAsia="宋体" w:cs="Calibri"/>
                <w:kern w:val="0"/>
                <w:szCs w:val="21"/>
              </w:rPr>
            </w:pPr>
            <w:r>
              <w:rPr>
                <w:rFonts w:ascii="Times New Roman" w:hAnsi="Times New Roman" w:eastAsia="宋体" w:cs="Times New Roman"/>
                <w:color w:val="000000"/>
                <w:kern w:val="0"/>
                <w:sz w:val="20"/>
                <w:szCs w:val="20"/>
              </w:rPr>
              <w:t>7.</w:t>
            </w:r>
            <w:r>
              <w:rPr>
                <w:rFonts w:hint="eastAsia" w:ascii="宋体" w:hAnsi="宋体" w:eastAsia="宋体" w:cs="Calibri"/>
                <w:color w:val="000000"/>
                <w:kern w:val="0"/>
                <w:sz w:val="20"/>
                <w:szCs w:val="20"/>
              </w:rPr>
              <w:t>属于行政执法案卷</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6" w:space="0"/>
              <w:bottom w:val="outset"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0" w:type="auto"/>
            <w:vMerge w:val="continue"/>
            <w:tcBorders>
              <w:top w:val="nil"/>
              <w:left w:val="nil"/>
              <w:bottom w:val="outset"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3219" w:type="dxa"/>
            <w:tcBorders>
              <w:top w:val="nil"/>
              <w:left w:val="nil"/>
              <w:bottom w:val="single" w:color="auto" w:sz="6" w:space="0"/>
              <w:right w:val="single" w:color="auto" w:sz="6" w:space="0"/>
            </w:tcBorders>
            <w:tcMar>
              <w:top w:w="0" w:type="dxa"/>
              <w:left w:w="57" w:type="dxa"/>
              <w:bottom w:w="0" w:type="dxa"/>
              <w:right w:w="57" w:type="dxa"/>
            </w:tcMar>
          </w:tcPr>
          <w:p>
            <w:pPr>
              <w:widowControl/>
              <w:spacing w:line="560" w:lineRule="exact"/>
              <w:jc w:val="left"/>
              <w:rPr>
                <w:rFonts w:ascii="Calibri" w:hAnsi="Calibri" w:eastAsia="宋体" w:cs="Calibri"/>
                <w:kern w:val="0"/>
                <w:szCs w:val="21"/>
              </w:rPr>
            </w:pPr>
            <w:r>
              <w:rPr>
                <w:rFonts w:ascii="Times New Roman" w:hAnsi="Times New Roman" w:eastAsia="宋体" w:cs="Times New Roman"/>
                <w:color w:val="000000"/>
                <w:kern w:val="0"/>
                <w:sz w:val="20"/>
                <w:szCs w:val="20"/>
              </w:rPr>
              <w:t>8.</w:t>
            </w:r>
            <w:r>
              <w:rPr>
                <w:rFonts w:hint="eastAsia" w:ascii="宋体" w:hAnsi="宋体" w:eastAsia="宋体" w:cs="Calibri"/>
                <w:color w:val="000000"/>
                <w:kern w:val="0"/>
                <w:sz w:val="20"/>
                <w:szCs w:val="20"/>
              </w:rPr>
              <w:t>属于行政查询事项</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6" w:space="0"/>
              <w:bottom w:val="outset"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943" w:type="dxa"/>
            <w:vMerge w:val="restart"/>
            <w:tcBorders>
              <w:top w:val="nil"/>
              <w:left w:val="nil"/>
              <w:bottom w:val="outset" w:color="auto" w:sz="6" w:space="0"/>
              <w:right w:val="single" w:color="auto" w:sz="6" w:space="0"/>
            </w:tcBorders>
            <w:tcMar>
              <w:top w:w="0" w:type="dxa"/>
              <w:left w:w="57" w:type="dxa"/>
              <w:bottom w:w="0" w:type="dxa"/>
              <w:right w:w="57" w:type="dxa"/>
            </w:tcMar>
            <w:vAlign w:val="center"/>
          </w:tcPr>
          <w:p>
            <w:pPr>
              <w:widowControl/>
              <w:spacing w:line="560" w:lineRule="exact"/>
              <w:jc w:val="left"/>
              <w:rPr>
                <w:rFonts w:ascii="Calibri" w:hAnsi="Calibri" w:eastAsia="宋体" w:cs="Calibri"/>
                <w:kern w:val="0"/>
                <w:szCs w:val="21"/>
              </w:rPr>
            </w:pPr>
            <w:r>
              <w:rPr>
                <w:rFonts w:hint="eastAsia" w:ascii="宋体" w:hAnsi="宋体" w:eastAsia="宋体" w:cs="Calibri"/>
                <w:color w:val="000000"/>
                <w:kern w:val="0"/>
                <w:sz w:val="20"/>
                <w:szCs w:val="20"/>
              </w:rPr>
              <w:t>（四）无法提供</w:t>
            </w:r>
          </w:p>
        </w:tc>
        <w:tc>
          <w:tcPr>
            <w:tcW w:w="3219" w:type="dxa"/>
            <w:tcBorders>
              <w:top w:val="nil"/>
              <w:left w:val="nil"/>
              <w:bottom w:val="single" w:color="auto" w:sz="6" w:space="0"/>
              <w:right w:val="single" w:color="auto" w:sz="6" w:space="0"/>
            </w:tcBorders>
            <w:tcMar>
              <w:top w:w="0" w:type="dxa"/>
              <w:left w:w="57" w:type="dxa"/>
              <w:bottom w:w="0" w:type="dxa"/>
              <w:right w:w="57" w:type="dxa"/>
            </w:tcMar>
          </w:tcPr>
          <w:p>
            <w:pPr>
              <w:widowControl/>
              <w:spacing w:line="560" w:lineRule="exact"/>
              <w:jc w:val="left"/>
              <w:rPr>
                <w:rFonts w:ascii="Calibri" w:hAnsi="Calibri" w:eastAsia="宋体" w:cs="Calibri"/>
                <w:kern w:val="0"/>
                <w:szCs w:val="21"/>
              </w:rPr>
            </w:pPr>
            <w:r>
              <w:rPr>
                <w:rFonts w:ascii="Times New Roman" w:hAnsi="Times New Roman" w:eastAsia="宋体" w:cs="Times New Roman"/>
                <w:color w:val="000000"/>
                <w:kern w:val="0"/>
                <w:sz w:val="20"/>
                <w:szCs w:val="20"/>
              </w:rPr>
              <w:t>1.</w:t>
            </w:r>
            <w:r>
              <w:rPr>
                <w:rFonts w:hint="eastAsia" w:ascii="宋体" w:hAnsi="宋体" w:eastAsia="宋体" w:cs="Calibri"/>
                <w:color w:val="000000"/>
                <w:kern w:val="0"/>
                <w:sz w:val="20"/>
                <w:szCs w:val="20"/>
              </w:rPr>
              <w:t>本机关不掌握相关政府信息</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6" w:space="0"/>
              <w:bottom w:val="outset"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0" w:type="auto"/>
            <w:vMerge w:val="continue"/>
            <w:tcBorders>
              <w:top w:val="nil"/>
              <w:left w:val="nil"/>
              <w:bottom w:val="outset"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3219" w:type="dxa"/>
            <w:tcBorders>
              <w:top w:val="nil"/>
              <w:left w:val="nil"/>
              <w:bottom w:val="single" w:color="auto" w:sz="6" w:space="0"/>
              <w:right w:val="single" w:color="auto" w:sz="6" w:space="0"/>
            </w:tcBorders>
            <w:tcMar>
              <w:top w:w="0" w:type="dxa"/>
              <w:left w:w="57" w:type="dxa"/>
              <w:bottom w:w="0" w:type="dxa"/>
              <w:right w:w="57" w:type="dxa"/>
            </w:tcMar>
          </w:tcPr>
          <w:p>
            <w:pPr>
              <w:widowControl/>
              <w:spacing w:line="560" w:lineRule="exact"/>
              <w:jc w:val="left"/>
              <w:rPr>
                <w:rFonts w:ascii="Calibri" w:hAnsi="Calibri" w:eastAsia="宋体" w:cs="Calibri"/>
                <w:kern w:val="0"/>
                <w:szCs w:val="21"/>
              </w:rPr>
            </w:pPr>
            <w:r>
              <w:rPr>
                <w:rFonts w:ascii="Times New Roman" w:hAnsi="Times New Roman" w:eastAsia="宋体" w:cs="Times New Roman"/>
                <w:color w:val="000000"/>
                <w:kern w:val="0"/>
                <w:sz w:val="20"/>
                <w:szCs w:val="20"/>
              </w:rPr>
              <w:t>2.</w:t>
            </w:r>
            <w:r>
              <w:rPr>
                <w:rFonts w:hint="eastAsia" w:ascii="宋体" w:hAnsi="宋体" w:eastAsia="宋体" w:cs="Calibri"/>
                <w:color w:val="000000"/>
                <w:kern w:val="0"/>
                <w:sz w:val="20"/>
                <w:szCs w:val="20"/>
              </w:rPr>
              <w:t>没有现成信息需要另行制作</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6" w:space="0"/>
              <w:bottom w:val="outset"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0" w:type="auto"/>
            <w:vMerge w:val="continue"/>
            <w:tcBorders>
              <w:top w:val="nil"/>
              <w:left w:val="nil"/>
              <w:bottom w:val="outset"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3219" w:type="dxa"/>
            <w:tcBorders>
              <w:top w:val="nil"/>
              <w:left w:val="nil"/>
              <w:bottom w:val="single" w:color="auto" w:sz="6" w:space="0"/>
              <w:right w:val="single" w:color="auto" w:sz="6" w:space="0"/>
            </w:tcBorders>
            <w:tcMar>
              <w:top w:w="0" w:type="dxa"/>
              <w:left w:w="57" w:type="dxa"/>
              <w:bottom w:w="0" w:type="dxa"/>
              <w:right w:w="57" w:type="dxa"/>
            </w:tcMar>
          </w:tcPr>
          <w:p>
            <w:pPr>
              <w:widowControl/>
              <w:spacing w:line="560" w:lineRule="exact"/>
              <w:jc w:val="left"/>
              <w:rPr>
                <w:rFonts w:ascii="Calibri" w:hAnsi="Calibri" w:eastAsia="宋体" w:cs="Calibri"/>
                <w:kern w:val="0"/>
                <w:szCs w:val="21"/>
              </w:rPr>
            </w:pPr>
            <w:r>
              <w:rPr>
                <w:rFonts w:ascii="Times New Roman" w:hAnsi="Times New Roman" w:eastAsia="宋体" w:cs="Times New Roman"/>
                <w:color w:val="000000"/>
                <w:kern w:val="0"/>
                <w:sz w:val="20"/>
                <w:szCs w:val="20"/>
              </w:rPr>
              <w:t>3.</w:t>
            </w:r>
            <w:r>
              <w:rPr>
                <w:rFonts w:hint="eastAsia" w:ascii="宋体" w:hAnsi="宋体" w:eastAsia="宋体" w:cs="Calibri"/>
                <w:color w:val="000000"/>
                <w:kern w:val="0"/>
                <w:sz w:val="20"/>
                <w:szCs w:val="20"/>
              </w:rPr>
              <w:t>补正后申请内容仍不明确</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6" w:space="0"/>
              <w:bottom w:val="outset"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943" w:type="dxa"/>
            <w:vMerge w:val="restart"/>
            <w:tcBorders>
              <w:top w:val="nil"/>
              <w:left w:val="nil"/>
              <w:bottom w:val="outset" w:color="auto" w:sz="6" w:space="0"/>
              <w:right w:val="single" w:color="auto" w:sz="6" w:space="0"/>
            </w:tcBorders>
            <w:tcMar>
              <w:top w:w="0" w:type="dxa"/>
              <w:left w:w="57" w:type="dxa"/>
              <w:bottom w:w="0" w:type="dxa"/>
              <w:right w:w="57" w:type="dxa"/>
            </w:tcMar>
            <w:vAlign w:val="center"/>
          </w:tcPr>
          <w:p>
            <w:pPr>
              <w:widowControl/>
              <w:spacing w:line="560" w:lineRule="exact"/>
              <w:jc w:val="left"/>
              <w:rPr>
                <w:rFonts w:ascii="Calibri" w:hAnsi="Calibri" w:eastAsia="宋体" w:cs="Calibri"/>
                <w:kern w:val="0"/>
                <w:szCs w:val="21"/>
              </w:rPr>
            </w:pPr>
            <w:r>
              <w:rPr>
                <w:rFonts w:hint="eastAsia" w:ascii="宋体" w:hAnsi="宋体" w:eastAsia="宋体" w:cs="Calibri"/>
                <w:color w:val="000000"/>
                <w:kern w:val="0"/>
                <w:sz w:val="20"/>
                <w:szCs w:val="20"/>
              </w:rPr>
              <w:t>（五）不予处理</w:t>
            </w:r>
          </w:p>
        </w:tc>
        <w:tc>
          <w:tcPr>
            <w:tcW w:w="3219" w:type="dxa"/>
            <w:tcBorders>
              <w:top w:val="nil"/>
              <w:left w:val="nil"/>
              <w:bottom w:val="single" w:color="auto" w:sz="6" w:space="0"/>
              <w:right w:val="single" w:color="auto" w:sz="6" w:space="0"/>
            </w:tcBorders>
            <w:tcMar>
              <w:top w:w="0" w:type="dxa"/>
              <w:left w:w="57" w:type="dxa"/>
              <w:bottom w:w="0" w:type="dxa"/>
              <w:right w:w="57" w:type="dxa"/>
            </w:tcMar>
          </w:tcPr>
          <w:p>
            <w:pPr>
              <w:widowControl/>
              <w:spacing w:line="560" w:lineRule="exact"/>
              <w:jc w:val="left"/>
              <w:rPr>
                <w:rFonts w:ascii="Calibri" w:hAnsi="Calibri" w:eastAsia="宋体" w:cs="Calibri"/>
                <w:kern w:val="0"/>
                <w:szCs w:val="21"/>
              </w:rPr>
            </w:pPr>
            <w:r>
              <w:rPr>
                <w:rFonts w:ascii="Times New Roman" w:hAnsi="Times New Roman" w:eastAsia="宋体" w:cs="Times New Roman"/>
                <w:color w:val="000000"/>
                <w:kern w:val="0"/>
                <w:sz w:val="20"/>
                <w:szCs w:val="20"/>
              </w:rPr>
              <w:t>1.</w:t>
            </w:r>
            <w:r>
              <w:rPr>
                <w:rFonts w:hint="eastAsia" w:ascii="宋体" w:hAnsi="宋体" w:eastAsia="宋体" w:cs="Calibri"/>
                <w:color w:val="000000"/>
                <w:kern w:val="0"/>
                <w:sz w:val="20"/>
                <w:szCs w:val="20"/>
              </w:rPr>
              <w:t>信访举报投诉类申请</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6" w:space="0"/>
              <w:bottom w:val="outset"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0" w:type="auto"/>
            <w:vMerge w:val="continue"/>
            <w:tcBorders>
              <w:top w:val="nil"/>
              <w:left w:val="nil"/>
              <w:bottom w:val="outset"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3219" w:type="dxa"/>
            <w:tcBorders>
              <w:top w:val="nil"/>
              <w:left w:val="nil"/>
              <w:bottom w:val="single" w:color="auto" w:sz="6" w:space="0"/>
              <w:right w:val="single" w:color="auto" w:sz="6" w:space="0"/>
            </w:tcBorders>
            <w:tcMar>
              <w:top w:w="0" w:type="dxa"/>
              <w:left w:w="57" w:type="dxa"/>
              <w:bottom w:w="0" w:type="dxa"/>
              <w:right w:w="57" w:type="dxa"/>
            </w:tcMar>
          </w:tcPr>
          <w:p>
            <w:pPr>
              <w:widowControl/>
              <w:spacing w:line="560" w:lineRule="exact"/>
              <w:jc w:val="left"/>
              <w:rPr>
                <w:rFonts w:ascii="Calibri" w:hAnsi="Calibri" w:eastAsia="宋体" w:cs="Calibri"/>
                <w:kern w:val="0"/>
                <w:szCs w:val="21"/>
              </w:rPr>
            </w:pPr>
            <w:r>
              <w:rPr>
                <w:rFonts w:ascii="Times New Roman" w:hAnsi="Times New Roman" w:eastAsia="宋体" w:cs="Times New Roman"/>
                <w:color w:val="000000"/>
                <w:kern w:val="0"/>
                <w:sz w:val="20"/>
                <w:szCs w:val="20"/>
              </w:rPr>
              <w:t>2.</w:t>
            </w:r>
            <w:r>
              <w:rPr>
                <w:rFonts w:hint="eastAsia" w:ascii="宋体" w:hAnsi="宋体" w:eastAsia="宋体" w:cs="Calibri"/>
                <w:color w:val="000000"/>
                <w:kern w:val="0"/>
                <w:sz w:val="20"/>
                <w:szCs w:val="20"/>
              </w:rPr>
              <w:t>重复申请</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6" w:space="0"/>
              <w:bottom w:val="outset"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0" w:type="auto"/>
            <w:vMerge w:val="continue"/>
            <w:tcBorders>
              <w:top w:val="nil"/>
              <w:left w:val="nil"/>
              <w:bottom w:val="outset"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3219" w:type="dxa"/>
            <w:tcBorders>
              <w:top w:val="nil"/>
              <w:left w:val="nil"/>
              <w:bottom w:val="single" w:color="auto" w:sz="6" w:space="0"/>
              <w:right w:val="single" w:color="auto" w:sz="6" w:space="0"/>
            </w:tcBorders>
            <w:tcMar>
              <w:top w:w="0" w:type="dxa"/>
              <w:left w:w="57" w:type="dxa"/>
              <w:bottom w:w="0" w:type="dxa"/>
              <w:right w:w="57" w:type="dxa"/>
            </w:tcMar>
          </w:tcPr>
          <w:p>
            <w:pPr>
              <w:widowControl/>
              <w:spacing w:line="560" w:lineRule="exact"/>
              <w:jc w:val="left"/>
              <w:rPr>
                <w:rFonts w:ascii="Calibri" w:hAnsi="Calibri" w:eastAsia="宋体" w:cs="Calibri"/>
                <w:kern w:val="0"/>
                <w:szCs w:val="21"/>
              </w:rPr>
            </w:pPr>
            <w:r>
              <w:rPr>
                <w:rFonts w:ascii="Times New Roman" w:hAnsi="Times New Roman" w:eastAsia="宋体" w:cs="Times New Roman"/>
                <w:color w:val="000000"/>
                <w:kern w:val="0"/>
                <w:sz w:val="20"/>
                <w:szCs w:val="20"/>
              </w:rPr>
              <w:t>3.</w:t>
            </w:r>
            <w:r>
              <w:rPr>
                <w:rFonts w:hint="eastAsia" w:ascii="宋体" w:hAnsi="宋体" w:eastAsia="宋体" w:cs="Calibri"/>
                <w:color w:val="000000"/>
                <w:kern w:val="0"/>
                <w:sz w:val="20"/>
                <w:szCs w:val="20"/>
              </w:rPr>
              <w:t>要求提供公开出版物</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6" w:space="0"/>
              <w:bottom w:val="outset"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0" w:type="auto"/>
            <w:vMerge w:val="continue"/>
            <w:tcBorders>
              <w:top w:val="nil"/>
              <w:left w:val="nil"/>
              <w:bottom w:val="outset"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3219" w:type="dxa"/>
            <w:tcBorders>
              <w:top w:val="nil"/>
              <w:left w:val="nil"/>
              <w:bottom w:val="single" w:color="auto" w:sz="6" w:space="0"/>
              <w:right w:val="single" w:color="auto" w:sz="6" w:space="0"/>
            </w:tcBorders>
            <w:tcMar>
              <w:top w:w="0" w:type="dxa"/>
              <w:left w:w="57" w:type="dxa"/>
              <w:bottom w:w="0" w:type="dxa"/>
              <w:right w:w="57" w:type="dxa"/>
            </w:tcMar>
          </w:tcPr>
          <w:p>
            <w:pPr>
              <w:widowControl/>
              <w:spacing w:line="560" w:lineRule="exact"/>
              <w:jc w:val="left"/>
              <w:rPr>
                <w:rFonts w:ascii="Calibri" w:hAnsi="Calibri" w:eastAsia="宋体" w:cs="Calibri"/>
                <w:kern w:val="0"/>
                <w:szCs w:val="21"/>
              </w:rPr>
            </w:pPr>
            <w:r>
              <w:rPr>
                <w:rFonts w:ascii="Times New Roman" w:hAnsi="Times New Roman" w:eastAsia="宋体" w:cs="Times New Roman"/>
                <w:color w:val="000000"/>
                <w:kern w:val="0"/>
                <w:sz w:val="20"/>
                <w:szCs w:val="20"/>
              </w:rPr>
              <w:t>4.</w:t>
            </w:r>
            <w:r>
              <w:rPr>
                <w:rFonts w:hint="eastAsia" w:ascii="宋体" w:hAnsi="宋体" w:eastAsia="宋体" w:cs="Calibri"/>
                <w:color w:val="000000"/>
                <w:kern w:val="0"/>
                <w:sz w:val="20"/>
                <w:szCs w:val="20"/>
              </w:rPr>
              <w:t>无正当理由大量反复申请</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6" w:space="0"/>
              <w:bottom w:val="outset"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0" w:type="auto"/>
            <w:vMerge w:val="continue"/>
            <w:tcBorders>
              <w:top w:val="nil"/>
              <w:left w:val="nil"/>
              <w:bottom w:val="outset"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3219" w:type="dxa"/>
            <w:tcBorders>
              <w:top w:val="nil"/>
              <w:left w:val="nil"/>
              <w:bottom w:val="outset" w:color="auto" w:sz="6" w:space="0"/>
              <w:right w:val="single" w:color="auto" w:sz="6" w:space="0"/>
            </w:tcBorders>
            <w:tcMar>
              <w:top w:w="0" w:type="dxa"/>
              <w:left w:w="57" w:type="dxa"/>
              <w:bottom w:w="0" w:type="dxa"/>
              <w:right w:w="57" w:type="dxa"/>
            </w:tcMar>
            <w:vAlign w:val="center"/>
          </w:tcPr>
          <w:p>
            <w:pPr>
              <w:widowControl/>
              <w:spacing w:line="560" w:lineRule="exact"/>
              <w:rPr>
                <w:rFonts w:ascii="Calibri" w:hAnsi="Calibri" w:eastAsia="宋体" w:cs="Calibri"/>
                <w:kern w:val="0"/>
                <w:szCs w:val="21"/>
              </w:rPr>
            </w:pPr>
            <w:r>
              <w:rPr>
                <w:rFonts w:ascii="Times New Roman" w:hAnsi="Times New Roman" w:eastAsia="宋体" w:cs="Times New Roman"/>
                <w:color w:val="000000"/>
                <w:kern w:val="0"/>
                <w:sz w:val="20"/>
                <w:szCs w:val="20"/>
              </w:rPr>
              <w:t>5.</w:t>
            </w:r>
            <w:r>
              <w:rPr>
                <w:rFonts w:hint="eastAsia" w:ascii="宋体" w:hAnsi="宋体" w:eastAsia="宋体" w:cs="Calibri"/>
                <w:color w:val="000000"/>
                <w:kern w:val="0"/>
                <w:sz w:val="20"/>
                <w:szCs w:val="20"/>
              </w:rPr>
              <w:t>要求行政机关确认或重新出具已获取信息</w:t>
            </w:r>
          </w:p>
        </w:tc>
        <w:tc>
          <w:tcPr>
            <w:tcW w:w="688" w:type="dxa"/>
            <w:tcBorders>
              <w:top w:val="nil"/>
              <w:left w:val="nil"/>
              <w:bottom w:val="outset"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outset"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outset"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outset"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outset"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outset"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outset"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6" w:space="0"/>
              <w:bottom w:val="outset"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943" w:type="dxa"/>
            <w:vMerge w:val="restart"/>
            <w:tcBorders>
              <w:top w:val="nil"/>
              <w:left w:val="nil"/>
              <w:bottom w:val="outset" w:color="auto" w:sz="6" w:space="0"/>
              <w:right w:val="single" w:color="auto" w:sz="6" w:space="0"/>
            </w:tcBorders>
            <w:tcMar>
              <w:top w:w="0" w:type="dxa"/>
              <w:left w:w="57" w:type="dxa"/>
              <w:bottom w:w="0" w:type="dxa"/>
              <w:right w:w="57" w:type="dxa"/>
            </w:tcMar>
            <w:vAlign w:val="center"/>
          </w:tcPr>
          <w:p>
            <w:pPr>
              <w:widowControl/>
              <w:spacing w:line="560" w:lineRule="exact"/>
              <w:jc w:val="left"/>
              <w:rPr>
                <w:rFonts w:ascii="Calibri" w:hAnsi="Calibri" w:eastAsia="宋体" w:cs="Calibri"/>
                <w:kern w:val="0"/>
                <w:szCs w:val="21"/>
              </w:rPr>
            </w:pPr>
            <w:r>
              <w:rPr>
                <w:rFonts w:hint="eastAsia" w:ascii="宋体" w:hAnsi="宋体" w:eastAsia="宋体" w:cs="Calibri"/>
                <w:color w:val="000000"/>
                <w:kern w:val="0"/>
                <w:sz w:val="20"/>
                <w:szCs w:val="20"/>
              </w:rPr>
              <w:t>（六）其他处理</w:t>
            </w:r>
          </w:p>
        </w:tc>
        <w:tc>
          <w:tcPr>
            <w:tcW w:w="3219"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rPr>
                <w:rFonts w:ascii="Calibri" w:hAnsi="Calibri" w:eastAsia="宋体" w:cs="Calibri"/>
                <w:kern w:val="0"/>
                <w:szCs w:val="21"/>
              </w:rPr>
            </w:pPr>
            <w:r>
              <w:rPr>
                <w:rFonts w:ascii="Times New Roman" w:hAnsi="Times New Roman" w:eastAsia="宋体" w:cs="Times New Roman"/>
                <w:color w:val="000000"/>
                <w:kern w:val="0"/>
                <w:sz w:val="20"/>
                <w:szCs w:val="20"/>
              </w:rPr>
              <w:t>1.</w:t>
            </w:r>
            <w:r>
              <w:rPr>
                <w:rFonts w:hint="eastAsia" w:ascii="宋体" w:hAnsi="宋体" w:eastAsia="宋体" w:cs="Calibri"/>
                <w:color w:val="000000"/>
                <w:kern w:val="0"/>
                <w:sz w:val="20"/>
                <w:szCs w:val="20"/>
              </w:rPr>
              <w:t>申请人无正当理由逾期不补正、行政机关不再处理其政府信息公开申请</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6" w:space="0"/>
              <w:bottom w:val="outset"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0" w:type="auto"/>
            <w:vMerge w:val="continue"/>
            <w:tcBorders>
              <w:top w:val="nil"/>
              <w:left w:val="nil"/>
              <w:bottom w:val="outset"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3219"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rPr>
                <w:rFonts w:ascii="Calibri" w:hAnsi="Calibri" w:eastAsia="宋体" w:cs="Calibri"/>
                <w:kern w:val="0"/>
                <w:szCs w:val="21"/>
              </w:rPr>
            </w:pPr>
            <w:r>
              <w:rPr>
                <w:rFonts w:ascii="Times New Roman" w:hAnsi="Times New Roman" w:eastAsia="宋体" w:cs="Times New Roman"/>
                <w:color w:val="000000"/>
                <w:kern w:val="0"/>
                <w:sz w:val="20"/>
                <w:szCs w:val="20"/>
              </w:rPr>
              <w:t>2.</w:t>
            </w:r>
            <w:r>
              <w:rPr>
                <w:rFonts w:hint="eastAsia" w:ascii="宋体" w:hAnsi="宋体" w:eastAsia="宋体" w:cs="Calibri"/>
                <w:color w:val="000000"/>
                <w:kern w:val="0"/>
                <w:sz w:val="20"/>
                <w:szCs w:val="20"/>
              </w:rPr>
              <w:t>申请人逾期未按收费通知要求缴纳费用、行政机关不再处理其政府信息公开申请</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6" w:space="0"/>
              <w:bottom w:val="outset"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0" w:type="auto"/>
            <w:vMerge w:val="continue"/>
            <w:tcBorders>
              <w:top w:val="nil"/>
              <w:left w:val="nil"/>
              <w:bottom w:val="outset"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3219"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left"/>
              <w:rPr>
                <w:rFonts w:ascii="Calibri" w:hAnsi="Calibri" w:eastAsia="宋体" w:cs="Calibri"/>
                <w:kern w:val="0"/>
                <w:szCs w:val="21"/>
              </w:rPr>
            </w:pPr>
            <w:r>
              <w:rPr>
                <w:rFonts w:ascii="Times New Roman" w:hAnsi="Times New Roman" w:eastAsia="宋体" w:cs="Times New Roman"/>
                <w:color w:val="000000"/>
                <w:kern w:val="0"/>
                <w:sz w:val="20"/>
                <w:szCs w:val="20"/>
              </w:rPr>
              <w:t>3.</w:t>
            </w:r>
            <w:r>
              <w:rPr>
                <w:rFonts w:hint="eastAsia" w:ascii="宋体" w:hAnsi="宋体" w:eastAsia="宋体" w:cs="Calibri"/>
                <w:color w:val="000000"/>
                <w:kern w:val="0"/>
                <w:sz w:val="20"/>
                <w:szCs w:val="20"/>
              </w:rPr>
              <w:t>其他</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6" w:space="0"/>
              <w:bottom w:val="outset"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4162" w:type="dxa"/>
            <w:gridSpan w:val="2"/>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left"/>
              <w:rPr>
                <w:rFonts w:ascii="Calibri" w:hAnsi="Calibri" w:eastAsia="宋体" w:cs="Calibri"/>
                <w:kern w:val="0"/>
                <w:szCs w:val="21"/>
              </w:rPr>
            </w:pPr>
            <w:r>
              <w:rPr>
                <w:rFonts w:hint="eastAsia" w:ascii="宋体" w:hAnsi="宋体" w:eastAsia="宋体" w:cs="Calibri"/>
                <w:color w:val="000000"/>
                <w:kern w:val="0"/>
                <w:sz w:val="20"/>
                <w:szCs w:val="20"/>
              </w:rPr>
              <w:t>（七）总计</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r>
      <w:tr>
        <w:tblPrEx>
          <w:tblCellMar>
            <w:top w:w="0" w:type="dxa"/>
            <w:left w:w="0" w:type="dxa"/>
            <w:bottom w:w="0" w:type="dxa"/>
            <w:right w:w="0" w:type="dxa"/>
          </w:tblCellMar>
        </w:tblPrEx>
        <w:trPr>
          <w:jc w:val="center"/>
        </w:trPr>
        <w:tc>
          <w:tcPr>
            <w:tcW w:w="4929" w:type="dxa"/>
            <w:gridSpan w:val="3"/>
            <w:tcBorders>
              <w:top w:val="nil"/>
              <w:left w:val="single" w:color="auto" w:sz="6" w:space="0"/>
              <w:bottom w:val="single" w:color="auto" w:sz="6" w:space="0"/>
              <w:right w:val="single" w:color="auto" w:sz="6" w:space="0"/>
            </w:tcBorders>
            <w:tcMar>
              <w:top w:w="0" w:type="dxa"/>
              <w:left w:w="57" w:type="dxa"/>
              <w:bottom w:w="0" w:type="dxa"/>
              <w:right w:w="57" w:type="dxa"/>
            </w:tcMar>
            <w:vAlign w:val="center"/>
          </w:tcPr>
          <w:p>
            <w:pPr>
              <w:widowControl/>
              <w:spacing w:line="560" w:lineRule="exact"/>
              <w:jc w:val="left"/>
              <w:rPr>
                <w:rFonts w:ascii="Calibri" w:hAnsi="Calibri" w:eastAsia="宋体" w:cs="Calibri"/>
                <w:kern w:val="0"/>
                <w:szCs w:val="21"/>
              </w:rPr>
            </w:pPr>
            <w:r>
              <w:rPr>
                <w:rFonts w:hint="eastAsia" w:ascii="宋体" w:hAnsi="宋体" w:eastAsia="宋体" w:cs="Calibri"/>
                <w:color w:val="000000"/>
                <w:kern w:val="0"/>
                <w:sz w:val="20"/>
                <w:szCs w:val="20"/>
              </w:rPr>
              <w:t>四、结转下年度继续办理</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6" w:space="0"/>
              <w:right w:val="single" w:color="auto" w:sz="6" w:space="0"/>
            </w:tcBorders>
            <w:tcMar>
              <w:top w:w="0" w:type="dxa"/>
              <w:left w:w="57" w:type="dxa"/>
              <w:bottom w:w="0" w:type="dxa"/>
              <w:right w:w="57"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4"/>
                <w:szCs w:val="24"/>
              </w:rPr>
              <w:t>0</w:t>
            </w:r>
          </w:p>
        </w:tc>
      </w:tr>
    </w:tbl>
    <w:p>
      <w:pPr>
        <w:widowControl/>
        <w:spacing w:line="560" w:lineRule="exact"/>
        <w:ind w:firstLine="160"/>
        <w:rPr>
          <w:rFonts w:ascii="Calibri" w:hAnsi="Calibri" w:eastAsia="宋体" w:cs="Calibri"/>
          <w:kern w:val="0"/>
          <w:szCs w:val="21"/>
        </w:rPr>
      </w:pPr>
      <w:r>
        <w:rPr>
          <w:rFonts w:hint="eastAsia" w:ascii="黑体" w:hAnsi="黑体" w:eastAsia="黑体" w:cs="Calibri"/>
          <w:kern w:val="0"/>
          <w:sz w:val="32"/>
          <w:szCs w:val="32"/>
        </w:rPr>
        <w:t>  四、政府信息公开行政复议、行政诉讼情况</w:t>
      </w:r>
    </w:p>
    <w:tbl>
      <w:tblPr>
        <w:tblStyle w:val="4"/>
        <w:tblW w:w="9750"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1"/>
        <w:gridCol w:w="651"/>
        <w:gridCol w:w="651"/>
        <w:gridCol w:w="651"/>
        <w:gridCol w:w="651"/>
        <w:gridCol w:w="651"/>
        <w:gridCol w:w="651"/>
      </w:tblGrid>
      <w:tr>
        <w:tblPrEx>
          <w:tblCellMar>
            <w:top w:w="0" w:type="dxa"/>
            <w:left w:w="0" w:type="dxa"/>
            <w:bottom w:w="0" w:type="dxa"/>
            <w:right w:w="0" w:type="dxa"/>
          </w:tblCellMar>
        </w:tblPrEx>
        <w:trPr>
          <w:jc w:val="center"/>
        </w:trPr>
        <w:tc>
          <w:tcPr>
            <w:tcW w:w="3245" w:type="dxa"/>
            <w:gridSpan w:val="5"/>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行政复议</w:t>
            </w:r>
          </w:p>
        </w:tc>
        <w:tc>
          <w:tcPr>
            <w:tcW w:w="6498" w:type="dxa"/>
            <w:gridSpan w:val="10"/>
            <w:tcBorders>
              <w:top w:val="single" w:color="auto" w:sz="6" w:space="0"/>
              <w:left w:val="nil"/>
              <w:bottom w:val="single" w:color="auto" w:sz="6" w:space="0"/>
              <w:right w:val="single" w:color="auto" w:sz="6"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行政诉讼</w:t>
            </w:r>
          </w:p>
        </w:tc>
      </w:tr>
      <w:tr>
        <w:tblPrEx>
          <w:tblCellMar>
            <w:top w:w="0" w:type="dxa"/>
            <w:left w:w="0" w:type="dxa"/>
            <w:bottom w:w="0" w:type="dxa"/>
            <w:right w:w="0" w:type="dxa"/>
          </w:tblCellMar>
        </w:tblPrEx>
        <w:trPr>
          <w:jc w:val="center"/>
        </w:trPr>
        <w:tc>
          <w:tcPr>
            <w:tcW w:w="649" w:type="dxa"/>
            <w:vMerge w:val="restart"/>
            <w:tcBorders>
              <w:top w:val="nil"/>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结果维持</w:t>
            </w:r>
          </w:p>
        </w:tc>
        <w:tc>
          <w:tcPr>
            <w:tcW w:w="649" w:type="dxa"/>
            <w:vMerge w:val="restart"/>
            <w:tcBorders>
              <w:top w:val="nil"/>
              <w:left w:val="nil"/>
              <w:bottom w:val="single" w:color="auto" w:sz="6" w:space="0"/>
              <w:right w:val="single" w:color="auto" w:sz="6"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结果</w:t>
            </w:r>
            <w:r>
              <w:rPr>
                <w:rFonts w:ascii="Times New Roman" w:hAnsi="Times New Roman" w:eastAsia="宋体" w:cs="Times New Roman"/>
                <w:color w:val="000000"/>
                <w:kern w:val="0"/>
                <w:sz w:val="20"/>
                <w:szCs w:val="20"/>
              </w:rPr>
              <w:br w:type="textWrapping"/>
            </w:r>
            <w:r>
              <w:rPr>
                <w:rFonts w:hint="eastAsia" w:ascii="宋体" w:hAnsi="宋体" w:eastAsia="宋体" w:cs="Calibri"/>
                <w:color w:val="000000"/>
                <w:kern w:val="0"/>
                <w:sz w:val="20"/>
                <w:szCs w:val="20"/>
              </w:rPr>
              <w:t>纠正</w:t>
            </w:r>
          </w:p>
        </w:tc>
        <w:tc>
          <w:tcPr>
            <w:tcW w:w="649" w:type="dxa"/>
            <w:vMerge w:val="restart"/>
            <w:tcBorders>
              <w:top w:val="nil"/>
              <w:left w:val="nil"/>
              <w:bottom w:val="single" w:color="auto" w:sz="6" w:space="0"/>
              <w:right w:val="single" w:color="auto" w:sz="6"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其他</w:t>
            </w:r>
            <w:r>
              <w:rPr>
                <w:rFonts w:ascii="Times New Roman" w:hAnsi="Times New Roman" w:eastAsia="宋体" w:cs="Times New Roman"/>
                <w:color w:val="000000"/>
                <w:kern w:val="0"/>
                <w:sz w:val="20"/>
                <w:szCs w:val="20"/>
              </w:rPr>
              <w:br w:type="textWrapping"/>
            </w:r>
            <w:r>
              <w:rPr>
                <w:rFonts w:hint="eastAsia" w:ascii="宋体" w:hAnsi="宋体" w:eastAsia="宋体" w:cs="Calibri"/>
                <w:color w:val="000000"/>
                <w:kern w:val="0"/>
                <w:sz w:val="20"/>
                <w:szCs w:val="20"/>
              </w:rPr>
              <w:t>结果</w:t>
            </w:r>
          </w:p>
        </w:tc>
        <w:tc>
          <w:tcPr>
            <w:tcW w:w="649" w:type="dxa"/>
            <w:vMerge w:val="restart"/>
            <w:tcBorders>
              <w:top w:val="nil"/>
              <w:left w:val="nil"/>
              <w:bottom w:val="single" w:color="auto" w:sz="6" w:space="0"/>
              <w:right w:val="single" w:color="auto" w:sz="6"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尚未</w:t>
            </w:r>
            <w:r>
              <w:rPr>
                <w:rFonts w:ascii="Times New Roman" w:hAnsi="Times New Roman" w:eastAsia="宋体" w:cs="Times New Roman"/>
                <w:color w:val="000000"/>
                <w:kern w:val="0"/>
                <w:sz w:val="20"/>
                <w:szCs w:val="20"/>
              </w:rPr>
              <w:br w:type="textWrapping"/>
            </w:r>
            <w:r>
              <w:rPr>
                <w:rFonts w:hint="eastAsia" w:ascii="宋体" w:hAnsi="宋体" w:eastAsia="宋体" w:cs="Calibri"/>
                <w:color w:val="000000"/>
                <w:kern w:val="0"/>
                <w:sz w:val="20"/>
                <w:szCs w:val="20"/>
              </w:rPr>
              <w:t>审结</w:t>
            </w:r>
          </w:p>
        </w:tc>
        <w:tc>
          <w:tcPr>
            <w:tcW w:w="649" w:type="dxa"/>
            <w:vMerge w:val="restart"/>
            <w:tcBorders>
              <w:top w:val="nil"/>
              <w:left w:val="nil"/>
              <w:bottom w:val="single" w:color="auto" w:sz="6" w:space="0"/>
              <w:right w:val="single" w:color="auto" w:sz="6"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总计</w:t>
            </w:r>
          </w:p>
        </w:tc>
        <w:tc>
          <w:tcPr>
            <w:tcW w:w="3248" w:type="dxa"/>
            <w:gridSpan w:val="5"/>
            <w:tcBorders>
              <w:top w:val="nil"/>
              <w:left w:val="nil"/>
              <w:bottom w:val="single" w:color="auto" w:sz="6" w:space="0"/>
              <w:right w:val="single" w:color="auto" w:sz="6"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未经复议直接起诉</w:t>
            </w:r>
          </w:p>
        </w:tc>
        <w:tc>
          <w:tcPr>
            <w:tcW w:w="3250" w:type="dxa"/>
            <w:gridSpan w:val="5"/>
            <w:tcBorders>
              <w:top w:val="nil"/>
              <w:left w:val="nil"/>
              <w:bottom w:val="single" w:color="auto" w:sz="6" w:space="0"/>
              <w:right w:val="single" w:color="auto" w:sz="6"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0" w:type="auto"/>
            <w:vMerge w:val="continue"/>
            <w:tcBorders>
              <w:top w:val="nil"/>
              <w:left w:val="nil"/>
              <w:bottom w:val="single"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0" w:type="auto"/>
            <w:vMerge w:val="continue"/>
            <w:tcBorders>
              <w:top w:val="nil"/>
              <w:left w:val="nil"/>
              <w:bottom w:val="single"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0" w:type="auto"/>
            <w:vMerge w:val="continue"/>
            <w:tcBorders>
              <w:top w:val="nil"/>
              <w:left w:val="nil"/>
              <w:bottom w:val="single"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0" w:type="auto"/>
            <w:vMerge w:val="continue"/>
            <w:tcBorders>
              <w:top w:val="nil"/>
              <w:left w:val="nil"/>
              <w:bottom w:val="single" w:color="auto" w:sz="6" w:space="0"/>
              <w:right w:val="single" w:color="auto" w:sz="6" w:space="0"/>
            </w:tcBorders>
            <w:vAlign w:val="center"/>
          </w:tcPr>
          <w:p>
            <w:pPr>
              <w:widowControl/>
              <w:spacing w:line="560" w:lineRule="exact"/>
              <w:jc w:val="left"/>
              <w:rPr>
                <w:rFonts w:ascii="Calibri" w:hAnsi="Calibri" w:eastAsia="宋体" w:cs="Calibri"/>
                <w:kern w:val="0"/>
                <w:szCs w:val="21"/>
              </w:rPr>
            </w:pPr>
          </w:p>
        </w:tc>
        <w:tc>
          <w:tcPr>
            <w:tcW w:w="649" w:type="dxa"/>
            <w:tcBorders>
              <w:top w:val="nil"/>
              <w:left w:val="nil"/>
              <w:bottom w:val="single" w:color="auto" w:sz="6" w:space="0"/>
              <w:right w:val="single" w:color="auto" w:sz="6"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结果</w:t>
            </w:r>
            <w:r>
              <w:rPr>
                <w:rFonts w:ascii="Times New Roman" w:hAnsi="Times New Roman" w:eastAsia="宋体" w:cs="Times New Roman"/>
                <w:color w:val="000000"/>
                <w:kern w:val="0"/>
                <w:sz w:val="20"/>
                <w:szCs w:val="20"/>
              </w:rPr>
              <w:br w:type="textWrapping"/>
            </w:r>
            <w:r>
              <w:rPr>
                <w:rFonts w:hint="eastAsia" w:ascii="宋体" w:hAnsi="宋体" w:eastAsia="宋体" w:cs="Calibri"/>
                <w:color w:val="000000"/>
                <w:kern w:val="0"/>
                <w:sz w:val="20"/>
                <w:szCs w:val="20"/>
              </w:rPr>
              <w:t>维持</w:t>
            </w:r>
          </w:p>
        </w:tc>
        <w:tc>
          <w:tcPr>
            <w:tcW w:w="649" w:type="dxa"/>
            <w:tcBorders>
              <w:top w:val="nil"/>
              <w:left w:val="nil"/>
              <w:bottom w:val="single" w:color="auto" w:sz="6" w:space="0"/>
              <w:right w:val="single" w:color="auto" w:sz="6"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结果</w:t>
            </w:r>
            <w:r>
              <w:rPr>
                <w:rFonts w:ascii="Times New Roman" w:hAnsi="Times New Roman" w:eastAsia="宋体" w:cs="Times New Roman"/>
                <w:color w:val="000000"/>
                <w:kern w:val="0"/>
                <w:sz w:val="20"/>
                <w:szCs w:val="20"/>
              </w:rPr>
              <w:br w:type="textWrapping"/>
            </w:r>
            <w:r>
              <w:rPr>
                <w:rFonts w:hint="eastAsia" w:ascii="宋体" w:hAnsi="宋体" w:eastAsia="宋体" w:cs="Calibri"/>
                <w:color w:val="000000"/>
                <w:kern w:val="0"/>
                <w:sz w:val="20"/>
                <w:szCs w:val="20"/>
              </w:rPr>
              <w:t>纠正</w:t>
            </w:r>
          </w:p>
        </w:tc>
        <w:tc>
          <w:tcPr>
            <w:tcW w:w="650" w:type="dxa"/>
            <w:tcBorders>
              <w:top w:val="nil"/>
              <w:left w:val="nil"/>
              <w:bottom w:val="single" w:color="auto" w:sz="6" w:space="0"/>
              <w:right w:val="single" w:color="auto" w:sz="6"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其他</w:t>
            </w:r>
            <w:r>
              <w:rPr>
                <w:rFonts w:ascii="Times New Roman" w:hAnsi="Times New Roman" w:eastAsia="宋体" w:cs="Times New Roman"/>
                <w:color w:val="000000"/>
                <w:kern w:val="0"/>
                <w:sz w:val="20"/>
                <w:szCs w:val="20"/>
              </w:rPr>
              <w:br w:type="textWrapping"/>
            </w:r>
            <w:r>
              <w:rPr>
                <w:rFonts w:hint="eastAsia" w:ascii="宋体" w:hAnsi="宋体" w:eastAsia="宋体" w:cs="Calibri"/>
                <w:color w:val="000000"/>
                <w:kern w:val="0"/>
                <w:sz w:val="20"/>
                <w:szCs w:val="20"/>
              </w:rPr>
              <w:t>结果</w:t>
            </w:r>
          </w:p>
        </w:tc>
        <w:tc>
          <w:tcPr>
            <w:tcW w:w="650" w:type="dxa"/>
            <w:tcBorders>
              <w:top w:val="nil"/>
              <w:left w:val="nil"/>
              <w:bottom w:val="single" w:color="auto" w:sz="6" w:space="0"/>
              <w:right w:val="single" w:color="auto" w:sz="6"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尚未</w:t>
            </w:r>
            <w:r>
              <w:rPr>
                <w:rFonts w:ascii="Times New Roman" w:hAnsi="Times New Roman" w:eastAsia="宋体" w:cs="Times New Roman"/>
                <w:color w:val="000000"/>
                <w:kern w:val="0"/>
                <w:sz w:val="20"/>
                <w:szCs w:val="20"/>
              </w:rPr>
              <w:br w:type="textWrapping"/>
            </w:r>
            <w:r>
              <w:rPr>
                <w:rFonts w:hint="eastAsia" w:ascii="宋体" w:hAnsi="宋体" w:eastAsia="宋体" w:cs="Calibri"/>
                <w:color w:val="000000"/>
                <w:kern w:val="0"/>
                <w:sz w:val="20"/>
                <w:szCs w:val="20"/>
              </w:rPr>
              <w:t>审结</w:t>
            </w:r>
          </w:p>
        </w:tc>
        <w:tc>
          <w:tcPr>
            <w:tcW w:w="650" w:type="dxa"/>
            <w:tcBorders>
              <w:top w:val="nil"/>
              <w:left w:val="nil"/>
              <w:bottom w:val="single" w:color="auto" w:sz="6" w:space="0"/>
              <w:right w:val="single" w:color="auto" w:sz="6"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总计</w:t>
            </w:r>
          </w:p>
        </w:tc>
        <w:tc>
          <w:tcPr>
            <w:tcW w:w="650" w:type="dxa"/>
            <w:tcBorders>
              <w:top w:val="nil"/>
              <w:left w:val="nil"/>
              <w:bottom w:val="single" w:color="auto" w:sz="6" w:space="0"/>
              <w:right w:val="single" w:color="auto" w:sz="6"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结果</w:t>
            </w:r>
            <w:r>
              <w:rPr>
                <w:rFonts w:ascii="Times New Roman" w:hAnsi="Times New Roman" w:eastAsia="宋体" w:cs="Times New Roman"/>
                <w:color w:val="000000"/>
                <w:kern w:val="0"/>
                <w:sz w:val="20"/>
                <w:szCs w:val="20"/>
              </w:rPr>
              <w:br w:type="textWrapping"/>
            </w:r>
            <w:r>
              <w:rPr>
                <w:rFonts w:hint="eastAsia" w:ascii="宋体" w:hAnsi="宋体" w:eastAsia="宋体" w:cs="Calibri"/>
                <w:color w:val="000000"/>
                <w:kern w:val="0"/>
                <w:sz w:val="20"/>
                <w:szCs w:val="20"/>
              </w:rPr>
              <w:t>维持</w:t>
            </w:r>
          </w:p>
        </w:tc>
        <w:tc>
          <w:tcPr>
            <w:tcW w:w="650" w:type="dxa"/>
            <w:tcBorders>
              <w:top w:val="nil"/>
              <w:left w:val="nil"/>
              <w:bottom w:val="single" w:color="auto" w:sz="6" w:space="0"/>
              <w:right w:val="single" w:color="auto" w:sz="6"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结果</w:t>
            </w:r>
            <w:r>
              <w:rPr>
                <w:rFonts w:ascii="Times New Roman" w:hAnsi="Times New Roman" w:eastAsia="宋体" w:cs="Times New Roman"/>
                <w:color w:val="000000"/>
                <w:kern w:val="0"/>
                <w:sz w:val="20"/>
                <w:szCs w:val="20"/>
              </w:rPr>
              <w:br w:type="textWrapping"/>
            </w:r>
            <w:r>
              <w:rPr>
                <w:rFonts w:hint="eastAsia" w:ascii="宋体" w:hAnsi="宋体" w:eastAsia="宋体" w:cs="Calibri"/>
                <w:color w:val="000000"/>
                <w:kern w:val="0"/>
                <w:sz w:val="20"/>
                <w:szCs w:val="20"/>
              </w:rPr>
              <w:t>纠正</w:t>
            </w:r>
          </w:p>
        </w:tc>
        <w:tc>
          <w:tcPr>
            <w:tcW w:w="650" w:type="dxa"/>
            <w:tcBorders>
              <w:top w:val="nil"/>
              <w:left w:val="nil"/>
              <w:bottom w:val="single" w:color="auto" w:sz="6" w:space="0"/>
              <w:right w:val="single" w:color="auto" w:sz="6"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其他</w:t>
            </w:r>
            <w:r>
              <w:rPr>
                <w:rFonts w:ascii="Times New Roman" w:hAnsi="Times New Roman" w:eastAsia="宋体" w:cs="Times New Roman"/>
                <w:color w:val="000000"/>
                <w:kern w:val="0"/>
                <w:sz w:val="20"/>
                <w:szCs w:val="20"/>
              </w:rPr>
              <w:br w:type="textWrapping"/>
            </w:r>
            <w:r>
              <w:rPr>
                <w:rFonts w:hint="eastAsia" w:ascii="宋体" w:hAnsi="宋体" w:eastAsia="宋体" w:cs="Calibri"/>
                <w:color w:val="000000"/>
                <w:kern w:val="0"/>
                <w:sz w:val="20"/>
                <w:szCs w:val="20"/>
              </w:rPr>
              <w:t>结果</w:t>
            </w:r>
          </w:p>
        </w:tc>
        <w:tc>
          <w:tcPr>
            <w:tcW w:w="650" w:type="dxa"/>
            <w:tcBorders>
              <w:top w:val="nil"/>
              <w:left w:val="nil"/>
              <w:bottom w:val="single" w:color="auto" w:sz="6" w:space="0"/>
              <w:right w:val="single" w:color="auto" w:sz="6"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尚未</w:t>
            </w:r>
            <w:r>
              <w:rPr>
                <w:rFonts w:ascii="Times New Roman" w:hAnsi="Times New Roman" w:eastAsia="宋体" w:cs="Times New Roman"/>
                <w:color w:val="000000"/>
                <w:kern w:val="0"/>
                <w:sz w:val="20"/>
                <w:szCs w:val="20"/>
              </w:rPr>
              <w:br w:type="textWrapping"/>
            </w:r>
            <w:r>
              <w:rPr>
                <w:rFonts w:hint="eastAsia" w:ascii="宋体" w:hAnsi="宋体" w:eastAsia="宋体" w:cs="Calibri"/>
                <w:color w:val="000000"/>
                <w:kern w:val="0"/>
                <w:sz w:val="20"/>
                <w:szCs w:val="20"/>
              </w:rPr>
              <w:t>审结</w:t>
            </w:r>
          </w:p>
        </w:tc>
        <w:tc>
          <w:tcPr>
            <w:tcW w:w="650" w:type="dxa"/>
            <w:tcBorders>
              <w:top w:val="nil"/>
              <w:left w:val="nil"/>
              <w:bottom w:val="single" w:color="auto" w:sz="6" w:space="0"/>
              <w:right w:val="single" w:color="auto" w:sz="6"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Cs w:val="21"/>
              </w:rPr>
            </w:pPr>
            <w:r>
              <w:rPr>
                <w:rFonts w:hint="eastAsia" w:ascii="宋体" w:hAnsi="宋体" w:eastAsia="宋体" w:cs="Calibri"/>
                <w:color w:val="000000"/>
                <w:kern w:val="0"/>
                <w:sz w:val="20"/>
                <w:szCs w:val="20"/>
              </w:rPr>
              <w:t>总计</w:t>
            </w:r>
          </w:p>
        </w:tc>
      </w:tr>
      <w:tr>
        <w:tblPrEx>
          <w:tblCellMar>
            <w:top w:w="0" w:type="dxa"/>
            <w:left w:w="0" w:type="dxa"/>
            <w:bottom w:w="0" w:type="dxa"/>
            <w:right w:w="0" w:type="dxa"/>
          </w:tblCellMar>
        </w:tblPrEx>
        <w:trPr>
          <w:trHeight w:val="512" w:hRule="atLeast"/>
          <w:jc w:val="center"/>
        </w:trPr>
        <w:tc>
          <w:tcPr>
            <w:tcW w:w="649" w:type="dxa"/>
            <w:tcBorders>
              <w:top w:val="nil"/>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49" w:type="dxa"/>
            <w:tcBorders>
              <w:top w:val="nil"/>
              <w:left w:val="nil"/>
              <w:bottom w:val="single" w:color="auto" w:sz="6" w:space="0"/>
              <w:right w:val="single" w:color="auto" w:sz="6"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49" w:type="dxa"/>
            <w:tcBorders>
              <w:top w:val="nil"/>
              <w:left w:val="nil"/>
              <w:bottom w:val="single" w:color="auto" w:sz="6" w:space="0"/>
              <w:right w:val="single" w:color="auto" w:sz="6"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49" w:type="dxa"/>
            <w:tcBorders>
              <w:top w:val="nil"/>
              <w:left w:val="nil"/>
              <w:bottom w:val="single" w:color="auto" w:sz="6" w:space="0"/>
              <w:right w:val="single" w:color="auto" w:sz="6"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49" w:type="dxa"/>
            <w:tcBorders>
              <w:top w:val="nil"/>
              <w:left w:val="nil"/>
              <w:bottom w:val="single" w:color="auto" w:sz="6" w:space="0"/>
              <w:right w:val="single" w:color="auto" w:sz="6"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49" w:type="dxa"/>
            <w:tcBorders>
              <w:top w:val="nil"/>
              <w:left w:val="nil"/>
              <w:bottom w:val="single" w:color="auto" w:sz="6" w:space="0"/>
              <w:right w:val="single" w:color="auto" w:sz="6"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49" w:type="dxa"/>
            <w:tcBorders>
              <w:top w:val="nil"/>
              <w:left w:val="nil"/>
              <w:bottom w:val="single" w:color="auto" w:sz="6" w:space="0"/>
              <w:right w:val="single" w:color="auto" w:sz="6"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50" w:type="dxa"/>
            <w:tcBorders>
              <w:top w:val="nil"/>
              <w:left w:val="nil"/>
              <w:bottom w:val="single" w:color="auto" w:sz="6" w:space="0"/>
              <w:right w:val="single" w:color="auto" w:sz="6"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50" w:type="dxa"/>
            <w:tcBorders>
              <w:top w:val="nil"/>
              <w:left w:val="nil"/>
              <w:bottom w:val="single" w:color="auto" w:sz="6" w:space="0"/>
              <w:right w:val="single" w:color="auto" w:sz="6"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50" w:type="dxa"/>
            <w:tcBorders>
              <w:top w:val="nil"/>
              <w:left w:val="nil"/>
              <w:bottom w:val="single" w:color="auto" w:sz="6" w:space="0"/>
              <w:right w:val="single" w:color="auto" w:sz="6"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50" w:type="dxa"/>
            <w:tcBorders>
              <w:top w:val="nil"/>
              <w:left w:val="nil"/>
              <w:bottom w:val="single" w:color="auto" w:sz="6" w:space="0"/>
              <w:right w:val="single" w:color="auto" w:sz="6"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50" w:type="dxa"/>
            <w:tcBorders>
              <w:top w:val="nil"/>
              <w:left w:val="nil"/>
              <w:bottom w:val="single" w:color="auto" w:sz="6" w:space="0"/>
              <w:right w:val="single" w:color="auto" w:sz="6"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50" w:type="dxa"/>
            <w:tcBorders>
              <w:top w:val="nil"/>
              <w:left w:val="nil"/>
              <w:bottom w:val="single" w:color="auto" w:sz="6" w:space="0"/>
              <w:right w:val="single" w:color="auto" w:sz="6"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50" w:type="dxa"/>
            <w:tcBorders>
              <w:top w:val="nil"/>
              <w:left w:val="nil"/>
              <w:bottom w:val="single" w:color="auto" w:sz="6" w:space="0"/>
              <w:right w:val="single" w:color="auto" w:sz="6"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0"/>
                <w:szCs w:val="20"/>
              </w:rPr>
              <w:t>0</w:t>
            </w:r>
          </w:p>
        </w:tc>
        <w:tc>
          <w:tcPr>
            <w:tcW w:w="650" w:type="dxa"/>
            <w:tcBorders>
              <w:top w:val="nil"/>
              <w:left w:val="nil"/>
              <w:bottom w:val="single" w:color="auto" w:sz="6" w:space="0"/>
              <w:right w:val="single" w:color="auto" w:sz="6" w:space="0"/>
            </w:tcBorders>
            <w:tcMar>
              <w:top w:w="0" w:type="dxa"/>
              <w:left w:w="108" w:type="dxa"/>
              <w:bottom w:w="0" w:type="dxa"/>
              <w:right w:w="108" w:type="dxa"/>
            </w:tcMar>
            <w:vAlign w:val="center"/>
          </w:tcPr>
          <w:p>
            <w:pPr>
              <w:widowControl/>
              <w:spacing w:line="560" w:lineRule="exact"/>
              <w:jc w:val="center"/>
              <w:rPr>
                <w:rFonts w:ascii="Calibri" w:hAnsi="Calibri" w:eastAsia="宋体" w:cs="Calibri"/>
                <w:kern w:val="0"/>
                <w:szCs w:val="21"/>
              </w:rPr>
            </w:pPr>
            <w:r>
              <w:rPr>
                <w:rFonts w:ascii="Times New Roman" w:hAnsi="Times New Roman" w:eastAsia="宋体" w:cs="Times New Roman"/>
                <w:color w:val="000000"/>
                <w:kern w:val="0"/>
                <w:sz w:val="24"/>
                <w:szCs w:val="24"/>
              </w:rPr>
              <w:t>0</w:t>
            </w:r>
          </w:p>
        </w:tc>
      </w:tr>
    </w:tbl>
    <w:p>
      <w:pPr>
        <w:widowControl/>
        <w:spacing w:line="560" w:lineRule="exact"/>
        <w:ind w:firstLine="320"/>
        <w:rPr>
          <w:rFonts w:ascii="Calibri" w:hAnsi="Calibri" w:eastAsia="宋体" w:cs="Calibri"/>
          <w:kern w:val="0"/>
          <w:szCs w:val="21"/>
        </w:rPr>
      </w:pPr>
      <w:r>
        <w:rPr>
          <w:rFonts w:hint="eastAsia" w:ascii="黑体" w:hAnsi="黑体" w:eastAsia="黑体" w:cs="Calibri"/>
          <w:kern w:val="0"/>
          <w:sz w:val="32"/>
          <w:szCs w:val="32"/>
        </w:rPr>
        <w:t>  五、存在的主要问题及改进情况</w:t>
      </w:r>
    </w:p>
    <w:p>
      <w:pPr>
        <w:widowControl/>
        <w:spacing w:line="560" w:lineRule="exact"/>
        <w:ind w:firstLine="320"/>
        <w:rPr>
          <w:rFonts w:ascii="Calibri" w:hAnsi="Calibri" w:eastAsia="宋体" w:cs="Calibri"/>
          <w:kern w:val="0"/>
          <w:szCs w:val="21"/>
        </w:rPr>
      </w:pPr>
      <w:r>
        <w:rPr>
          <w:rFonts w:ascii="Times New Roman" w:hAnsi="Times New Roman" w:eastAsia="宋体" w:cs="Times New Roman"/>
          <w:kern w:val="0"/>
          <w:sz w:val="32"/>
          <w:szCs w:val="32"/>
        </w:rPr>
        <w:t>  (</w:t>
      </w:r>
      <w:r>
        <w:rPr>
          <w:rFonts w:hint="eastAsia" w:ascii="楷体_GB2312" w:hAnsi="Calibri" w:eastAsia="楷体_GB2312" w:cs="Calibri"/>
          <w:kern w:val="0"/>
          <w:sz w:val="32"/>
          <w:szCs w:val="32"/>
        </w:rPr>
        <w:t>一</w:t>
      </w:r>
      <w:r>
        <w:rPr>
          <w:rFonts w:ascii="Times New Roman" w:hAnsi="Times New Roman" w:eastAsia="宋体" w:cs="Times New Roman"/>
          <w:kern w:val="0"/>
          <w:sz w:val="32"/>
          <w:szCs w:val="32"/>
        </w:rPr>
        <w:t>)</w:t>
      </w:r>
      <w:r>
        <w:rPr>
          <w:rFonts w:hint="eastAsia" w:ascii="楷体_GB2312" w:hAnsi="Calibri" w:eastAsia="楷体_GB2312" w:cs="Calibri"/>
          <w:kern w:val="0"/>
          <w:sz w:val="32"/>
          <w:szCs w:val="32"/>
        </w:rPr>
        <w:t>上年度存在问题及改进情况</w:t>
      </w:r>
    </w:p>
    <w:p>
      <w:pPr>
        <w:widowControl/>
        <w:shd w:val="clear" w:color="auto" w:fill="FFFFFF"/>
        <w:spacing w:line="560" w:lineRule="exact"/>
        <w:ind w:firstLine="420"/>
        <w:rPr>
          <w:rFonts w:ascii="Calibri" w:hAnsi="Calibri" w:eastAsia="宋体" w:cs="Calibri"/>
          <w:kern w:val="0"/>
          <w:szCs w:val="21"/>
        </w:rPr>
      </w:pPr>
      <w:r>
        <w:rPr>
          <w:rFonts w:ascii="Times New Roman" w:hAnsi="Times New Roman" w:eastAsia="宋体" w:cs="Times New Roman"/>
          <w:kern w:val="0"/>
          <w:sz w:val="32"/>
          <w:szCs w:val="32"/>
        </w:rPr>
        <w:t>  1</w:t>
      </w:r>
      <w:r>
        <w:rPr>
          <w:rFonts w:hint="eastAsia" w:ascii="仿宋_GB2312" w:hAnsi="Calibri" w:eastAsia="仿宋_GB2312" w:cs="Calibri"/>
          <w:kern w:val="0"/>
          <w:sz w:val="32"/>
          <w:szCs w:val="32"/>
        </w:rPr>
        <w:t>、存在问题。一是政策解读的信息发布量偏少，政策解读的形式单一，包括图片音视频解读材料和向社会征求意见收集情况及采纳情况等重点领域信息公开工作还需加强；二是信息公开工作合力不足，部分信息发布质量有待提升。</w:t>
      </w:r>
    </w:p>
    <w:p>
      <w:pPr>
        <w:widowControl/>
        <w:shd w:val="clear" w:color="auto" w:fill="FFFFFF"/>
        <w:spacing w:line="560" w:lineRule="exact"/>
        <w:ind w:firstLine="420"/>
        <w:rPr>
          <w:rFonts w:ascii="Calibri" w:hAnsi="Calibri" w:eastAsia="宋体" w:cs="Calibri"/>
          <w:kern w:val="0"/>
          <w:szCs w:val="21"/>
        </w:rPr>
      </w:pPr>
      <w:r>
        <w:rPr>
          <w:rFonts w:ascii="Times New Roman" w:hAnsi="Times New Roman" w:eastAsia="宋体" w:cs="Times New Roman"/>
          <w:kern w:val="0"/>
          <w:sz w:val="32"/>
          <w:szCs w:val="32"/>
        </w:rPr>
        <w:t>  2</w:t>
      </w:r>
      <w:r>
        <w:rPr>
          <w:rFonts w:hint="eastAsia" w:ascii="仿宋_GB2312" w:hAnsi="Calibri" w:eastAsia="仿宋_GB2312" w:cs="Calibri"/>
          <w:kern w:val="0"/>
          <w:sz w:val="32"/>
          <w:szCs w:val="32"/>
        </w:rPr>
        <w:t>、改进情况。一是强化信息公开工作组织领导，进一步加强政策解读的学习，借鉴上级部门的解读方式，不断提高解读水平，丰富解读形式，做到主动公开的政策性文件并</w:t>
      </w:r>
      <w:r>
        <w:rPr>
          <w:rFonts w:ascii="Times New Roman" w:hAnsi="Times New Roman" w:eastAsia="宋体" w:cs="Times New Roman"/>
          <w:kern w:val="0"/>
          <w:sz w:val="32"/>
          <w:szCs w:val="32"/>
        </w:rPr>
        <w:t>100%</w:t>
      </w:r>
      <w:r>
        <w:rPr>
          <w:rFonts w:hint="eastAsia" w:ascii="仿宋_GB2312" w:hAnsi="Calibri" w:eastAsia="仿宋_GB2312" w:cs="Calibri"/>
          <w:kern w:val="0"/>
          <w:sz w:val="32"/>
          <w:szCs w:val="32"/>
        </w:rPr>
        <w:t>解读。二是提高各股室对信息公开工作的认识，形成全体人员齐抓共管的局面，不断提升信息公开工作人员和广大干部职工业务水平，提升信息发布质量。</w:t>
      </w:r>
    </w:p>
    <w:p>
      <w:pPr>
        <w:widowControl/>
        <w:shd w:val="clear" w:color="auto" w:fill="FFFFFF"/>
        <w:spacing w:line="560" w:lineRule="exact"/>
        <w:ind w:firstLine="420"/>
        <w:rPr>
          <w:rFonts w:ascii="Calibri" w:hAnsi="Calibri" w:eastAsia="宋体" w:cs="Calibri"/>
          <w:kern w:val="0"/>
          <w:szCs w:val="21"/>
        </w:rPr>
      </w:pPr>
      <w:r>
        <w:rPr>
          <w:rFonts w:hint="eastAsia" w:ascii="仿宋_GB2312" w:hAnsi="Calibri" w:eastAsia="仿宋_GB2312" w:cs="Calibri"/>
          <w:color w:val="000000"/>
          <w:kern w:val="0"/>
          <w:sz w:val="32"/>
          <w:szCs w:val="32"/>
          <w:shd w:val="clear" w:color="auto" w:fill="FFFFFF"/>
        </w:rPr>
        <w:t> （二）本年度存在问题及改进措施</w:t>
      </w:r>
    </w:p>
    <w:p>
      <w:pPr>
        <w:widowControl/>
        <w:shd w:val="clear" w:color="auto" w:fill="FFFFFF"/>
        <w:spacing w:line="560" w:lineRule="exact"/>
        <w:ind w:firstLine="640"/>
        <w:rPr>
          <w:rFonts w:ascii="Calibri" w:hAnsi="Calibri" w:eastAsia="宋体" w:cs="Calibri"/>
          <w:kern w:val="0"/>
          <w:szCs w:val="21"/>
        </w:rPr>
      </w:pPr>
      <w:r>
        <w:rPr>
          <w:rFonts w:ascii="Times New Roman" w:hAnsi="Times New Roman" w:eastAsia="宋体" w:cs="Times New Roman"/>
          <w:color w:val="000000"/>
          <w:kern w:val="0"/>
          <w:sz w:val="32"/>
          <w:szCs w:val="32"/>
          <w:shd w:val="clear" w:color="auto" w:fill="FFFFFF"/>
        </w:rPr>
        <w:t> 1</w:t>
      </w:r>
      <w:r>
        <w:rPr>
          <w:rFonts w:hint="eastAsia" w:ascii="仿宋_GB2312" w:hAnsi="Calibri" w:eastAsia="仿宋_GB2312" w:cs="Calibri"/>
          <w:color w:val="000000"/>
          <w:kern w:val="0"/>
          <w:sz w:val="32"/>
          <w:szCs w:val="32"/>
          <w:shd w:val="clear" w:color="auto" w:fill="FFFFFF"/>
        </w:rPr>
        <w:t>、存在问题。主动公开意识仍需加强。信息公开规范化仍需提高，信息公开数量、时效性还可加强，政策解读质量还需进一步完善等。</w:t>
      </w:r>
    </w:p>
    <w:p>
      <w:pPr>
        <w:widowControl/>
        <w:shd w:val="clear" w:color="auto" w:fill="FFFFFF"/>
        <w:spacing w:line="560" w:lineRule="exact"/>
        <w:ind w:firstLine="640"/>
        <w:rPr>
          <w:rFonts w:ascii="Calibri" w:hAnsi="Calibri" w:eastAsia="宋体" w:cs="Calibri"/>
          <w:kern w:val="0"/>
          <w:szCs w:val="21"/>
        </w:rPr>
      </w:pPr>
      <w:r>
        <w:rPr>
          <w:rFonts w:ascii="Times New Roman" w:hAnsi="Times New Roman" w:eastAsia="宋体" w:cs="Times New Roman"/>
          <w:color w:val="000000"/>
          <w:kern w:val="0"/>
          <w:sz w:val="32"/>
          <w:szCs w:val="32"/>
          <w:shd w:val="clear" w:color="auto" w:fill="FFFFFF"/>
        </w:rPr>
        <w:t> 2</w:t>
      </w:r>
      <w:r>
        <w:rPr>
          <w:rFonts w:hint="eastAsia" w:ascii="仿宋_GB2312" w:hAnsi="Calibri" w:eastAsia="仿宋_GB2312" w:cs="Calibri"/>
          <w:color w:val="000000"/>
          <w:kern w:val="0"/>
          <w:sz w:val="32"/>
          <w:szCs w:val="32"/>
          <w:shd w:val="clear" w:color="auto" w:fill="FFFFFF"/>
        </w:rPr>
        <w:t>、改进</w:t>
      </w:r>
      <w:r>
        <w:rPr>
          <w:rFonts w:hint="eastAsia" w:ascii="仿宋_GB2312" w:hAnsi="Calibri" w:eastAsia="仿宋_GB2312" w:cs="Calibri"/>
          <w:kern w:val="0"/>
          <w:sz w:val="32"/>
          <w:szCs w:val="32"/>
          <w:shd w:val="clear" w:color="auto" w:fill="FFFFFF"/>
        </w:rPr>
        <w:t>措施</w:t>
      </w:r>
      <w:r>
        <w:rPr>
          <w:rFonts w:hint="eastAsia" w:ascii="仿宋_GB2312" w:hAnsi="Calibri" w:eastAsia="仿宋_GB2312" w:cs="Calibri"/>
          <w:color w:val="000000"/>
          <w:kern w:val="0"/>
          <w:sz w:val="32"/>
          <w:szCs w:val="32"/>
          <w:shd w:val="clear" w:color="auto" w:fill="FFFFFF"/>
        </w:rPr>
        <w:t>。一是总结经验，进一步创新工作思路，强化信息公开意识，规范公开行为，提升公开质量。二是明确工作职责，以服务群众为目的，提高信息公开的时效性。三是优化政策解读方式，在</w:t>
      </w:r>
      <w:r>
        <w:rPr>
          <w:rFonts w:ascii="Times New Roman" w:hAnsi="Times New Roman" w:eastAsia="宋体" w:cs="Times New Roman"/>
          <w:color w:val="000000"/>
          <w:kern w:val="0"/>
          <w:sz w:val="32"/>
          <w:szCs w:val="32"/>
          <w:shd w:val="clear" w:color="auto" w:fill="FFFFFF"/>
        </w:rPr>
        <w:t>“</w:t>
      </w:r>
      <w:r>
        <w:rPr>
          <w:rFonts w:hint="eastAsia" w:ascii="仿宋_GB2312" w:hAnsi="Calibri" w:eastAsia="仿宋_GB2312" w:cs="Calibri"/>
          <w:color w:val="000000"/>
          <w:kern w:val="0"/>
          <w:sz w:val="32"/>
          <w:szCs w:val="32"/>
          <w:shd w:val="clear" w:color="auto" w:fill="FFFFFF"/>
        </w:rPr>
        <w:t>多元化</w:t>
      </w:r>
      <w:r>
        <w:rPr>
          <w:rFonts w:ascii="Times New Roman" w:hAnsi="Times New Roman" w:eastAsia="宋体" w:cs="Times New Roman"/>
          <w:color w:val="000000"/>
          <w:kern w:val="0"/>
          <w:sz w:val="32"/>
          <w:szCs w:val="32"/>
          <w:shd w:val="clear" w:color="auto" w:fill="FFFFFF"/>
        </w:rPr>
        <w:t>”</w:t>
      </w:r>
      <w:r>
        <w:rPr>
          <w:rFonts w:hint="eastAsia" w:ascii="仿宋_GB2312" w:hAnsi="Calibri" w:eastAsia="仿宋_GB2312" w:cs="Calibri"/>
          <w:color w:val="000000"/>
          <w:kern w:val="0"/>
          <w:sz w:val="32"/>
          <w:szCs w:val="32"/>
          <w:shd w:val="clear" w:color="auto" w:fill="FFFFFF"/>
        </w:rPr>
        <w:t>上下功夫，不断完善我局解读模式，提高解读水平。</w:t>
      </w:r>
    </w:p>
    <w:p>
      <w:pPr>
        <w:widowControl/>
        <w:shd w:val="clear" w:color="auto" w:fill="FFFFFF"/>
        <w:spacing w:line="560" w:lineRule="exact"/>
        <w:ind w:firstLine="640"/>
        <w:rPr>
          <w:rFonts w:ascii="Calibri" w:hAnsi="Calibri" w:eastAsia="宋体" w:cs="Calibri"/>
          <w:kern w:val="0"/>
          <w:szCs w:val="21"/>
        </w:rPr>
      </w:pPr>
      <w:r>
        <w:rPr>
          <w:rFonts w:hint="eastAsia" w:ascii="黑体" w:hAnsi="黑体" w:eastAsia="黑体" w:cs="Calibri"/>
          <w:color w:val="000000"/>
          <w:kern w:val="0"/>
          <w:sz w:val="32"/>
          <w:szCs w:val="32"/>
          <w:shd w:val="clear" w:color="auto" w:fill="FFFFFF"/>
        </w:rPr>
        <w:t> 六、其他需要报告的事项</w:t>
      </w:r>
    </w:p>
    <w:p>
      <w:pPr>
        <w:widowControl/>
        <w:shd w:val="clear" w:color="auto" w:fill="FFFFFF"/>
        <w:spacing w:line="560" w:lineRule="exact"/>
        <w:ind w:firstLine="420"/>
        <w:jc w:val="left"/>
        <w:rPr>
          <w:rFonts w:ascii="Calibri" w:hAnsi="Calibri" w:eastAsia="宋体" w:cs="Calibri"/>
          <w:kern w:val="0"/>
          <w:szCs w:val="21"/>
        </w:rPr>
      </w:pPr>
      <w:r>
        <w:rPr>
          <w:rFonts w:ascii="Times New Roman" w:hAnsi="Times New Roman" w:eastAsia="宋体" w:cs="Times New Roman"/>
          <w:color w:val="000000"/>
          <w:kern w:val="0"/>
          <w:sz w:val="32"/>
          <w:szCs w:val="32"/>
          <w:shd w:val="clear" w:color="auto" w:fill="FFFFFF"/>
        </w:rPr>
        <w:t>   2023</w:t>
      </w:r>
      <w:r>
        <w:rPr>
          <w:rFonts w:hint="eastAsia" w:ascii="仿宋_GB2312" w:hAnsi="Calibri" w:eastAsia="仿宋_GB2312" w:cs="Calibri"/>
          <w:color w:val="000000"/>
          <w:kern w:val="0"/>
          <w:sz w:val="32"/>
          <w:szCs w:val="32"/>
          <w:shd w:val="clear" w:color="auto" w:fill="FFFFFF"/>
        </w:rPr>
        <w:t>年，我局进一步加强信息公开，提高服务、公开透明度。加强培训力度，提升信息公开数量、质量，不断满足便民、适老等群众需求。</w:t>
      </w:r>
    </w:p>
    <w:p>
      <w:pPr>
        <w:widowControl/>
        <w:shd w:val="clear" w:color="auto" w:fill="FFFFFF"/>
        <w:spacing w:line="560" w:lineRule="exact"/>
        <w:ind w:firstLine="420"/>
        <w:jc w:val="left"/>
        <w:rPr>
          <w:rFonts w:ascii="Calibri" w:hAnsi="Calibri" w:eastAsia="宋体" w:cs="Calibri"/>
          <w:kern w:val="0"/>
          <w:szCs w:val="21"/>
        </w:rPr>
      </w:pPr>
      <w:r>
        <w:rPr>
          <w:rFonts w:hint="eastAsia" w:ascii="仿宋_GB2312" w:hAnsi="Calibri" w:eastAsia="仿宋_GB2312" w:cs="Calibri"/>
          <w:color w:val="000000"/>
          <w:kern w:val="0"/>
          <w:sz w:val="32"/>
          <w:szCs w:val="32"/>
          <w:shd w:val="clear" w:color="auto" w:fill="FFFFFF"/>
        </w:rPr>
        <w:t>   按照《国务院办公厅关于印发〈政府信息公开信息处理费管理办法〉的通知》（国办函〔</w:t>
      </w:r>
      <w:r>
        <w:rPr>
          <w:rFonts w:ascii="Times New Roman" w:hAnsi="Times New Roman" w:eastAsia="宋体" w:cs="Times New Roman"/>
          <w:color w:val="000000"/>
          <w:kern w:val="0"/>
          <w:sz w:val="32"/>
          <w:szCs w:val="32"/>
          <w:shd w:val="clear" w:color="auto" w:fill="FFFFFF"/>
        </w:rPr>
        <w:t>2020</w:t>
      </w:r>
      <w:r>
        <w:rPr>
          <w:rFonts w:hint="eastAsia" w:ascii="仿宋_GB2312" w:hAnsi="Calibri" w:eastAsia="仿宋_GB2312" w:cs="Calibri"/>
          <w:color w:val="000000"/>
          <w:kern w:val="0"/>
          <w:sz w:val="32"/>
          <w:szCs w:val="32"/>
          <w:shd w:val="clear" w:color="auto" w:fill="FFFFFF"/>
        </w:rPr>
        <w:t>〕</w:t>
      </w:r>
      <w:r>
        <w:rPr>
          <w:rFonts w:ascii="Times New Roman" w:hAnsi="Times New Roman" w:eastAsia="宋体" w:cs="Times New Roman"/>
          <w:color w:val="000000"/>
          <w:kern w:val="0"/>
          <w:sz w:val="32"/>
          <w:szCs w:val="32"/>
          <w:shd w:val="clear" w:color="auto" w:fill="FFFFFF"/>
        </w:rPr>
        <w:t>109</w:t>
      </w:r>
      <w:r>
        <w:rPr>
          <w:rFonts w:hint="eastAsia" w:ascii="仿宋_GB2312" w:hAnsi="Calibri" w:eastAsia="仿宋_GB2312" w:cs="Calibri"/>
          <w:color w:val="000000"/>
          <w:kern w:val="0"/>
          <w:sz w:val="32"/>
          <w:szCs w:val="32"/>
          <w:shd w:val="clear" w:color="auto" w:fill="FFFFFF"/>
        </w:rPr>
        <w:t>号）规定的按件、按量收费标准，本年度没有产生信息公开处理费。</w:t>
      </w:r>
    </w:p>
    <w:p/>
    <w:sectPr>
      <w:footerReference r:id="rId3" w:type="default"/>
      <w:footerReference r:id="rId4" w:type="even"/>
      <w:pgSz w:w="11906" w:h="16838"/>
      <w:pgMar w:top="2211" w:right="1531" w:bottom="187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9154223"/>
      <w:docPartObj>
        <w:docPartGallery w:val="AutoText"/>
      </w:docPartObj>
    </w:sdtPr>
    <w:sdtEndPr>
      <w:rPr>
        <w:rFonts w:ascii="Times New Roman" w:hAnsi="Times New Roman" w:eastAsia="仿宋_GB2312" w:cs="Times New Roman"/>
        <w:sz w:val="28"/>
        <w:szCs w:val="28"/>
      </w:rPr>
    </w:sdtEndPr>
    <w:sdtContent>
      <w:p>
        <w:pPr>
          <w:pStyle w:val="2"/>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PAGE   \* MERGEFORMAT</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lang w:val="zh-CN"/>
          </w:rPr>
          <w:t>-</w:t>
        </w:r>
        <w:r>
          <w:rPr>
            <w:rFonts w:ascii="Times New Roman" w:hAnsi="Times New Roman" w:eastAsia="仿宋_GB2312" w:cs="Times New Roman"/>
            <w:sz w:val="28"/>
            <w:szCs w:val="28"/>
          </w:rPr>
          <w:t xml:space="preserve"> 5 -</w:t>
        </w:r>
        <w:r>
          <w:rPr>
            <w:rFonts w:ascii="Times New Roman" w:hAnsi="Times New Roman" w:eastAsia="仿宋_GB2312" w:cs="Times New Roman"/>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5204023"/>
      <w:docPartObj>
        <w:docPartGallery w:val="AutoText"/>
      </w:docPartObj>
    </w:sdtPr>
    <w:sdtEndPr>
      <w:rPr>
        <w:rFonts w:ascii="Times New Roman" w:hAnsi="Times New Roman" w:eastAsia="仿宋_GB2312" w:cs="Times New Roman"/>
        <w:sz w:val="28"/>
        <w:szCs w:val="28"/>
      </w:rPr>
    </w:sdtEndPr>
    <w:sdtContent>
      <w:p>
        <w:pPr>
          <w:pStyle w:val="2"/>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PAGE   \* MERGEFORMAT</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lang w:val="zh-CN"/>
          </w:rPr>
          <w:t>-</w:t>
        </w:r>
        <w:r>
          <w:rPr>
            <w:rFonts w:ascii="Times New Roman" w:hAnsi="Times New Roman" w:eastAsia="仿宋_GB2312" w:cs="Times New Roman"/>
            <w:sz w:val="28"/>
            <w:szCs w:val="28"/>
          </w:rPr>
          <w:t xml:space="preserve"> 4 -</w:t>
        </w:r>
        <w:r>
          <w:rPr>
            <w:rFonts w:ascii="Times New Roman" w:hAnsi="Times New Roman" w:eastAsia="仿宋_GB2312" w:cs="Times New Roman"/>
            <w:sz w:val="28"/>
            <w:szCs w:val="28"/>
          </w:rPr>
          <w:fldChar w:fldCharType="end"/>
        </w:r>
      </w:p>
    </w:sdtContent>
  </w:sdt>
  <w:p>
    <w:pPr>
      <w:pStyle w:val="2"/>
      <w:rPr>
        <w:rFonts w:ascii="Times New Roman" w:hAnsi="Times New Roman" w:eastAsia="仿宋_GB2312" w:cs="Times New Roman"/>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mNmFhZDBmNmMyZDY0OGQ4MDRhNGI5YzIyZmU1ZDkifQ=="/>
  </w:docVars>
  <w:rsids>
    <w:rsidRoot w:val="00643A04"/>
    <w:rsid w:val="001C2A4B"/>
    <w:rsid w:val="00643A04"/>
    <w:rsid w:val="006B417D"/>
    <w:rsid w:val="007E642C"/>
    <w:rsid w:val="00973E41"/>
    <w:rsid w:val="00D67767"/>
    <w:rsid w:val="25FD2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525</Words>
  <Characters>2994</Characters>
  <Lines>24</Lines>
  <Paragraphs>7</Paragraphs>
  <TotalTime>9</TotalTime>
  <ScaleCrop>false</ScaleCrop>
  <LinksUpToDate>false</LinksUpToDate>
  <CharactersWithSpaces>3512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2024-02-21T01:17:00Z</dcterms:created>
  <dc:creator>办公室</dc:creator>
  <cp:lastModifiedBy>lenovo</cp:lastModifiedBy>
  <cp:lastPrinted>2024-02-21T01:19:00Z</cp:lastPrinted>
  <dcterms:modified xsi:type="dcterms:W3CDTF">2024-04-01T03:44:41Z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B29852422568437F8429D31C5F4FEE3D_12</vt:lpwstr>
  </property>
</Properties>
</file>