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霍邱县交通运输局202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根据《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中华人民共和国政府信息公开条例</w:t>
      </w:r>
      <w:r>
        <w:rPr>
          <w:rFonts w:hint="eastAsia" w:ascii="仿宋_GB2312" w:hAnsi="Calibri" w:eastAsia="仿宋_GB2312" w:cs="Times New Roman"/>
          <w:sz w:val="32"/>
          <w:szCs w:val="32"/>
        </w:rPr>
        <w:t>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hAnsi="Calibri" w:eastAsia="仿宋_GB2312" w:cs="Times New Roman"/>
          <w:sz w:val="32"/>
          <w:szCs w:val="32"/>
        </w:rPr>
        <w:t>《安徽省政务公开办公室关于做好202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年度政府信息公开工作年度报告编制和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数据报送</w:t>
      </w:r>
      <w:r>
        <w:rPr>
          <w:rFonts w:hint="eastAsia" w:ascii="仿宋_GB2312" w:hAnsi="Calibri" w:eastAsia="仿宋_GB2312" w:cs="Times New Roman"/>
          <w:sz w:val="32"/>
          <w:szCs w:val="32"/>
        </w:rPr>
        <w:t>工作的通知》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（皖政务办秘〔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2号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、《六安市政务公开办公室关于做好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eastAsia" w:ascii="仿宋_GB2312" w:hAnsi="Calibri" w:eastAsia="仿宋_GB2312" w:cs="Times New Roman"/>
          <w:sz w:val="32"/>
          <w:szCs w:val="32"/>
        </w:rPr>
        <w:t>政府信息公开年度报告编制和发布工作的通知》（六政务公开办〔202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）文件要求，霍邱县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交通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运输局</w:t>
      </w:r>
      <w:r>
        <w:rPr>
          <w:rFonts w:hint="eastAsia" w:ascii="仿宋_GB2312" w:hAnsi="Calibri" w:eastAsia="仿宋_GB2312" w:cs="Times New Roman"/>
          <w:sz w:val="32"/>
          <w:szCs w:val="32"/>
        </w:rPr>
        <w:t>编制202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年政府信息公开年度报告。报告全文包括总体情况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、主动公开政府信息情况、收到和处理政府信息公开申请情况、</w:t>
      </w:r>
      <w:r>
        <w:rPr>
          <w:rFonts w:hint="eastAsia" w:ascii="仿宋_GB2312" w:hAnsi="Calibri" w:eastAsia="仿宋_GB2312" w:cs="Times New Roman"/>
          <w:sz w:val="32"/>
          <w:szCs w:val="32"/>
        </w:rPr>
        <w:t>政府信息公开行政复议、行政诉讼情况、存在的主要问题及改进措施和其他需要报告事项等6方面内容。本年度报告中所列数据统计期限为202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年1月1日起至202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年12月31日。如对本报告有疑问，请与</w:t>
      </w:r>
      <w:r>
        <w:rPr>
          <w:rFonts w:hint="eastAsia" w:ascii="仿宋_GB2312" w:hAnsi="仿宋_GB2312" w:eastAsia="仿宋_GB2312" w:cs="仿宋_GB2312"/>
          <w:sz w:val="32"/>
          <w:szCs w:val="32"/>
        </w:rPr>
        <w:t>霍邱县交通运输局联系（地址：霍邱县城关镇东湖路347号；邮编：237400；联系电话：0564-6020100）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2023年，我局严格按照《条例》规定，结合工作实际，扎实开展信息公开、积极回应社会关切，完善平台建设，保障人民群众的知情权。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center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（一）主动公开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一是扎实开展信息公开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对照县政府的工作要求，全面丰富网站信息发布内容，做好各栏目常规信息发布，及时公开各类重点信息、交通特色类信息。全年通过政府网站公开政府信息数635条，其中决策部署落实情况信息 24条， 重点领域公开信息 47条，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有利的保证了交通运输重点工作透明度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。二是积极回应社会关切。围绕公众关注度高的公共交通安全、公路养护、</w:t>
      </w:r>
      <w:r>
        <w:rPr>
          <w:rFonts w:hint="eastAsia" w:ascii="仿宋_GB2312" w:hAnsi="仿宋_GB2312" w:eastAsia="仿宋_GB2312" w:cs="仿宋_GB2312"/>
          <w:sz w:val="32"/>
          <w:szCs w:val="32"/>
        </w:rPr>
        <w:t>出租车运营、行业管理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等热点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方面主动回应社会关切共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。三是开展政策解读工作。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全年发布各类政策解读信息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12条，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及时将政策信息和影响传递给公众，切实增强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办事透明度，努力提高了行政效能和公信力，为公众提供了更加便利的服务。 四是公开公共企事业单位信息。全面公开了我县道路运输、城乡旅客运输、综合运输、四好农村路等基层“两化”领域交通运输信息155条，客运汽车和公交车辆的运营服务、乘客权益、安全应急等公共企事业单位信息31条，切实保障了人民群众的畅通出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center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依申请公开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严格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执行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《中华人民共和国政府信息公开条例》中关于依申请公开的相关要求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，确保了信息公开依申请办理的流程规范化，进一步拓宽和畅通了依申请公开受理渠道，建立完善政府网站依申请入口、书面邮寄申请、当面提交申请、电子邮箱申请等申请渠道，为公民、法人和其他组织依法获取政府信息提供便利。2023年我局未收到依申请公开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center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政府信息管理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center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2023年，我局进一步严格管理政府信息，规范信息采集、审核、发布、更新等流程，严格按照政务公开要求落实规范性文件格式，修订完善公开制度，共整改发布规范性文件4条。同时持续开展敏感词汇、错别字、无效链接、涉及个人隐私等政府信息排查工作，对发现的错敏信息及时进行删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（四）平台建设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按要求与县政务公开办协助创建了基层“两化”交通运输领域和“公共交通 ”领域，开设了运输服务、乡村振兴、办事服务、霍邱县汽车站和霍邱县蓼达公共交通有限公司等5个栏目，丰富了信息资源，大力优化了公开信息平台建设。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是加强日常监管。积极配合县政府办的日常指导和监督检查，对于考核发现的问题，均按要求及时整改到位。全年无问责追责情形，社会评议未出现不满意或差评等。二是细化工作内容。我局将考核指标细化分解到各部门、局属各单位，指定专人保障，确保栏目信息更新的实效性和网站内容的丰富性。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763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1.上年度存在的问题：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是对政务公开存在被动性思想，只满足于按部就班、及时整改，缺乏政务公开工作积极性和创新性，对于推动政务公开标准化规范化成果运用工作研究不深、理解不透。二是政务公开工作人员业务能力还需进一步提升。工作人员对于政策的把握不够准确、文件的理解不够透彻，依申请公开的应对能力都有较大提升空间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改进情况：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加强了工作人员的业务培训，强化对政务公开的责任落实，增强了工作人员的积极性和主动性；积极提升政务公开业务能力，加强与县政务公开办的沟通交流，提高了政务公开的工作质量。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2.本年度存在的问题及改进措施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存在问题：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2023年，我局在推进政府信息公开方面做了大量工作，取得了一定成绩，但也存在一些不足：如政策解读形式还不够丰富，个别栏目更新不及时。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改进措施: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下一步，我局将针对存在问题，积极采取有效措施，进一步加强网站建设和维护工作。一是丰富政策解读形式。提升政策解读水平，增强解读材料的内容、深度和多样性，通过图片图表、音频视频等多种形式，推进政策精细化解读。二是开展培训教育。通过开展培训教育，提高各处室、局属单位对政府信息报送的积极性和主动性，保障我局网站信息更新速度 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积极推进公共交通信息公开标准化规范化，按照“一单位一栏”的原则,集中展示企业信息、服务价目、运营线路   等信息,实现企事业单位信息的精准查询，极大程度上方便了民众出行。     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firstLine="640" w:firstLineChars="20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按照《国务院办公厅关于印发〈政府信息公开信息处理费管理办法〉 的通知》（国办函〔2020〕109号）规定的按件、按量收费标准，本年度没有产生信息公开处理费”。</w:t>
      </w:r>
    </w:p>
    <w:p>
      <w:pPr>
        <w:rPr>
          <w:rFonts w:asciiTheme="minorHAnsi" w:hAnsiTheme="minorHAnsi" w:eastAsiaTheme="minorEastAsia" w:cstheme="minorBidi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BB331"/>
    <w:multiLevelType w:val="singleLevel"/>
    <w:tmpl w:val="781BB33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Tk4NTUwNmJjZjFjMTg2NThiOGEwMTBjYzhiNWQifQ=="/>
  </w:docVars>
  <w:rsids>
    <w:rsidRoot w:val="3ED35F6F"/>
    <w:rsid w:val="026918FA"/>
    <w:rsid w:val="038715BA"/>
    <w:rsid w:val="09852E6F"/>
    <w:rsid w:val="17F21810"/>
    <w:rsid w:val="1C060E08"/>
    <w:rsid w:val="1D0D0362"/>
    <w:rsid w:val="200F7270"/>
    <w:rsid w:val="215C5A38"/>
    <w:rsid w:val="25D57C9E"/>
    <w:rsid w:val="25EF7E2C"/>
    <w:rsid w:val="2ED86C34"/>
    <w:rsid w:val="2F000DF7"/>
    <w:rsid w:val="38AA25F3"/>
    <w:rsid w:val="3ED35F6F"/>
    <w:rsid w:val="3F8C5C98"/>
    <w:rsid w:val="47473012"/>
    <w:rsid w:val="489922DD"/>
    <w:rsid w:val="4B74563A"/>
    <w:rsid w:val="4F0762DA"/>
    <w:rsid w:val="52E1011A"/>
    <w:rsid w:val="54D14C22"/>
    <w:rsid w:val="56E8607B"/>
    <w:rsid w:val="57193F55"/>
    <w:rsid w:val="5A915845"/>
    <w:rsid w:val="5CC339BA"/>
    <w:rsid w:val="62C0797A"/>
    <w:rsid w:val="63367C3C"/>
    <w:rsid w:val="66A065EB"/>
    <w:rsid w:val="67C4289C"/>
    <w:rsid w:val="71AF5156"/>
    <w:rsid w:val="788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2024-01-16T02:49:00Z</dcterms:created>
  <dc:creator>索菲娅</dc:creator>
  <cp:lastModifiedBy>索菲娅</cp:lastModifiedBy>
  <cp:lastPrinted>2024-01-23T02:19:00Z</cp:lastPrinted>
  <dcterms:modified xsi:type="dcterms:W3CDTF">2024-03-11T01:31:59Z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7217FEF7F6944A2A953A14E67B663E10_13</vt:lpwstr>
  </property>
</Properties>
</file>