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霍邱县邵岗乡人民政府202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  <w:shd w:val="clear" w:fill="FFFFFF"/>
        </w:rPr>
        <w:t>根据《中华人民共和国政府信息公开条例》、《安徽省政务公开办公室关于做好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2023年度政府信息公开工作年度报告编制和数据报送工作的通知》(皖政务办秘〔2024〕2号)和《六安市政务公开办公室关于做好2023年度政府信息公开年度报告编制和发布工作的通知》(六政务公开办〔2024〕2号)文件要求，霍邱县邵岗乡人民政府编制2023年政府信息公开工作年度报告。报告主要包括：总体情况、主动公开政府信息情况、依申请公开情况、政府信息管理情况、政府信息公开平台建设情况、监督保障情况。本年度报告中使用数据统计期限为2023年1月1日至2023年12月31日，本年度报告电子版可在霍邱县邵岗乡政府信息公开平台下载。如对本报告有任何疑问，请与霍邱县邵岗乡联系（联系电话：0564-6931001，邮编：237400，办公地址：霍邱县邵岗乡032县道西50米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    一、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sz w:val="32"/>
          <w:szCs w:val="32"/>
        </w:rPr>
      </w:pPr>
      <w:r>
        <w:rPr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主动公开情况。</w:t>
      </w:r>
      <w:r>
        <w:rPr>
          <w:rFonts w:hint="default" w:ascii="仿宋_GB2312" w:hAnsi="微软雅黑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023年，</w:t>
      </w:r>
      <w:r>
        <w:rPr>
          <w:rFonts w:hint="default" w:ascii="仿宋_GB2312" w:hAnsi="微软雅黑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邵岗乡认真贯彻落实上级文件精神，紧紧围绕医疗、教育、社会救助、营商管理、生态环境等人民群众重点关注的问题，认真遵循政府信息公开基本原则和操作规程，完善公开机制、充实公开内容、提高公开质量，不断推进全乡信息公开工作从一般事务公开向重点事项公开，有效促进了依法行政。全年通过政务信息公开网累计向社会主动公开政务信息1042条,其中</w:t>
      </w:r>
      <w:r>
        <w:rPr>
          <w:rFonts w:hint="default" w:ascii="仿宋_GB2312" w:hAnsi="微软雅黑" w:eastAsia="仿宋_GB2312" w:cs="仿宋_GB2312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在公共基础栏目发布信息</w:t>
      </w:r>
      <w:r>
        <w:rPr>
          <w:rFonts w:hint="default" w:ascii="仿宋_GB2312" w:hAnsi="微软雅黑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451条，内容涉及群众生产生活的方方面面。</w:t>
      </w:r>
      <w:r>
        <w:rPr>
          <w:rFonts w:hint="default" w:ascii="仿宋_GB2312" w:hAnsi="微软雅黑" w:eastAsia="仿宋_GB2312" w:cs="仿宋_GB2312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“两化”栏目更新信息591条，</w:t>
      </w:r>
      <w:r>
        <w:rPr>
          <w:rFonts w:hint="default" w:ascii="仿宋_GB2312" w:hAnsi="微软雅黑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涉及社会救助、就业创业、义务教育等16个领域。</w:t>
      </w:r>
      <w:r>
        <w:rPr>
          <w:rFonts w:hint="default" w:ascii="仿宋_GB2312" w:hAnsi="微软雅黑" w:eastAsia="仿宋_GB2312" w:cs="仿宋_GB2312"/>
          <w:color w:val="00000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</w:t>
      </w: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依申请公开。</w:t>
      </w:r>
      <w:r>
        <w:rPr>
          <w:rFonts w:hint="default" w:ascii="仿宋_GB2312" w:hAnsi="Calibri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贯彻落实县依申请公开平台培训会议精神，主动熟悉新平台操作，为下一步做好邵岗乡政府信息依申请公开办理工作打好基础，2023年我乡未收到政府信息公开申请。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</w:t>
      </w: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政府信息管理。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为做好政府信息管理工作，我乡严格规范政府信息公开工作流程，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严格落实“三审”制度，对发布的政府信息内容、程序、办理责任到人，把好信息公开源头关。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加强组织领导，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仔细甄别上报数据，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对各单位报送的信息，及时梳理、编辑、公开，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对于泄露个人身份证号、银行卡号、家庭住址、人员类别（低保、五保、残疾等）、手机号等涉及个人隐私且不便透露的严格隐藏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。同时强化专业培训，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针对发现的错敏词按要求及时整改，相关规范性文件清理完成，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确保政府信息公开标准化、专业化、规范化。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</w:t>
      </w: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政府信息公开平台建设情况。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加快推进政府信息公开发展，邵岗乡规范完善《邵岗乡人民政府政务公开指南》，政府信息查阅点进一步规范设置，指定党政办具体负责信息公开的组织、协调、督导和日常管理工作，专人负责政府信息公开内容维护，栏目设置和完善。同时在邵岗乡政务服务大厅建立信息公开专区、对各村的公开栏加强管理，各村派出村干部负责对公开栏内容进行维护，对群众线下平台的申请流程进行简化，加强工作效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</w:t>
      </w: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监督保障。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  <w:shd w:val="clear" w:fill="FFFFFF"/>
        </w:rPr>
        <w:t>根据人员变动，我乡对信息公开工作领导小组及成员进行了及时调整和充实。明确专人负责政府网站的日常维护、信息发布、网上依申请公开等相关工作。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对公开内容进行多层监督审核，以准确、公开、透明为原则。严格工作制度，进一步规范信息公开工作制度，通过压实工作责任和加强监督检查，确保监督保障工作，将政府信息公开工作纳入考核。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  <w:shd w:val="clear" w:fill="FFFFFF"/>
        </w:rPr>
        <w:t>同时积极开放群众监督举报渠道，自觉接受群众监督，确保工作能够更好地开展。全年社会评议良好，未产生责任追究相关问题和结果。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Times New Roman" w:eastAsia="仿宋_GB2312" w:cs="仿宋_GB2312"/>
                <w:color w:val="000000"/>
                <w:sz w:val="17"/>
                <w:szCs w:val="17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shd w:val="clear" w:fill="FFFFFF"/>
        </w:rPr>
        <w:br w:type="textWrapping"/>
      </w: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shd w:val="clear" w:fill="FFFFFF"/>
        </w:rPr>
        <w:t>    三、收到和处理政府信息公开申请情况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  <w:t> </w:t>
      </w:r>
    </w:p>
    <w:tbl>
      <w:tblPr>
        <w:tblW w:w="97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shd w:val="clear" w:fill="FFFFFF"/>
        </w:rPr>
        <w:t>    四、政府信息公开行政复议、行政诉讼情况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  <w:t> </w:t>
      </w:r>
    </w:p>
    <w:tbl>
      <w:tblPr>
        <w:tblW w:w="974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Calibri" w:hAnsi="Calibri" w:cs="Calibri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shd w:val="clear" w:fill="FFFFFF"/>
        </w:rPr>
        <w:t>    五、存在的主要问题及改进情况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 1、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上年度存在问题及整改情况：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 存在问题：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业务人员业务水平还有待提升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。村级经办人员对工作不熟练，工作人员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的主动公开意识有待进一步提高，主动公开政府信息不积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极。二是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政策解读形式单一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。目前我乡存在政策解读形式单一，质量不够高等问题。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 整改情况：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强队伍建设，配强人员力量，跟进问责机制，适应政府信息公开工作新要求。严把业务人员水平关。通过定期召开政府信息公开业务人员培训会、调度会，形成工作制度、建立工作机制，加强业务人员能力和水平建设，不断提高业务人员的能力，为开展政府信息公开工作夯实基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22" w:right="0" w:hanging="321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    2、本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年度存在问题及整改措施：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 存在问题：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信息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内容质量不够高，发布信息有错字、漏字、重字的现象。部分工作人员政府信息公开的意识还需进一步提高，主动公开政府信息的责任意识还比较薄弱。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  整改措施：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对公开的规范性文件要及时公布解读材料，明确政府信息公开的时间节点，及时了解办理的过程及状态，并进行督促，建立问责机制，抓好工作落实，确保政府信息公开的时效性和准确性。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2023年，邵岗乡积极与群众互动，听取群众意见，发挥动态管理机制，积极整改工作中遇到的问题，同时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sz w:val="32"/>
          <w:szCs w:val="32"/>
          <w:bdr w:val="none" w:color="auto" w:sz="0" w:space="0"/>
          <w:shd w:val="clear" w:fill="FFFFFF"/>
        </w:rPr>
        <w:t>重视群众需求，发布更加贴近民生的重大政策和改革措施。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DFkMTY2NDQxMGVjY2E5MzQwMGI0ZDI2NzM1ZjYifQ=="/>
  </w:docVars>
  <w:rsids>
    <w:rsidRoot w:val="06723925"/>
    <w:rsid w:val="066761B4"/>
    <w:rsid w:val="06723925"/>
    <w:rsid w:val="07F80374"/>
    <w:rsid w:val="0B076A8A"/>
    <w:rsid w:val="10192161"/>
    <w:rsid w:val="188C2DCD"/>
    <w:rsid w:val="2EC8337A"/>
    <w:rsid w:val="3094335A"/>
    <w:rsid w:val="35337105"/>
    <w:rsid w:val="35417A73"/>
    <w:rsid w:val="393762A7"/>
    <w:rsid w:val="3F325EA2"/>
    <w:rsid w:val="41A326C4"/>
    <w:rsid w:val="420C217C"/>
    <w:rsid w:val="45B02827"/>
    <w:rsid w:val="46593417"/>
    <w:rsid w:val="4DA92202"/>
    <w:rsid w:val="5B28479F"/>
    <w:rsid w:val="5C11209A"/>
    <w:rsid w:val="5D9B7F38"/>
    <w:rsid w:val="647B2DDD"/>
    <w:rsid w:val="6FFF078C"/>
    <w:rsid w:val="726A345E"/>
    <w:rsid w:val="73BF77DA"/>
    <w:rsid w:val="77C41C7F"/>
    <w:rsid w:val="7D8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tmpztreemove_arrow"/>
    <w:basedOn w:val="5"/>
    <w:uiPriority w:val="0"/>
    <w:rPr>
      <w:bdr w:val="none" w:color="auto" w:sz="0" w:space="0"/>
    </w:rPr>
  </w:style>
  <w:style w:type="character" w:customStyle="1" w:styleId="15">
    <w:name w:val="button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2024-01-15T00:50:00Z</dcterms:created>
  <dc:creator>百钟一十</dc:creator>
  <cp:lastModifiedBy>SGX</cp:lastModifiedBy>
  <dcterms:modified xsi:type="dcterms:W3CDTF">2024-04-02T00:12:07Z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FF32C802291241478A7A5BD90211E3DC_11</vt:lpwstr>
  </property>
</Properties>
</file>