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0" w:line="280" w:lineRule="auto"/>
        <w:ind w:right="145"/>
        <w:jc w:val="center"/>
        <w:rPr>
          <w:rFonts w:ascii="仿宋" w:hAnsi="仿宋" w:eastAsia="仿宋" w:cs="仿宋"/>
          <w:sz w:val="43"/>
          <w:szCs w:val="43"/>
        </w:rPr>
      </w:pPr>
      <w:r>
        <w:rPr>
          <w:rFonts w:ascii="仿宋" w:hAnsi="仿宋" w:eastAsia="仿宋" w:cs="仿宋"/>
          <w:color w:val="333333"/>
          <w:spacing w:val="-3"/>
          <w:sz w:val="43"/>
          <w:szCs w:val="43"/>
          <w14:textOutline w14:w="7972" w14:cap="sq" w14:cmpd="sng">
            <w14:solidFill>
              <w14:srgbClr w14:val="333333"/>
            </w14:solidFill>
            <w14:prstDash w14:val="solid"/>
            <w14:bevel/>
          </w14:textOutline>
        </w:rPr>
        <w:t>霍邱县城西湖乡人民政府202</w:t>
      </w:r>
      <w:r>
        <w:rPr>
          <w:rFonts w:hint="eastAsia" w:ascii="仿宋" w:hAnsi="仿宋" w:eastAsia="仿宋" w:cs="仿宋"/>
          <w:color w:val="333333"/>
          <w:spacing w:val="-3"/>
          <w:sz w:val="43"/>
          <w:szCs w:val="43"/>
          <w:lang w:val="en-US" w:eastAsia="zh-CN"/>
          <w14:textOutline w14:w="7972" w14:cap="sq" w14:cmpd="sng">
            <w14:solidFill>
              <w14:srgbClr w14:val="333333"/>
            </w14:solidFill>
            <w14:prstDash w14:val="solid"/>
            <w14:bevel/>
          </w14:textOutline>
        </w:rPr>
        <w:t>3</w:t>
      </w:r>
      <w:r>
        <w:rPr>
          <w:rFonts w:ascii="仿宋" w:hAnsi="仿宋" w:eastAsia="仿宋" w:cs="仿宋"/>
          <w:color w:val="333333"/>
          <w:spacing w:val="-3"/>
          <w:sz w:val="43"/>
          <w:szCs w:val="43"/>
          <w14:textOutline w14:w="7972" w14:cap="sq" w14:cmpd="sng">
            <w14:solidFill>
              <w14:srgbClr w14:val="333333"/>
            </w14:solidFill>
            <w14:prstDash w14:val="solid"/>
            <w14:bevel/>
          </w14:textOutline>
        </w:rPr>
        <w:t>年政</w:t>
      </w:r>
      <w:r>
        <w:rPr>
          <w:rFonts w:ascii="仿宋" w:hAnsi="仿宋" w:eastAsia="仿宋" w:cs="仿宋"/>
          <w:color w:val="333333"/>
          <w:sz w:val="43"/>
          <w:szCs w:val="43"/>
          <w14:textOutline w14:w="7972" w14:cap="sq" w14:cmpd="sng">
            <w14:solidFill>
              <w14:srgbClr w14:val="333333"/>
            </w14:solidFill>
            <w14:prstDash w14:val="solid"/>
            <w14:bevel/>
          </w14:textOutline>
        </w:rPr>
        <w:t>府</w:t>
      </w:r>
      <w:r>
        <w:rPr>
          <w:rFonts w:ascii="仿宋" w:hAnsi="仿宋" w:eastAsia="仿宋" w:cs="仿宋"/>
          <w:color w:val="333333"/>
          <w:spacing w:val="12"/>
          <w:sz w:val="43"/>
          <w:szCs w:val="43"/>
          <w14:textOutline w14:w="7972" w14:cap="sq" w14:cmpd="sng">
            <w14:solidFill>
              <w14:srgbClr w14:val="333333"/>
            </w14:solidFill>
            <w14:prstDash w14:val="solid"/>
            <w14:bevel/>
          </w14:textOutline>
        </w:rPr>
        <w:t>信</w:t>
      </w:r>
      <w:r>
        <w:rPr>
          <w:rFonts w:ascii="仿宋" w:hAnsi="仿宋" w:eastAsia="仿宋" w:cs="仿宋"/>
          <w:color w:val="333333"/>
          <w:spacing w:val="8"/>
          <w:sz w:val="43"/>
          <w:szCs w:val="43"/>
          <w14:textOutline w14:w="7972" w14:cap="sq" w14:cmpd="sng">
            <w14:solidFill>
              <w14:srgbClr w14:val="333333"/>
            </w14:solidFill>
            <w14:prstDash w14:val="solid"/>
            <w14:bevel/>
          </w14:textOutline>
        </w:rPr>
        <w:t>息公开工作年度报告</w:t>
      </w:r>
    </w:p>
    <w:p>
      <w:pPr>
        <w:spacing w:before="81" w:line="415" w:lineRule="auto"/>
        <w:ind w:left="26" w:right="80" w:firstLine="654"/>
        <w:rPr>
          <w:rFonts w:ascii="仿宋" w:hAnsi="仿宋" w:eastAsia="仿宋" w:cs="仿宋"/>
          <w:sz w:val="28"/>
          <w:szCs w:val="28"/>
        </w:rPr>
      </w:pPr>
      <w:r>
        <w:rPr>
          <w:rFonts w:hint="eastAsia" w:ascii="仿宋" w:hAnsi="仿宋" w:eastAsia="仿宋" w:cs="仿宋"/>
          <w:color w:val="333333"/>
          <w:spacing w:val="-2"/>
          <w:sz w:val="28"/>
          <w:szCs w:val="28"/>
        </w:rPr>
        <w:t>根据《中华人民共和国政府信息公开条例》和《安徽省政务公开办公室关于做好2023年度政府信息公开工作年度报告编制和数据报送工作的通知》（皖政务办秘〔2024〕2号）、《六安市政务公开办公室关于做好2023年度政府信息公开年度报告编制和发布工作的通知》（六政务公开办〔2024〕2</w:t>
      </w:r>
      <w:r>
        <w:rPr>
          <w:rFonts w:hint="eastAsia" w:ascii="仿宋" w:hAnsi="仿宋" w:eastAsia="仿宋" w:cs="仿宋"/>
          <w:color w:val="333333"/>
          <w:spacing w:val="-2"/>
          <w:sz w:val="28"/>
          <w:szCs w:val="28"/>
          <w:lang w:val="en-US" w:eastAsia="zh-CN"/>
        </w:rPr>
        <w:t>号</w:t>
      </w:r>
      <w:r>
        <w:rPr>
          <w:rFonts w:hint="eastAsia" w:ascii="仿宋" w:hAnsi="仿宋" w:eastAsia="仿宋" w:cs="仿宋"/>
          <w:color w:val="333333"/>
          <w:spacing w:val="-2"/>
          <w:sz w:val="28"/>
          <w:szCs w:val="28"/>
        </w:rPr>
        <w:t>）文件要求，霍邱县</w:t>
      </w:r>
      <w:r>
        <w:rPr>
          <w:rFonts w:hint="eastAsia" w:ascii="仿宋" w:hAnsi="仿宋" w:eastAsia="仿宋" w:cs="仿宋"/>
          <w:color w:val="333333"/>
          <w:spacing w:val="-2"/>
          <w:sz w:val="28"/>
          <w:szCs w:val="28"/>
          <w:lang w:val="en-US" w:eastAsia="zh-CN"/>
        </w:rPr>
        <w:t>城西湖乡</w:t>
      </w:r>
      <w:r>
        <w:rPr>
          <w:rFonts w:hint="eastAsia" w:ascii="仿宋" w:hAnsi="仿宋" w:eastAsia="仿宋" w:cs="仿宋"/>
          <w:color w:val="333333"/>
          <w:spacing w:val="-2"/>
          <w:sz w:val="28"/>
          <w:szCs w:val="28"/>
        </w:rPr>
        <w:t>人民政府办公室编制2023年政府信息公开年度报告。报告全文包括总体情况、主动公开政府信息情况、收到和处理政府信息公开申请情况、政府信息公开行政复议、行政诉讼情况、存在的主要问题及改进措施和其他需要报告事项等6方面内容。本年度报告中所列数据统计期限为2023年1月1日起至2023年12月31日。</w:t>
      </w:r>
      <w:r>
        <w:rPr>
          <w:rFonts w:ascii="仿宋" w:hAnsi="仿宋" w:eastAsia="仿宋" w:cs="仿宋"/>
          <w:color w:val="333333"/>
          <w:sz w:val="28"/>
          <w:szCs w:val="28"/>
        </w:rPr>
        <w:t>如对本报告有任何疑</w:t>
      </w:r>
      <w:r>
        <w:rPr>
          <w:rFonts w:ascii="仿宋" w:hAnsi="仿宋" w:eastAsia="仿宋" w:cs="仿宋"/>
          <w:color w:val="333333"/>
          <w:spacing w:val="-14"/>
          <w:sz w:val="28"/>
          <w:szCs w:val="28"/>
        </w:rPr>
        <w:t>问</w:t>
      </w:r>
      <w:r>
        <w:rPr>
          <w:rFonts w:ascii="仿宋" w:hAnsi="仿宋" w:eastAsia="仿宋" w:cs="仿宋"/>
          <w:color w:val="333333"/>
          <w:spacing w:val="-8"/>
          <w:sz w:val="28"/>
          <w:szCs w:val="28"/>
        </w:rPr>
        <w:t>，</w:t>
      </w:r>
      <w:r>
        <w:rPr>
          <w:rFonts w:ascii="仿宋" w:hAnsi="仿宋" w:eastAsia="仿宋" w:cs="仿宋"/>
          <w:color w:val="333333"/>
          <w:spacing w:val="-7"/>
          <w:sz w:val="28"/>
          <w:szCs w:val="28"/>
        </w:rPr>
        <w:t>请与霍邱县城西湖乡人民政府联系(地址：霍邱县城关镇038县</w:t>
      </w:r>
      <w:r>
        <w:rPr>
          <w:rFonts w:ascii="仿宋" w:hAnsi="仿宋" w:eastAsia="仿宋" w:cs="仿宋"/>
          <w:color w:val="333333"/>
          <w:spacing w:val="-16"/>
          <w:sz w:val="28"/>
          <w:szCs w:val="28"/>
        </w:rPr>
        <w:t>道</w:t>
      </w:r>
      <w:r>
        <w:rPr>
          <w:rFonts w:ascii="仿宋" w:hAnsi="仿宋" w:eastAsia="仿宋" w:cs="仿宋"/>
          <w:color w:val="333333"/>
          <w:spacing w:val="-12"/>
          <w:sz w:val="28"/>
          <w:szCs w:val="28"/>
        </w:rPr>
        <w:t>与</w:t>
      </w:r>
      <w:r>
        <w:rPr>
          <w:rFonts w:ascii="仿宋" w:hAnsi="仿宋" w:eastAsia="仿宋" w:cs="仿宋"/>
          <w:color w:val="333333"/>
          <w:spacing w:val="-8"/>
          <w:sz w:val="28"/>
          <w:szCs w:val="28"/>
        </w:rPr>
        <w:t>156乡道交叉口西100米；邮编：237400；联系电话：</w:t>
      </w:r>
      <w:r>
        <w:rPr>
          <w:rFonts w:ascii="仿宋" w:hAnsi="仿宋" w:eastAsia="仿宋" w:cs="仿宋"/>
          <w:color w:val="333333"/>
          <w:spacing w:val="-1"/>
          <w:sz w:val="28"/>
          <w:szCs w:val="28"/>
        </w:rPr>
        <w:t>0564-6085030</w:t>
      </w:r>
      <w:r>
        <w:rPr>
          <w:rFonts w:ascii="仿宋" w:hAnsi="仿宋" w:eastAsia="仿宋" w:cs="仿宋"/>
          <w:color w:val="333333"/>
          <w:sz w:val="28"/>
          <w:szCs w:val="28"/>
        </w:rPr>
        <w:t>)。</w:t>
      </w:r>
    </w:p>
    <w:p>
      <w:pPr>
        <w:spacing w:before="44" w:line="513" w:lineRule="exact"/>
        <w:ind w:left="674"/>
        <w:outlineLvl w:val="0"/>
        <w:rPr>
          <w:rFonts w:ascii="黑体" w:hAnsi="黑体" w:eastAsia="黑体" w:cs="黑体"/>
          <w:sz w:val="31"/>
          <w:szCs w:val="31"/>
        </w:rPr>
      </w:pPr>
      <w:r>
        <w:rPr>
          <w:rFonts w:ascii="黑体" w:hAnsi="黑体" w:eastAsia="黑体" w:cs="黑体"/>
          <w:spacing w:val="8"/>
          <w:position w:val="4"/>
          <w:sz w:val="31"/>
          <w:szCs w:val="31"/>
          <w14:textOutline w14:w="5793" w14:cap="sq" w14:cmpd="sng">
            <w14:solidFill>
              <w14:srgbClr w14:val="000000"/>
            </w14:solidFill>
            <w14:prstDash w14:val="solid"/>
            <w14:bevel/>
          </w14:textOutline>
        </w:rPr>
        <w:t>一、总体情</w:t>
      </w:r>
      <w:r>
        <w:rPr>
          <w:rFonts w:ascii="黑体" w:hAnsi="黑体" w:eastAsia="黑体" w:cs="黑体"/>
          <w:spacing w:val="7"/>
          <w:position w:val="4"/>
          <w:sz w:val="31"/>
          <w:szCs w:val="31"/>
          <w14:textOutline w14:w="5793" w14:cap="sq" w14:cmpd="sng">
            <w14:solidFill>
              <w14:srgbClr w14:val="000000"/>
            </w14:solidFill>
            <w14:prstDash w14:val="solid"/>
            <w14:bevel/>
          </w14:textOutline>
        </w:rPr>
        <w:t>况</w:t>
      </w:r>
    </w:p>
    <w:p>
      <w:pPr>
        <w:spacing w:before="182" w:line="417" w:lineRule="auto"/>
        <w:ind w:left="32" w:right="219" w:firstLine="544" w:firstLineChars="200"/>
        <w:rPr>
          <w:rFonts w:ascii="仿宋" w:hAnsi="仿宋" w:eastAsia="仿宋" w:cs="仿宋"/>
          <w:sz w:val="28"/>
          <w:szCs w:val="28"/>
        </w:rPr>
      </w:pPr>
      <w:r>
        <w:rPr>
          <w:rFonts w:hint="eastAsia" w:ascii="仿宋" w:hAnsi="仿宋" w:eastAsia="仿宋" w:cs="仿宋"/>
          <w:spacing w:val="-4"/>
          <w:sz w:val="28"/>
          <w:szCs w:val="28"/>
        </w:rPr>
        <w:t>今年以来，城西湖乡政务公开工作在县委、县政府的正确领导下，在县</w:t>
      </w:r>
      <w:r>
        <w:rPr>
          <w:rFonts w:hint="eastAsia" w:ascii="仿宋" w:hAnsi="仿宋" w:eastAsia="仿宋" w:cs="仿宋"/>
          <w:spacing w:val="-4"/>
          <w:sz w:val="28"/>
          <w:szCs w:val="28"/>
          <w:lang w:val="en-US" w:eastAsia="zh-CN"/>
        </w:rPr>
        <w:t>公开办</w:t>
      </w:r>
      <w:r>
        <w:rPr>
          <w:rFonts w:hint="eastAsia" w:ascii="仿宋" w:hAnsi="仿宋" w:eastAsia="仿宋" w:cs="仿宋"/>
          <w:spacing w:val="-4"/>
          <w:sz w:val="28"/>
          <w:szCs w:val="28"/>
        </w:rPr>
        <w:t>的指导下，严格落实《中华人民共和国政府信息公开条例》以及国务院、省、市</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县</w:t>
      </w:r>
      <w:r>
        <w:rPr>
          <w:rFonts w:hint="eastAsia" w:ascii="仿宋" w:hAnsi="仿宋" w:eastAsia="仿宋" w:cs="仿宋"/>
          <w:spacing w:val="-4"/>
          <w:sz w:val="28"/>
          <w:szCs w:val="28"/>
        </w:rPr>
        <w:t>信息公开有关规定，本着“公开是原则，不公开是例外；公开不涉密，涉密不公开”的要求，依法、及时、准确地公开了相关政府信息，推进政府信息公开工作</w:t>
      </w:r>
      <w:r>
        <w:rPr>
          <w:rFonts w:hint="eastAsia" w:ascii="仿宋" w:hAnsi="仿宋" w:eastAsia="仿宋" w:cs="仿宋"/>
          <w:spacing w:val="-4"/>
          <w:sz w:val="28"/>
          <w:szCs w:val="28"/>
          <w:lang w:val="en-US" w:eastAsia="zh-CN"/>
        </w:rPr>
        <w:t>有序推进</w:t>
      </w:r>
      <w:r>
        <w:rPr>
          <w:rFonts w:hint="eastAsia" w:ascii="仿宋" w:hAnsi="仿宋" w:eastAsia="仿宋" w:cs="仿宋"/>
          <w:spacing w:val="-4"/>
          <w:sz w:val="28"/>
          <w:szCs w:val="28"/>
        </w:rPr>
        <w:t>。现将202</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rPr>
        <w:t>年工作开展情况汇报如下</w:t>
      </w:r>
      <w:r>
        <w:rPr>
          <w:rFonts w:ascii="仿宋" w:hAnsi="仿宋" w:eastAsia="仿宋" w:cs="仿宋"/>
          <w:spacing w:val="-1"/>
          <w:sz w:val="28"/>
          <w:szCs w:val="28"/>
        </w:rPr>
        <w:t>。</w:t>
      </w:r>
    </w:p>
    <w:p>
      <w:pPr>
        <w:spacing w:before="182" w:line="417" w:lineRule="auto"/>
        <w:ind w:left="32" w:right="219" w:firstLine="546" w:firstLineChars="200"/>
        <w:rPr>
          <w:rFonts w:hint="eastAsia" w:ascii="仿宋" w:hAnsi="仿宋" w:eastAsia="仿宋" w:cs="仿宋"/>
          <w:spacing w:val="-4"/>
          <w:sz w:val="28"/>
          <w:szCs w:val="28"/>
          <w:lang w:eastAsia="zh-CN"/>
        </w:rPr>
      </w:pPr>
      <w:r>
        <w:rPr>
          <w:rFonts w:hint="eastAsia" w:ascii="仿宋" w:hAnsi="仿宋" w:eastAsia="仿宋" w:cs="仿宋"/>
          <w:b/>
          <w:bCs/>
          <w:spacing w:val="-4"/>
          <w:sz w:val="28"/>
          <w:szCs w:val="28"/>
        </w:rPr>
        <w:t>(一)主动公开。</w:t>
      </w:r>
      <w:r>
        <w:rPr>
          <w:rFonts w:hint="eastAsia" w:ascii="仿宋" w:hAnsi="仿宋" w:eastAsia="仿宋" w:cs="仿宋"/>
          <w:spacing w:val="-4"/>
          <w:sz w:val="28"/>
          <w:szCs w:val="28"/>
          <w:lang w:eastAsia="zh-CN"/>
        </w:rPr>
        <w:t>202</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年，全乡</w:t>
      </w:r>
      <w:r>
        <w:rPr>
          <w:rFonts w:hint="eastAsia" w:ascii="仿宋" w:hAnsi="仿宋" w:eastAsia="仿宋" w:cs="仿宋"/>
          <w:spacing w:val="-4"/>
          <w:sz w:val="28"/>
          <w:szCs w:val="28"/>
          <w:lang w:val="en-US" w:eastAsia="zh-CN"/>
        </w:rPr>
        <w:t>主动更新机构职能、权责清单、财政信息、意见提案办理情况、主动回应等基础信息，聚焦社会救助、社会保险、就业创业等重点领域有序推进，常态化做好各类政策、标准、程序等更新工作，对涉及群众切身利益的库区移民扶持资金、新建王截流、陈郢保庄圩迁入安置进展等重点工作推进情况做到及时在乡、村公开栏做好公开，</w:t>
      </w:r>
      <w:r>
        <w:rPr>
          <w:rFonts w:hint="eastAsia" w:ascii="仿宋" w:hAnsi="仿宋" w:eastAsia="仿宋" w:cs="仿宋"/>
          <w:spacing w:val="-4"/>
          <w:sz w:val="28"/>
          <w:szCs w:val="28"/>
          <w:lang w:eastAsia="zh-CN"/>
        </w:rPr>
        <w:t>主动公开政府信息</w:t>
      </w:r>
      <w:r>
        <w:rPr>
          <w:rFonts w:hint="eastAsia" w:ascii="仿宋" w:hAnsi="仿宋" w:eastAsia="仿宋" w:cs="仿宋"/>
          <w:spacing w:val="-4"/>
          <w:sz w:val="28"/>
          <w:szCs w:val="28"/>
          <w:lang w:val="en-US" w:eastAsia="zh-CN"/>
        </w:rPr>
        <w:t>1397</w:t>
      </w:r>
      <w:r>
        <w:rPr>
          <w:rFonts w:hint="eastAsia" w:ascii="仿宋" w:hAnsi="仿宋" w:eastAsia="仿宋" w:cs="仿宋"/>
          <w:spacing w:val="-4"/>
          <w:sz w:val="28"/>
          <w:szCs w:val="28"/>
          <w:lang w:eastAsia="zh-CN"/>
        </w:rPr>
        <w:t>条，其中,政府信息公开指南1条，政府信息公开年报1条</w:t>
      </w:r>
      <w:r>
        <w:rPr>
          <w:rFonts w:hint="eastAsia" w:ascii="仿宋" w:hAnsi="仿宋" w:eastAsia="仿宋" w:cs="仿宋"/>
          <w:spacing w:val="-4"/>
          <w:sz w:val="28"/>
          <w:szCs w:val="28"/>
          <w:lang w:val="en-US" w:eastAsia="zh-CN"/>
        </w:rPr>
        <w:t>，政策文件6条，决策公开13条，行政权力58条</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主动公开816条，财政资金232条，应急管理24条，年度重点工作任务分解、执行及落实情况6条，乡镇对外联系电话1条</w:t>
      </w:r>
      <w:r>
        <w:rPr>
          <w:rFonts w:hint="eastAsia" w:ascii="仿宋" w:hAnsi="仿宋" w:eastAsia="仿宋" w:cs="仿宋"/>
          <w:spacing w:val="-4"/>
          <w:sz w:val="28"/>
          <w:szCs w:val="28"/>
          <w:lang w:eastAsia="zh-CN"/>
        </w:rPr>
        <w:t>。</w:t>
      </w:r>
    </w:p>
    <w:p>
      <w:pPr>
        <w:spacing w:before="182" w:line="417" w:lineRule="auto"/>
        <w:ind w:left="32" w:right="219" w:firstLine="592" w:firstLineChars="200"/>
        <w:rPr>
          <w:rFonts w:ascii="仿宋" w:hAnsi="仿宋" w:eastAsia="仿宋" w:cs="仿宋"/>
          <w:sz w:val="28"/>
          <w:szCs w:val="28"/>
        </w:rPr>
      </w:pPr>
      <w:r>
        <w:rPr>
          <w:rFonts w:ascii="仿宋" w:hAnsi="仿宋" w:eastAsia="仿宋" w:cs="仿宋"/>
          <w:spacing w:val="8"/>
          <w:sz w:val="28"/>
          <w:szCs w:val="28"/>
        </w:rPr>
        <w:t>(二)</w:t>
      </w:r>
      <w:r>
        <w:rPr>
          <w:rFonts w:hint="eastAsia" w:ascii="仿宋" w:hAnsi="仿宋" w:eastAsia="仿宋" w:cs="仿宋"/>
          <w:color w:val="333333"/>
          <w:spacing w:val="4"/>
          <w:sz w:val="28"/>
          <w:szCs w:val="28"/>
          <w14:textOutline w14:w="5103" w14:cap="sq" w14:cmpd="sng">
            <w14:solidFill>
              <w14:srgbClr w14:val="333333"/>
            </w14:solidFill>
            <w14:prstDash w14:val="solid"/>
            <w14:bevel/>
          </w14:textOutline>
        </w:rPr>
        <w:t>依申请公开。</w:t>
      </w:r>
      <w:r>
        <w:rPr>
          <w:rFonts w:hint="eastAsia" w:ascii="仿宋" w:hAnsi="仿宋" w:eastAsia="仿宋" w:cs="仿宋"/>
          <w:spacing w:val="-4"/>
          <w:sz w:val="28"/>
          <w:szCs w:val="28"/>
          <w:lang w:val="en-US" w:eastAsia="zh-CN"/>
        </w:rPr>
        <w:t>我乡严格贯彻落实国家、省、市、县关于做好政务信息已申请公开工作的要求，畅通线上线下依申请公开渠道，全力做</w:t>
      </w:r>
      <w:r>
        <w:rPr>
          <w:rFonts w:hint="eastAsia" w:ascii="仿宋" w:hAnsi="仿宋" w:eastAsia="仿宋" w:cs="仿宋"/>
          <w:spacing w:val="-4"/>
          <w:sz w:val="28"/>
          <w:szCs w:val="28"/>
          <w:highlight w:val="none"/>
          <w:lang w:val="en-US" w:eastAsia="zh-CN"/>
        </w:rPr>
        <w:t>好依</w:t>
      </w:r>
      <w:r>
        <w:rPr>
          <w:rFonts w:hint="eastAsia" w:ascii="仿宋" w:hAnsi="仿宋" w:eastAsia="仿宋" w:cs="仿宋"/>
          <w:spacing w:val="-4"/>
          <w:sz w:val="28"/>
          <w:szCs w:val="28"/>
          <w:lang w:val="en-US" w:eastAsia="zh-CN"/>
        </w:rPr>
        <w:t>申请公开的各项工作任务落实，自2023年1月1日起至2023年12月31日止，我乡共收到自然人、法人或其他组织申请公开政府信息数0件。</w:t>
      </w:r>
    </w:p>
    <w:p>
      <w:pPr>
        <w:spacing w:before="80" w:line="414" w:lineRule="auto"/>
        <w:ind w:left="33" w:right="34" w:firstLine="642"/>
        <w:rPr>
          <w:rFonts w:hint="default" w:ascii="仿宋" w:hAnsi="仿宋" w:eastAsia="仿宋" w:cs="仿宋"/>
          <w:spacing w:val="8"/>
          <w:sz w:val="28"/>
          <w:szCs w:val="28"/>
          <w:lang w:val="en-US" w:eastAsia="zh-CN"/>
        </w:rPr>
      </w:pPr>
      <w:r>
        <w:rPr>
          <w:rFonts w:ascii="仿宋" w:hAnsi="仿宋" w:eastAsia="仿宋" w:cs="仿宋"/>
          <w:spacing w:val="8"/>
          <w:sz w:val="28"/>
          <w:szCs w:val="28"/>
        </w:rPr>
        <w:t>(三)</w:t>
      </w:r>
      <w:r>
        <w:rPr>
          <w:rFonts w:hint="eastAsia" w:ascii="仿宋" w:hAnsi="仿宋" w:eastAsia="仿宋" w:cs="仿宋"/>
          <w:color w:val="333333"/>
          <w:spacing w:val="4"/>
          <w:sz w:val="28"/>
          <w:szCs w:val="28"/>
          <w14:textOutline w14:w="5103" w14:cap="sq" w14:cmpd="sng">
            <w14:solidFill>
              <w14:srgbClr w14:val="333333"/>
            </w14:solidFill>
            <w14:prstDash w14:val="solid"/>
            <w14:bevel/>
          </w14:textOutline>
        </w:rPr>
        <w:t>政府信息管理。</w:t>
      </w:r>
      <w:r>
        <w:rPr>
          <w:rFonts w:hint="eastAsia" w:ascii="仿宋" w:hAnsi="仿宋" w:eastAsia="仿宋" w:cs="仿宋"/>
          <w:spacing w:val="8"/>
          <w:sz w:val="28"/>
          <w:szCs w:val="28"/>
          <w:lang w:val="en-US" w:eastAsia="zh-CN"/>
        </w:rPr>
        <w:t>在政务公开工作的具体操作中，主要从以下三个方面全面落实政府信息公开内容管理。</w:t>
      </w:r>
      <w:r>
        <w:rPr>
          <w:rFonts w:hint="eastAsia" w:ascii="仿宋" w:hAnsi="仿宋" w:eastAsia="仿宋" w:cs="仿宋"/>
          <w:b/>
          <w:bCs/>
          <w:spacing w:val="8"/>
          <w:sz w:val="28"/>
          <w:szCs w:val="28"/>
          <w:lang w:val="en-US" w:eastAsia="zh-CN"/>
        </w:rPr>
        <w:t>一是</w:t>
      </w:r>
      <w:r>
        <w:rPr>
          <w:rFonts w:hint="eastAsia" w:ascii="仿宋" w:hAnsi="仿宋" w:eastAsia="仿宋" w:cs="仿宋"/>
          <w:spacing w:val="8"/>
          <w:sz w:val="28"/>
          <w:szCs w:val="28"/>
          <w:lang w:val="en-US" w:eastAsia="zh-CN"/>
        </w:rPr>
        <w:t>印发《城西湖乡政府信息公开发布“三审三校”审核制度的通知》，配备3名信息员做好信息初审环节工作，全面落实好信息发布的源头管控和分级审核，切实从源头上做好信息公开保密审查工作。</w:t>
      </w:r>
      <w:r>
        <w:rPr>
          <w:rFonts w:hint="eastAsia" w:ascii="仿宋" w:hAnsi="仿宋" w:eastAsia="仿宋" w:cs="仿宋"/>
          <w:b/>
          <w:bCs/>
          <w:spacing w:val="8"/>
          <w:sz w:val="28"/>
          <w:szCs w:val="28"/>
          <w:lang w:val="en-US" w:eastAsia="zh-CN"/>
        </w:rPr>
        <w:t>二是</w:t>
      </w:r>
      <w:r>
        <w:rPr>
          <w:rFonts w:hint="eastAsia" w:ascii="仿宋" w:hAnsi="仿宋" w:eastAsia="仿宋" w:cs="仿宋"/>
          <w:spacing w:val="8"/>
          <w:sz w:val="28"/>
          <w:szCs w:val="28"/>
          <w:lang w:val="en-US" w:eastAsia="zh-CN"/>
        </w:rPr>
        <w:t>确保政府信息管理制度有序推进。全乡按季度召政务公开专题会议，通报县季度反馈问题，对上级反馈的错敏信息第一时间做好整改并举一反三做好问题排查工作。</w:t>
      </w:r>
    </w:p>
    <w:p>
      <w:pPr>
        <w:spacing w:before="80" w:line="414" w:lineRule="auto"/>
        <w:ind w:left="33" w:right="34" w:firstLine="642"/>
        <w:rPr>
          <w:rFonts w:ascii="仿宋" w:hAnsi="仿宋" w:eastAsia="仿宋" w:cs="仿宋"/>
          <w:sz w:val="28"/>
          <w:szCs w:val="28"/>
        </w:rPr>
      </w:pPr>
      <w:r>
        <w:rPr>
          <w:rFonts w:ascii="仿宋" w:hAnsi="仿宋" w:eastAsia="仿宋" w:cs="仿宋"/>
          <w:color w:val="333333"/>
          <w:spacing w:val="-1"/>
          <w:sz w:val="28"/>
          <w:szCs w:val="28"/>
          <w14:textOutline w14:w="5103" w14:cap="sq" w14:cmpd="sng">
            <w14:solidFill>
              <w14:srgbClr w14:val="333333"/>
            </w14:solidFill>
            <w14:prstDash w14:val="solid"/>
            <w14:bevel/>
          </w14:textOutline>
        </w:rPr>
        <w:t>(四)</w:t>
      </w:r>
      <w:r>
        <w:rPr>
          <w:rFonts w:hint="eastAsia" w:ascii="仿宋" w:hAnsi="仿宋" w:eastAsia="仿宋" w:cs="仿宋"/>
          <w:color w:val="333333"/>
          <w:spacing w:val="-1"/>
          <w:sz w:val="28"/>
          <w:szCs w:val="28"/>
          <w14:textOutline w14:w="5103" w14:cap="sq" w14:cmpd="sng">
            <w14:solidFill>
              <w14:srgbClr w14:val="333333"/>
            </w14:solidFill>
            <w14:prstDash w14:val="solid"/>
            <w14:bevel/>
          </w14:textOutline>
        </w:rPr>
        <w:t>政府信息公开平台建设情况。</w:t>
      </w:r>
      <w:r>
        <w:rPr>
          <w:rFonts w:hint="eastAsia" w:ascii="仿宋" w:hAnsi="仿宋" w:eastAsia="仿宋" w:cs="仿宋"/>
          <w:color w:val="333333"/>
          <w:spacing w:val="-1"/>
          <w:sz w:val="28"/>
          <w:szCs w:val="28"/>
          <w:lang w:val="en-US" w:eastAsia="zh-CN"/>
          <w14:textOutline w14:w="5103" w14:cap="sq" w14:cmpd="sng">
            <w14:solidFill>
              <w14:srgbClr w14:val="333333"/>
            </w14:solidFill>
            <w14:prstDash w14:val="solid"/>
            <w14:bevel/>
          </w14:textOutline>
        </w:rPr>
        <w:t>一是做好线上、线下平台维护更新。</w:t>
      </w:r>
      <w:r>
        <w:rPr>
          <w:rFonts w:hint="eastAsia" w:ascii="仿宋" w:hAnsi="仿宋" w:eastAsia="仿宋" w:cs="仿宋"/>
          <w:spacing w:val="8"/>
          <w:sz w:val="28"/>
          <w:szCs w:val="28"/>
          <w:lang w:val="en-US" w:eastAsia="zh-CN"/>
        </w:rPr>
        <w:t>线上按月及时上传和完善政务公开网站公开信息、及时调整完善信息公开内容，按时上传政府工作动态；线下做好政务信息公开专栏的日常维护工作，按月及时更新乡政务信息公开公示栏内容，向社会公开全乡政府财政收支情况和重点工作目标完成情况，督促15个村做好公开栏维护工作，将每月村务公开考评结果纳入年度考核内容，对有条件的村按照最新标准建设政务公开栏。</w:t>
      </w:r>
      <w:r>
        <w:rPr>
          <w:rFonts w:hint="eastAsia" w:ascii="仿宋" w:hAnsi="仿宋" w:eastAsia="仿宋" w:cs="仿宋"/>
          <w:b/>
          <w:bCs/>
          <w:spacing w:val="8"/>
          <w:sz w:val="28"/>
          <w:szCs w:val="28"/>
          <w:lang w:val="en-US" w:eastAsia="zh-CN"/>
        </w:rPr>
        <w:t>二是做好政务服务和政务专区维护工作。</w:t>
      </w:r>
      <w:r>
        <w:rPr>
          <w:rFonts w:hint="eastAsia" w:ascii="仿宋" w:hAnsi="仿宋" w:eastAsia="仿宋" w:cs="仿宋"/>
          <w:spacing w:val="8"/>
          <w:sz w:val="28"/>
          <w:szCs w:val="28"/>
          <w:lang w:val="en-US" w:eastAsia="zh-CN"/>
        </w:rPr>
        <w:t>为基层群众提供政府信息网上查询、政府信息公开申请接收、政策咨询等服务；按规范化服务型政府要求，配套完善了便民服务中心的软硬件设施，加强对服务人员的培训和管理，公开办理事项和办事流程，印发办事指南，通过优化平台建设进一步畅通群众反馈渠道。</w:t>
      </w:r>
    </w:p>
    <w:p>
      <w:pPr>
        <w:spacing w:before="82" w:line="417" w:lineRule="auto"/>
        <w:ind w:left="46" w:right="80" w:firstLine="629"/>
        <w:rPr>
          <w:rFonts w:hint="default" w:ascii="仿宋" w:hAnsi="仿宋" w:eastAsia="仿宋" w:cs="仿宋"/>
          <w:color w:val="333333"/>
          <w:spacing w:val="-1"/>
          <w:sz w:val="28"/>
          <w:szCs w:val="28"/>
          <w:lang w:val="en-US" w:eastAsia="zh-CN"/>
        </w:rPr>
      </w:pPr>
      <w:r>
        <w:rPr>
          <w:rFonts w:hint="eastAsia" w:ascii="仿宋" w:hAnsi="仿宋" w:eastAsia="仿宋" w:cs="仿宋"/>
          <w:color w:val="333333"/>
          <w:spacing w:val="-1"/>
          <w:sz w:val="28"/>
          <w:szCs w:val="28"/>
          <w:lang w:eastAsia="zh-CN"/>
          <w14:textOutline w14:w="5103" w14:cap="sq" w14:cmpd="sng">
            <w14:solidFill>
              <w14:srgbClr w14:val="333333"/>
            </w14:solidFill>
            <w14:prstDash w14:val="solid"/>
            <w14:bevel/>
          </w14:textOutline>
        </w:rPr>
        <w:t>（五）监督保障情况。</w:t>
      </w:r>
      <w:r>
        <w:rPr>
          <w:rFonts w:hint="eastAsia" w:ascii="仿宋" w:hAnsi="仿宋" w:eastAsia="仿宋" w:cs="仿宋"/>
          <w:b/>
          <w:bCs/>
          <w:color w:val="333333"/>
          <w:spacing w:val="-1"/>
          <w:sz w:val="28"/>
          <w:szCs w:val="28"/>
          <w:lang w:eastAsia="zh-CN"/>
        </w:rPr>
        <w:t>一</w:t>
      </w:r>
      <w:r>
        <w:rPr>
          <w:rFonts w:hint="eastAsia" w:ascii="仿宋" w:hAnsi="仿宋" w:eastAsia="仿宋" w:cs="仿宋"/>
          <w:b/>
          <w:bCs/>
          <w:color w:val="333333"/>
          <w:spacing w:val="-1"/>
          <w:sz w:val="28"/>
          <w:szCs w:val="28"/>
          <w:lang w:val="en-US" w:eastAsia="zh-CN"/>
        </w:rPr>
        <w:t>是完善组织建设</w:t>
      </w:r>
      <w:r>
        <w:rPr>
          <w:rFonts w:hint="eastAsia" w:ascii="仿宋" w:hAnsi="仿宋" w:eastAsia="仿宋" w:cs="仿宋"/>
          <w:b/>
          <w:bCs/>
          <w:color w:val="333333"/>
          <w:spacing w:val="-1"/>
          <w:sz w:val="28"/>
          <w:szCs w:val="28"/>
          <w:lang w:eastAsia="zh-CN"/>
        </w:rPr>
        <w:t>，加强</w:t>
      </w:r>
      <w:r>
        <w:rPr>
          <w:rFonts w:hint="eastAsia" w:ascii="仿宋" w:hAnsi="仿宋" w:eastAsia="仿宋" w:cs="仿宋"/>
          <w:b/>
          <w:bCs/>
          <w:color w:val="333333"/>
          <w:spacing w:val="-1"/>
          <w:sz w:val="28"/>
          <w:szCs w:val="28"/>
          <w:lang w:val="en-US" w:eastAsia="zh-CN"/>
        </w:rPr>
        <w:t>业务</w:t>
      </w:r>
      <w:r>
        <w:rPr>
          <w:rFonts w:hint="eastAsia" w:ascii="仿宋" w:hAnsi="仿宋" w:eastAsia="仿宋" w:cs="仿宋"/>
          <w:b/>
          <w:bCs/>
          <w:color w:val="333333"/>
          <w:spacing w:val="-1"/>
          <w:sz w:val="28"/>
          <w:szCs w:val="28"/>
          <w:lang w:eastAsia="zh-CN"/>
        </w:rPr>
        <w:t>培训。</w:t>
      </w:r>
      <w:r>
        <w:rPr>
          <w:rFonts w:hint="eastAsia" w:ascii="仿宋" w:hAnsi="仿宋" w:eastAsia="仿宋" w:cs="仿宋"/>
          <w:color w:val="333333"/>
          <w:spacing w:val="-1"/>
          <w:sz w:val="28"/>
          <w:szCs w:val="28"/>
          <w:lang w:val="en-US" w:eastAsia="zh-CN"/>
        </w:rPr>
        <w:t>乡成立政务公开领导小组</w:t>
      </w:r>
      <w:r>
        <w:rPr>
          <w:rFonts w:hint="eastAsia" w:ascii="仿宋" w:hAnsi="仿宋" w:eastAsia="仿宋" w:cs="仿宋"/>
          <w:color w:val="333333"/>
          <w:spacing w:val="-1"/>
          <w:sz w:val="28"/>
          <w:szCs w:val="28"/>
          <w:lang w:eastAsia="zh-CN"/>
        </w:rPr>
        <w:t>，负责推进、指导、协调、监督全乡政府信息公开工</w:t>
      </w:r>
      <w:r>
        <w:rPr>
          <w:rFonts w:hint="eastAsia" w:ascii="仿宋" w:hAnsi="仿宋" w:eastAsia="仿宋" w:cs="仿宋"/>
          <w:color w:val="333333"/>
          <w:spacing w:val="-1"/>
          <w:sz w:val="28"/>
          <w:szCs w:val="28"/>
          <w:lang w:val="en-US" w:eastAsia="zh-CN"/>
        </w:rPr>
        <w:t>作，</w:t>
      </w:r>
      <w:r>
        <w:rPr>
          <w:rFonts w:hint="eastAsia" w:ascii="仿宋" w:hAnsi="仿宋" w:eastAsia="仿宋" w:cs="仿宋"/>
          <w:color w:val="333333"/>
          <w:spacing w:val="-1"/>
          <w:sz w:val="28"/>
          <w:szCs w:val="28"/>
          <w:lang w:eastAsia="zh-CN"/>
        </w:rPr>
        <w:t>安排2名</w:t>
      </w:r>
      <w:r>
        <w:rPr>
          <w:rFonts w:hint="eastAsia" w:ascii="仿宋" w:hAnsi="仿宋" w:eastAsia="仿宋" w:cs="仿宋"/>
          <w:color w:val="333333"/>
          <w:spacing w:val="-1"/>
          <w:sz w:val="28"/>
          <w:szCs w:val="28"/>
          <w:lang w:val="en-US" w:eastAsia="zh-CN"/>
        </w:rPr>
        <w:t>年轻业务经办人员负责具体工作。常态化安</w:t>
      </w:r>
      <w:r>
        <w:rPr>
          <w:rFonts w:hint="eastAsia" w:ascii="仿宋" w:hAnsi="仿宋" w:eastAsia="仿宋" w:cs="仿宋"/>
          <w:color w:val="333333"/>
          <w:spacing w:val="-1"/>
          <w:sz w:val="28"/>
          <w:szCs w:val="28"/>
          <w:lang w:eastAsia="zh-CN"/>
        </w:rPr>
        <w:t>排信息公开工作人员参加</w:t>
      </w:r>
      <w:r>
        <w:rPr>
          <w:rFonts w:hint="eastAsia" w:ascii="仿宋" w:hAnsi="仿宋" w:eastAsia="仿宋" w:cs="仿宋"/>
          <w:color w:val="333333"/>
          <w:spacing w:val="-1"/>
          <w:sz w:val="28"/>
          <w:szCs w:val="28"/>
          <w:lang w:val="en-US" w:eastAsia="zh-CN"/>
        </w:rPr>
        <w:t>县</w:t>
      </w:r>
      <w:r>
        <w:rPr>
          <w:rFonts w:hint="eastAsia" w:ascii="仿宋" w:hAnsi="仿宋" w:eastAsia="仿宋" w:cs="仿宋"/>
          <w:color w:val="333333"/>
          <w:spacing w:val="-1"/>
          <w:sz w:val="28"/>
          <w:szCs w:val="28"/>
          <w:lang w:eastAsia="zh-CN"/>
        </w:rPr>
        <w:t>级组织的专业培训，</w:t>
      </w:r>
      <w:r>
        <w:rPr>
          <w:rFonts w:hint="eastAsia" w:ascii="仿宋" w:hAnsi="仿宋" w:eastAsia="仿宋" w:cs="仿宋"/>
          <w:color w:val="333333"/>
          <w:spacing w:val="-1"/>
          <w:sz w:val="28"/>
          <w:szCs w:val="28"/>
          <w:lang w:val="en-US" w:eastAsia="zh-CN"/>
        </w:rPr>
        <w:t>确保政务公开取得实效</w:t>
      </w:r>
      <w:r>
        <w:rPr>
          <w:rFonts w:hint="eastAsia" w:ascii="仿宋" w:hAnsi="仿宋" w:eastAsia="仿宋" w:cs="仿宋"/>
          <w:color w:val="333333"/>
          <w:spacing w:val="-1"/>
          <w:sz w:val="28"/>
          <w:szCs w:val="28"/>
          <w:lang w:eastAsia="zh-CN"/>
        </w:rPr>
        <w:t>。</w:t>
      </w:r>
      <w:r>
        <w:rPr>
          <w:rFonts w:hint="eastAsia" w:ascii="仿宋" w:hAnsi="仿宋" w:eastAsia="仿宋" w:cs="仿宋"/>
          <w:b/>
          <w:bCs/>
          <w:color w:val="333333"/>
          <w:spacing w:val="-1"/>
          <w:sz w:val="28"/>
          <w:szCs w:val="28"/>
          <w:lang w:val="en-US" w:eastAsia="zh-CN"/>
        </w:rPr>
        <w:t>二是强化考核机制。</w:t>
      </w:r>
      <w:r>
        <w:rPr>
          <w:rFonts w:hint="eastAsia" w:ascii="仿宋" w:hAnsi="仿宋" w:eastAsia="仿宋" w:cs="仿宋"/>
          <w:color w:val="333333"/>
          <w:spacing w:val="-1"/>
          <w:sz w:val="28"/>
          <w:szCs w:val="28"/>
          <w:lang w:val="en-US" w:eastAsia="zh-CN"/>
        </w:rPr>
        <w:t>乡政务公开办公室定期对各村政务公开公示栏进行日常监督和年度综合考评，对公开栏公示延迟、不规范的问题经行调度，政务公开工作因故被市、县反馈整改的，要求第一时间做好整改工作，并由具体业务经办人向分管领导说明原因，同一问题反复出现的向主要领导做书面汇报。2023年我乡社会评议满意度良好，无因信息公开引发的责任追究事项。</w:t>
      </w:r>
    </w:p>
    <w:p>
      <w:pPr>
        <w:spacing w:before="68" w:line="417" w:lineRule="exact"/>
        <w:ind w:left="1053"/>
        <w:outlineLvl w:val="0"/>
        <w:rPr>
          <w:rFonts w:ascii="黑体" w:hAnsi="黑体" w:eastAsia="黑体" w:cs="黑体"/>
          <w:spacing w:val="9"/>
          <w:position w:val="2"/>
          <w:sz w:val="31"/>
          <w:szCs w:val="31"/>
          <w14:textOutline w14:w="5793" w14:cap="sq" w14:cmpd="sng">
            <w14:solidFill>
              <w14:srgbClr w14:val="000000"/>
            </w14:solidFill>
            <w14:prstDash w14:val="solid"/>
            <w14:bevel/>
          </w14:textOutline>
        </w:rPr>
      </w:pPr>
      <w:r>
        <w:rPr>
          <w:rFonts w:ascii="黑体" w:hAnsi="黑体" w:eastAsia="黑体" w:cs="黑体"/>
          <w:spacing w:val="15"/>
          <w:position w:val="2"/>
          <w:sz w:val="31"/>
          <w:szCs w:val="31"/>
          <w14:textOutline w14:w="5793" w14:cap="sq" w14:cmpd="sng">
            <w14:solidFill>
              <w14:srgbClr w14:val="000000"/>
            </w14:solidFill>
            <w14:prstDash w14:val="solid"/>
            <w14:bevel/>
          </w14:textOutline>
        </w:rPr>
        <w:t>二</w:t>
      </w:r>
      <w:r>
        <w:rPr>
          <w:rFonts w:ascii="黑体" w:hAnsi="黑体" w:eastAsia="黑体" w:cs="黑体"/>
          <w:spacing w:val="9"/>
          <w:position w:val="2"/>
          <w:sz w:val="31"/>
          <w:szCs w:val="31"/>
          <w14:textOutline w14:w="5793" w14:cap="sq" w14:cmpd="sng">
            <w14:solidFill>
              <w14:srgbClr w14:val="000000"/>
            </w14:solidFill>
            <w14:prstDash w14:val="solid"/>
            <w14:bevel/>
          </w14:textOutline>
        </w:rPr>
        <w:t>、主动公开政府信息情况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8" w:right="0" w:firstLine="0"/>
        <w:jc w:val="both"/>
        <w:rPr>
          <w:rFonts w:hint="default" w:ascii="Calibri" w:hAnsi="Calibri" w:eastAsia="宋体" w:cs="Calibri"/>
          <w:kern w:val="0"/>
          <w:sz w:val="24"/>
          <w:szCs w:val="24"/>
          <w:lang w:val="en-US" w:eastAsia="zh-CN" w:bidi="ar"/>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9"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0　　</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 0　</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0　　</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 0　</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firstLine="3360"/>
              <w:jc w:val="left"/>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4"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6" w:space="0"/>
              <w:right w:val="single" w:color="000000"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6" w:space="0"/>
              <w:right w:val="single" w:color="000000"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firstLine="3360"/>
              <w:jc w:val="both"/>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eastAsia="宋体" w:cs="Calibri"/>
          <w:kern w:val="0"/>
          <w:sz w:val="24"/>
          <w:szCs w:val="24"/>
          <w:lang w:val="en-US" w:eastAsia="zh-CN" w:bidi="ar"/>
        </w:rPr>
      </w:pPr>
      <w:r>
        <w:rPr>
          <w:rFonts w:hint="default" w:ascii="Calibri" w:hAnsi="Calibri" w:eastAsia="宋体"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Calibri" w:hAnsi="Calibri" w:eastAsia="宋体" w:cs="Calibri"/>
          <w:kern w:val="0"/>
          <w:sz w:val="24"/>
          <w:szCs w:val="24"/>
          <w:lang w:val="en-US" w:eastAsia="zh-CN" w:bidi="ar"/>
        </w:rPr>
      </w:pPr>
      <w:r>
        <w:rPr>
          <w:rFonts w:hint="eastAsia" w:ascii="仿宋_GB2312" w:hAnsi="Calibri" w:eastAsia="仿宋_GB2312" w:cs="仿宋_GB2312"/>
          <w:b/>
          <w:bCs/>
          <w:i w:val="0"/>
          <w:iCs w:val="0"/>
          <w:caps w:val="0"/>
          <w:color w:val="000000"/>
          <w:spacing w:val="0"/>
          <w:kern w:val="0"/>
          <w:sz w:val="32"/>
          <w:szCs w:val="32"/>
          <w:shd w:val="clear" w:fill="FFFFFF"/>
          <w:lang w:val="en-US" w:eastAsia="zh-CN" w:bidi="ar"/>
        </w:rPr>
        <w:t>三、收到和处理政府信息公开申请情况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Calibri" w:hAnsi="Calibri" w:eastAsia="宋体" w:cs="Calibri"/>
          <w:kern w:val="0"/>
          <w:sz w:val="24"/>
          <w:szCs w:val="24"/>
          <w:lang w:val="en-US" w:eastAsia="zh-CN" w:bidi="ar"/>
        </w:rPr>
      </w:pPr>
      <w:r>
        <w:rPr>
          <w:rFonts w:hint="default" w:ascii="Calibri" w:hAnsi="Calibri" w:eastAsia="宋体" w:cs="Calibri"/>
          <w:i w:val="0"/>
          <w:iCs w:val="0"/>
          <w:caps w:val="0"/>
          <w:color w:val="333333"/>
          <w:spacing w:val="0"/>
          <w:kern w:val="0"/>
          <w:sz w:val="21"/>
          <w:szCs w:val="21"/>
          <w:shd w:val="clear" w:fill="FFFFFF"/>
          <w:lang w:val="en-US" w:eastAsia="zh-CN" w:bidi="ar"/>
        </w:rPr>
        <w:t> </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29" w:type="dxa"/>
            <w:gridSpan w:val="3"/>
            <w:vMerge w:val="restart"/>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688"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自然人</w:t>
            </w:r>
          </w:p>
        </w:tc>
        <w:tc>
          <w:tcPr>
            <w:tcW w:w="3440"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法人或其他组织</w:t>
            </w:r>
          </w:p>
        </w:tc>
        <w:tc>
          <w:tcPr>
            <w:tcW w:w="688" w:type="dxa"/>
            <w:vMerge w:val="restart"/>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688"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商业</w:t>
            </w:r>
          </w:p>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企业</w:t>
            </w: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科研</w:t>
            </w:r>
          </w:p>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社会公益组织</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法律服务机构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其他</w:t>
            </w:r>
          </w:p>
        </w:tc>
        <w:tc>
          <w:tcPr>
            <w:tcW w:w="688" w:type="dxa"/>
            <w:vMerge w:val="continue"/>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一、本年新收政府信息公开申请数量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29" w:type="dxa"/>
            <w:gridSpan w:val="3"/>
            <w:tcBorders>
              <w:top w:val="nil"/>
              <w:left w:val="single" w:color="auto" w:sz="6" w:space="0"/>
              <w:bottom w:val="single" w:color="auto" w:sz="4"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二、上年结转政府信息公开申请数量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三、本年度办理结果</w:t>
            </w:r>
          </w:p>
        </w:tc>
        <w:tc>
          <w:tcPr>
            <w:tcW w:w="416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（一）予以公开</w:t>
            </w:r>
          </w:p>
        </w:tc>
        <w:tc>
          <w:tcPr>
            <w:tcW w:w="688" w:type="dxa"/>
            <w:tcBorders>
              <w:top w:val="nil"/>
              <w:left w:val="single" w:color="auto" w:sz="4"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416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（二）部分公开（区分处理的，只计这一情形，不计其他情形）</w:t>
            </w:r>
          </w:p>
        </w:tc>
        <w:tc>
          <w:tcPr>
            <w:tcW w:w="688" w:type="dxa"/>
            <w:tcBorders>
              <w:top w:val="nil"/>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4"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4"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4"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4"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4"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4"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（三）</w:t>
            </w:r>
            <w:bookmarkStart w:id="0" w:name="_GoBack"/>
            <w:bookmarkEnd w:id="0"/>
            <w:r>
              <w:rPr>
                <w:rFonts w:hint="eastAsia" w:ascii="宋体" w:hAnsi="宋体" w:eastAsia="宋体" w:cs="宋体"/>
                <w:color w:val="000000"/>
                <w:kern w:val="0"/>
                <w:sz w:val="20"/>
                <w:szCs w:val="20"/>
                <w:lang w:val="en-US" w:eastAsia="zh-CN" w:bidi="ar"/>
              </w:rPr>
              <w:t>不予公开</w:t>
            </w:r>
          </w:p>
        </w:tc>
        <w:tc>
          <w:tcPr>
            <w:tcW w:w="3219" w:type="dxa"/>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1.属于国家秘密</w:t>
            </w:r>
          </w:p>
        </w:tc>
        <w:tc>
          <w:tcPr>
            <w:tcW w:w="688" w:type="dxa"/>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single" w:color="auto" w:sz="4" w:space="0"/>
              <w:left w:val="single" w:color="auto" w:sz="4" w:space="0"/>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2.其他法律行政法规禁止公开</w:t>
            </w:r>
          </w:p>
        </w:tc>
        <w:tc>
          <w:tcPr>
            <w:tcW w:w="688" w:type="dxa"/>
            <w:tcBorders>
              <w:top w:val="single" w:color="auto" w:sz="4" w:space="0"/>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single" w:color="auto" w:sz="4" w:space="0"/>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single" w:color="auto" w:sz="4" w:space="0"/>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3.危及“三安全一稳定”</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single" w:color="auto" w:sz="4" w:space="0"/>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4.保护第三方合法权益</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single" w:color="auto" w:sz="4" w:space="0"/>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5.属于三类内部事务信息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single" w:color="auto" w:sz="4" w:space="0"/>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6.属于四类过程性信息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single" w:color="auto" w:sz="4" w:space="0"/>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7.属于行政执法案卷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single" w:color="auto" w:sz="4" w:space="0"/>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8.属于行政查询事项</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restart"/>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（四）无法提供</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1.本机关不掌握相关政府信息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2.没有现成信息需要另行制作</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3.补正后申请内容仍不明确</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restart"/>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（五）不予处理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1.信访举报投诉类申请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2.重复申请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3.要求提供公开出版物</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4.无正当理由大量反复申请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9" w:hRule="atLeast"/>
          <w:jc w:val="center"/>
        </w:trPr>
        <w:tc>
          <w:tcPr>
            <w:tcW w:w="767"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both"/>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5.要求行政机关确认或重新出具已获取信息</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restart"/>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（六）其他处理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both"/>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both"/>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single" w:color="auto" w:sz="4" w:space="0"/>
              <w:left w:val="single" w:color="auto" w:sz="4" w:space="0"/>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943" w:type="dxa"/>
            <w:vMerge w:val="continue"/>
            <w:tcBorders>
              <w:top w:val="single" w:color="auto" w:sz="4" w:space="0"/>
              <w:left w:val="nil"/>
              <w:bottom w:val="single" w:color="auto" w:sz="4"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3.其他</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7" w:type="dxa"/>
            <w:vMerge w:val="continue"/>
            <w:tcBorders>
              <w:top w:val="nil"/>
              <w:left w:val="single" w:color="auto" w:sz="4" w:space="0"/>
              <w:bottom w:val="outset" w:color="auto" w:sz="6" w:space="0"/>
              <w:right w:val="single" w:color="auto" w:sz="6" w:space="0"/>
            </w:tcBorders>
            <w:shd w:val="clear" w:color="auto" w:fill="auto"/>
            <w:tcMar>
              <w:top w:w="0" w:type="dxa"/>
              <w:left w:w="57" w:type="dxa"/>
              <w:bottom w:w="0" w:type="dxa"/>
              <w:right w:w="57"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（七）总计</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pPr>
              <w:keepNext w:val="0"/>
              <w:keepLines w:val="0"/>
              <w:widowControl/>
              <w:suppressLineNumbers w:val="0"/>
              <w:wordWrap w:val="0"/>
              <w:spacing w:before="0" w:beforeAutospacing="0" w:after="0" w:afterAutospacing="0" w:line="450" w:lineRule="atLeast"/>
              <w:ind w:left="0" w:right="0"/>
              <w:jc w:val="left"/>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四、结转下年度继续办理</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eastAsia="宋体" w:cs="Calibri"/>
          <w:kern w:val="0"/>
          <w:sz w:val="24"/>
          <w:szCs w:val="24"/>
          <w:lang w:val="en-US" w:eastAsia="zh-CN" w:bidi="ar"/>
        </w:rPr>
      </w:pPr>
      <w:r>
        <w:rPr>
          <w:rFonts w:hint="default" w:ascii="Calibri" w:hAnsi="Calibri" w:eastAsia="宋体"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Calibri" w:eastAsia="仿宋_GB2312" w:cs="仿宋_GB2312"/>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Calibri" w:eastAsia="仿宋_GB2312" w:cs="仿宋_GB2312"/>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Calibri" w:eastAsia="仿宋_GB2312" w:cs="仿宋_GB2312"/>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Calibri" w:eastAsia="仿宋_GB2312" w:cs="仿宋_GB2312"/>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Calibri"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b/>
          <w:bCs/>
          <w:i w:val="0"/>
          <w:iCs w:val="0"/>
          <w:caps w:val="0"/>
          <w:color w:val="000000"/>
          <w:spacing w:val="0"/>
          <w:kern w:val="0"/>
          <w:sz w:val="32"/>
          <w:szCs w:val="32"/>
          <w:shd w:val="clear" w:fill="FFFFFF"/>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Calibri" w:eastAsia="仿宋_GB2312" w:cs="仿宋_GB2312"/>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eastAsia="宋体" w:cs="Calibri"/>
          <w:kern w:val="0"/>
          <w:sz w:val="24"/>
          <w:szCs w:val="24"/>
          <w:lang w:val="en-US" w:eastAsia="zh-CN" w:bidi="ar"/>
        </w:rPr>
      </w:pPr>
      <w:r>
        <w:rPr>
          <w:rFonts w:hint="default" w:ascii="Calibri" w:hAnsi="Calibri" w:eastAsia="宋体" w:cs="Calibri"/>
          <w:i w:val="0"/>
          <w:iCs w:val="0"/>
          <w:caps w:val="0"/>
          <w:color w:val="333333"/>
          <w:spacing w:val="0"/>
          <w:kern w:val="0"/>
          <w:sz w:val="21"/>
          <w:szCs w:val="21"/>
          <w:shd w:val="clear" w:fill="FFFFFF"/>
          <w:lang w:val="en-US" w:eastAsia="zh-CN" w:bidi="ar"/>
        </w:rPr>
        <w:t> </w:t>
      </w: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245" w:type="dxa"/>
            <w:gridSpan w:val="5"/>
            <w:tcBorders>
              <w:top w:val="single" w:color="auto" w:sz="6" w:space="0"/>
              <w:left w:val="single" w:color="auto" w:sz="6" w:space="0"/>
              <w:bottom w:val="single" w:color="auto" w:sz="4"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行政复议</w:t>
            </w:r>
          </w:p>
        </w:tc>
        <w:tc>
          <w:tcPr>
            <w:tcW w:w="6498" w:type="dxa"/>
            <w:gridSpan w:val="10"/>
            <w:tcBorders>
              <w:top w:val="single" w:color="auto" w:sz="6" w:space="0"/>
              <w:left w:val="nil"/>
              <w:bottom w:val="single" w:color="auto" w:sz="4"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49" w:type="dxa"/>
            <w:vMerge w:val="restart"/>
            <w:tcBorders>
              <w:top w:val="single" w:color="auto" w:sz="4"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结果维持</w:t>
            </w:r>
          </w:p>
        </w:tc>
        <w:tc>
          <w:tcPr>
            <w:tcW w:w="649" w:type="dxa"/>
            <w:vMerge w:val="restart"/>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649" w:type="dxa"/>
            <w:vMerge w:val="restart"/>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9" w:type="dxa"/>
            <w:vMerge w:val="restart"/>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649" w:type="dxa"/>
            <w:vMerge w:val="restart"/>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总计</w:t>
            </w:r>
          </w:p>
        </w:tc>
        <w:tc>
          <w:tcPr>
            <w:tcW w:w="3248" w:type="dxa"/>
            <w:gridSpan w:val="5"/>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未经复议直接起诉</w:t>
            </w:r>
          </w:p>
        </w:tc>
        <w:tc>
          <w:tcPr>
            <w:tcW w:w="3250" w:type="dxa"/>
            <w:gridSpan w:val="5"/>
            <w:tcBorders>
              <w:top w:val="single" w:color="auto" w:sz="4" w:space="0"/>
              <w:left w:val="nil"/>
              <w:bottom w:val="single" w:color="auto" w:sz="6"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49" w:type="dxa"/>
            <w:vMerge w:val="continue"/>
            <w:tcBorders>
              <w:top w:val="nil"/>
              <w:left w:val="single" w:color="auto" w:sz="4" w:space="0"/>
              <w:bottom w:val="single" w:color="auto" w:sz="4" w:space="0"/>
              <w:right w:val="single" w:color="auto" w:sz="6" w:space="0"/>
            </w:tcBorders>
            <w:shd w:val="clear" w:color="auto" w:fill="auto"/>
            <w:tcMar>
              <w:top w:w="0" w:type="dxa"/>
              <w:left w:w="108" w:type="dxa"/>
              <w:bottom w:w="0" w:type="dxa"/>
              <w:right w:w="108"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649" w:type="dxa"/>
            <w:vMerge w:val="continue"/>
            <w:tcBorders>
              <w:top w:val="nil"/>
              <w:left w:val="nil"/>
              <w:bottom w:val="single" w:color="auto" w:sz="4" w:space="0"/>
              <w:right w:val="single" w:color="auto" w:sz="6" w:space="0"/>
            </w:tcBorders>
            <w:shd w:val="clear" w:color="auto" w:fill="auto"/>
            <w:tcMar>
              <w:top w:w="0" w:type="dxa"/>
              <w:left w:w="108" w:type="dxa"/>
              <w:bottom w:w="0" w:type="dxa"/>
              <w:right w:w="108"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649" w:type="dxa"/>
            <w:vMerge w:val="continue"/>
            <w:tcBorders>
              <w:top w:val="single" w:color="auto" w:sz="6" w:space="0"/>
              <w:left w:val="nil"/>
              <w:bottom w:val="single" w:color="auto" w:sz="4" w:space="0"/>
              <w:right w:val="single" w:color="auto" w:sz="6" w:space="0"/>
            </w:tcBorders>
            <w:shd w:val="clear" w:color="auto" w:fill="auto"/>
            <w:tcMar>
              <w:top w:w="0" w:type="dxa"/>
              <w:left w:w="108" w:type="dxa"/>
              <w:bottom w:w="0" w:type="dxa"/>
              <w:right w:w="108"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649" w:type="dxa"/>
            <w:vMerge w:val="continue"/>
            <w:tcBorders>
              <w:top w:val="single" w:color="auto" w:sz="6" w:space="0"/>
              <w:left w:val="nil"/>
              <w:bottom w:val="single" w:color="auto" w:sz="4" w:space="0"/>
              <w:right w:val="single" w:color="auto" w:sz="6" w:space="0"/>
            </w:tcBorders>
            <w:shd w:val="clear" w:color="auto" w:fill="auto"/>
            <w:tcMar>
              <w:top w:w="0" w:type="dxa"/>
              <w:left w:w="108" w:type="dxa"/>
              <w:bottom w:w="0" w:type="dxa"/>
              <w:right w:w="108"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649" w:type="dxa"/>
            <w:vMerge w:val="continue"/>
            <w:tcBorders>
              <w:top w:val="single" w:color="auto" w:sz="6" w:space="0"/>
              <w:left w:val="nil"/>
              <w:bottom w:val="single" w:color="auto" w:sz="4" w:space="0"/>
              <w:right w:val="single" w:color="auto" w:sz="6" w:space="0"/>
            </w:tcBorders>
            <w:shd w:val="clear" w:color="auto" w:fill="auto"/>
            <w:tcMar>
              <w:top w:w="0" w:type="dxa"/>
              <w:left w:w="108" w:type="dxa"/>
              <w:bottom w:w="0" w:type="dxa"/>
              <w:right w:w="108" w:type="dxa"/>
            </w:tcMar>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kern w:val="2"/>
                <w:sz w:val="20"/>
                <w:szCs w:val="20"/>
                <w:lang w:val="en-US" w:eastAsia="zh-CN" w:bidi="ar-SA"/>
              </w:rPr>
            </w:pPr>
          </w:p>
        </w:tc>
        <w:tc>
          <w:tcPr>
            <w:tcW w:w="649" w:type="dxa"/>
            <w:tcBorders>
              <w:top w:val="nil"/>
              <w:left w:val="nil"/>
              <w:bottom w:val="single" w:color="auto" w:sz="4"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维持</w:t>
            </w:r>
          </w:p>
        </w:tc>
        <w:tc>
          <w:tcPr>
            <w:tcW w:w="649" w:type="dxa"/>
            <w:tcBorders>
              <w:top w:val="nil"/>
              <w:left w:val="nil"/>
              <w:bottom w:val="single" w:color="auto" w:sz="4"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650" w:type="dxa"/>
            <w:tcBorders>
              <w:top w:val="single" w:color="auto" w:sz="6" w:space="0"/>
              <w:left w:val="nil"/>
              <w:bottom w:val="single" w:color="auto" w:sz="4"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single" w:color="auto" w:sz="6" w:space="0"/>
              <w:left w:val="nil"/>
              <w:bottom w:val="single" w:color="auto" w:sz="4"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650" w:type="dxa"/>
            <w:tcBorders>
              <w:top w:val="single" w:color="auto" w:sz="6" w:space="0"/>
              <w:left w:val="nil"/>
              <w:bottom w:val="single" w:color="auto" w:sz="4"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总计</w:t>
            </w:r>
          </w:p>
        </w:tc>
        <w:tc>
          <w:tcPr>
            <w:tcW w:w="650" w:type="dxa"/>
            <w:tcBorders>
              <w:top w:val="single" w:color="auto" w:sz="6" w:space="0"/>
              <w:left w:val="nil"/>
              <w:bottom w:val="single" w:color="auto" w:sz="4"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维持</w:t>
            </w:r>
          </w:p>
        </w:tc>
        <w:tc>
          <w:tcPr>
            <w:tcW w:w="650" w:type="dxa"/>
            <w:tcBorders>
              <w:top w:val="single" w:color="auto" w:sz="6" w:space="0"/>
              <w:left w:val="nil"/>
              <w:bottom w:val="single" w:color="auto" w:sz="4"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650" w:type="dxa"/>
            <w:tcBorders>
              <w:top w:val="single" w:color="auto" w:sz="6" w:space="0"/>
              <w:left w:val="nil"/>
              <w:bottom w:val="single" w:color="auto" w:sz="4"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single" w:color="auto" w:sz="6"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650"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2" w:hRule="atLeast"/>
          <w:jc w:val="center"/>
        </w:trPr>
        <w:tc>
          <w:tcPr>
            <w:tcW w:w="649" w:type="dxa"/>
            <w:tcBorders>
              <w:top w:val="single" w:color="auto" w:sz="4"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49"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49"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49"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49"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49"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49"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50"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50"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50"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50"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50"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50"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50" w:type="dxa"/>
            <w:tcBorders>
              <w:top w:val="single" w:color="auto" w:sz="4" w:space="0"/>
              <w:left w:val="nil"/>
              <w:bottom w:val="single" w:color="auto" w:sz="6" w:space="0"/>
              <w:right w:val="single" w:color="auto" w:sz="6" w:space="0"/>
            </w:tcBorders>
            <w:shd w:val="clear" w:color="auto" w:fill="auto"/>
            <w:tcMar>
              <w:top w:w="0" w:type="dxa"/>
              <w:left w:w="108" w:type="dxa"/>
              <w:bottom w:w="0" w:type="dxa"/>
              <w:right w:w="108" w:type="dxa"/>
            </w:tcMar>
            <w:vAlign w:val="top"/>
          </w:tcPr>
          <w:p>
            <w:pPr>
              <w:keepNext w:val="0"/>
              <w:keepLines w:val="0"/>
              <w:widowControl/>
              <w:suppressLineNumbers w:val="0"/>
              <w:wordWrap w:val="0"/>
              <w:spacing w:before="0" w:beforeAutospacing="0" w:after="0" w:afterAutospacing="0" w:line="450" w:lineRule="atLeast"/>
              <w:ind w:left="0" w:right="0"/>
              <w:jc w:val="center"/>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pPr>
              <w:keepNext w:val="0"/>
              <w:keepLines w:val="0"/>
              <w:widowControl/>
              <w:suppressLineNumbers w:val="0"/>
              <w:wordWrap w:val="0"/>
              <w:spacing w:before="0" w:beforeAutospacing="0" w:after="0" w:afterAutospacing="0" w:line="450" w:lineRule="atLeast"/>
              <w:ind w:left="0" w:right="0"/>
              <w:jc w:val="both"/>
              <w:rPr>
                <w:rFonts w:hint="default" w:ascii="Calibri" w:hAnsi="Calibri" w:eastAsia="宋体" w:cs="Calibri"/>
                <w:kern w:val="0"/>
                <w:sz w:val="24"/>
                <w:szCs w:val="24"/>
                <w:lang w:val="en-US" w:eastAsia="zh-CN" w:bidi="ar"/>
              </w:rPr>
            </w:pPr>
            <w:r>
              <w:rPr>
                <w:rFonts w:hint="default" w:ascii="Calibri" w:hAnsi="Calibri" w:eastAsia="宋体" w:cs="Calibri"/>
                <w:color w:val="000000"/>
                <w:kern w:val="0"/>
                <w:sz w:val="20"/>
                <w:szCs w:val="20"/>
                <w:lang w:val="en-US" w:eastAsia="zh-CN" w:bidi="ar"/>
              </w:rPr>
              <w:t> 0</w:t>
            </w:r>
          </w:p>
        </w:tc>
      </w:tr>
    </w:tbl>
    <w:p>
      <w:pPr>
        <w:spacing w:before="68" w:line="417" w:lineRule="exact"/>
        <w:ind w:left="1053"/>
        <w:outlineLvl w:val="0"/>
        <w:rPr>
          <w:rFonts w:ascii="黑体" w:hAnsi="黑体" w:eastAsia="黑体" w:cs="黑体"/>
          <w:spacing w:val="9"/>
          <w:position w:val="2"/>
          <w:sz w:val="31"/>
          <w:szCs w:val="31"/>
          <w14:textOutline w14:w="5793" w14:cap="sq" w14:cmpd="sng">
            <w14:solidFill>
              <w14:srgbClr w14:val="000000"/>
            </w14:solidFill>
            <w14:prstDash w14:val="solid"/>
            <w14:bevel/>
          </w14:textOutline>
        </w:rPr>
      </w:pPr>
    </w:p>
    <w:p>
      <w:pPr>
        <w:spacing w:before="255"/>
        <w:ind w:left="893"/>
        <w:outlineLvl w:val="0"/>
        <w:rPr>
          <w:rFonts w:ascii="黑体" w:hAnsi="黑体" w:eastAsia="黑体" w:cs="黑体"/>
          <w:sz w:val="31"/>
          <w:szCs w:val="31"/>
        </w:rPr>
      </w:pPr>
      <w:r>
        <w:rPr>
          <w:rFonts w:ascii="黑体" w:hAnsi="黑体" w:eastAsia="黑体" w:cs="黑体"/>
          <w:spacing w:val="16"/>
          <w:sz w:val="31"/>
          <w:szCs w:val="31"/>
          <w14:textOutline w14:w="5793" w14:cap="sq" w14:cmpd="sng">
            <w14:solidFill>
              <w14:srgbClr w14:val="000000"/>
            </w14:solidFill>
            <w14:prstDash w14:val="solid"/>
            <w14:bevel/>
          </w14:textOutline>
        </w:rPr>
        <w:t>五</w:t>
      </w:r>
      <w:r>
        <w:rPr>
          <w:rFonts w:ascii="黑体" w:hAnsi="黑体" w:eastAsia="黑体" w:cs="黑体"/>
          <w:spacing w:val="9"/>
          <w:sz w:val="31"/>
          <w:szCs w:val="31"/>
          <w14:textOutline w14:w="5793" w14:cap="sq" w14:cmpd="sng">
            <w14:solidFill>
              <w14:srgbClr w14:val="000000"/>
            </w14:solidFill>
            <w14:prstDash w14:val="solid"/>
            <w14:bevel/>
          </w14:textOutline>
        </w:rPr>
        <w:t>、存在的主要问题及改进情况</w:t>
      </w:r>
    </w:p>
    <w:p>
      <w:pPr>
        <w:spacing w:before="341" w:line="375" w:lineRule="auto"/>
        <w:ind w:left="36" w:right="14" w:firstLine="638"/>
        <w:rPr>
          <w:rFonts w:hint="eastAsia" w:ascii="仿宋" w:hAnsi="仿宋" w:eastAsia="仿宋" w:cs="仿宋"/>
          <w:spacing w:val="8"/>
          <w:sz w:val="31"/>
          <w:szCs w:val="31"/>
        </w:rPr>
      </w:pPr>
      <w:r>
        <w:rPr>
          <w:rFonts w:hint="eastAsia" w:ascii="仿宋" w:hAnsi="仿宋" w:eastAsia="仿宋" w:cs="仿宋"/>
          <w:spacing w:val="8"/>
          <w:sz w:val="31"/>
          <w:szCs w:val="31"/>
        </w:rPr>
        <w:t>(一)</w:t>
      </w:r>
      <w:r>
        <w:rPr>
          <w:rFonts w:hint="eastAsia" w:ascii="仿宋" w:hAnsi="仿宋" w:eastAsia="仿宋" w:cs="仿宋"/>
          <w:spacing w:val="8"/>
          <w:sz w:val="31"/>
          <w:szCs w:val="31"/>
          <w:lang w:val="en-US" w:eastAsia="zh-CN"/>
        </w:rPr>
        <w:t>上年度存在的问题及整改成效</w:t>
      </w:r>
      <w:r>
        <w:rPr>
          <w:rFonts w:hint="eastAsia" w:ascii="仿宋" w:hAnsi="仿宋" w:eastAsia="仿宋" w:cs="仿宋"/>
          <w:spacing w:val="8"/>
          <w:sz w:val="31"/>
          <w:szCs w:val="31"/>
        </w:rPr>
        <w:t>。</w:t>
      </w:r>
    </w:p>
    <w:p>
      <w:pPr>
        <w:spacing w:before="341" w:line="375" w:lineRule="auto"/>
        <w:ind w:left="36" w:right="14" w:firstLine="638"/>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202</w:t>
      </w:r>
      <w:r>
        <w:rPr>
          <w:rFonts w:hint="eastAsia" w:ascii="仿宋" w:hAnsi="仿宋" w:eastAsia="仿宋" w:cs="仿宋"/>
          <w:spacing w:val="8"/>
          <w:sz w:val="31"/>
          <w:szCs w:val="31"/>
          <w:lang w:val="en-US" w:eastAsia="zh-CN"/>
        </w:rPr>
        <w:t>2</w:t>
      </w:r>
      <w:r>
        <w:rPr>
          <w:rFonts w:hint="eastAsia" w:ascii="仿宋" w:hAnsi="仿宋" w:eastAsia="仿宋" w:cs="仿宋"/>
          <w:spacing w:val="8"/>
          <w:sz w:val="31"/>
          <w:szCs w:val="31"/>
        </w:rPr>
        <w:t>年我乡的</w:t>
      </w:r>
      <w:r>
        <w:rPr>
          <w:rFonts w:hint="eastAsia" w:ascii="仿宋" w:hAnsi="仿宋" w:eastAsia="仿宋" w:cs="仿宋"/>
          <w:spacing w:val="8"/>
          <w:sz w:val="31"/>
          <w:szCs w:val="31"/>
          <w:lang w:val="en-US" w:eastAsia="zh-CN"/>
        </w:rPr>
        <w:t>政务</w:t>
      </w:r>
      <w:r>
        <w:rPr>
          <w:rFonts w:hint="eastAsia" w:ascii="仿宋" w:hAnsi="仿宋" w:eastAsia="仿宋" w:cs="仿宋"/>
          <w:spacing w:val="8"/>
          <w:sz w:val="31"/>
          <w:szCs w:val="31"/>
        </w:rPr>
        <w:t>信息公开工作</w:t>
      </w:r>
      <w:r>
        <w:rPr>
          <w:rFonts w:hint="eastAsia" w:ascii="仿宋" w:hAnsi="仿宋" w:eastAsia="仿宋" w:cs="仿宋"/>
          <w:spacing w:val="8"/>
          <w:sz w:val="31"/>
          <w:szCs w:val="31"/>
          <w:lang w:val="en-US" w:eastAsia="zh-CN"/>
        </w:rPr>
        <w:t>重视和</w:t>
      </w:r>
      <w:r>
        <w:rPr>
          <w:rFonts w:hint="eastAsia" w:ascii="仿宋" w:hAnsi="仿宋" w:eastAsia="仿宋" w:cs="仿宋"/>
          <w:spacing w:val="8"/>
          <w:sz w:val="31"/>
          <w:szCs w:val="31"/>
        </w:rPr>
        <w:t>认识不足</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rPr>
        <w:t>公开不及时和政务信息内容格式不统一</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rPr>
        <w:t>政务信息部分信息缺失</w:t>
      </w:r>
      <w:r>
        <w:rPr>
          <w:rFonts w:hint="eastAsia" w:ascii="仿宋" w:hAnsi="仿宋" w:eastAsia="仿宋" w:cs="仿宋"/>
          <w:spacing w:val="8"/>
          <w:sz w:val="31"/>
          <w:szCs w:val="31"/>
          <w:lang w:val="en-US" w:eastAsia="zh-CN"/>
        </w:rPr>
        <w:t>等</w:t>
      </w:r>
      <w:r>
        <w:rPr>
          <w:rFonts w:hint="eastAsia" w:ascii="仿宋" w:hAnsi="仿宋" w:eastAsia="仿宋" w:cs="仿宋"/>
          <w:spacing w:val="8"/>
          <w:sz w:val="31"/>
          <w:szCs w:val="31"/>
        </w:rPr>
        <w:t>问题</w:t>
      </w:r>
      <w:r>
        <w:rPr>
          <w:rFonts w:hint="eastAsia" w:ascii="仿宋" w:hAnsi="仿宋" w:eastAsia="仿宋" w:cs="仿宋"/>
          <w:spacing w:val="8"/>
          <w:sz w:val="31"/>
          <w:szCs w:val="31"/>
          <w:lang w:val="en-US" w:eastAsia="zh-CN"/>
        </w:rPr>
        <w:t>。对此，我乡针对性落实整改措施。</w:t>
      </w:r>
      <w:r>
        <w:rPr>
          <w:rFonts w:hint="eastAsia" w:ascii="仿宋" w:hAnsi="仿宋" w:eastAsia="仿宋" w:cs="仿宋"/>
          <w:b/>
          <w:bCs/>
          <w:spacing w:val="8"/>
          <w:sz w:val="31"/>
          <w:szCs w:val="31"/>
          <w:lang w:val="en-US" w:eastAsia="zh-CN"/>
        </w:rPr>
        <w:t>一是强化组织领导，完善制度规范。</w:t>
      </w:r>
      <w:r>
        <w:rPr>
          <w:rFonts w:hint="eastAsia" w:ascii="仿宋" w:hAnsi="仿宋" w:eastAsia="仿宋" w:cs="仿宋"/>
          <w:spacing w:val="8"/>
          <w:sz w:val="31"/>
          <w:szCs w:val="31"/>
          <w:lang w:val="en-US" w:eastAsia="zh-CN"/>
        </w:rPr>
        <w:t>印发《关于调整城西湖乡政务公开工作领导小组的通知》，进一步统一思想，形成部门协调，上下联动的政务公开工作模式。</w:t>
      </w:r>
      <w:r>
        <w:rPr>
          <w:rFonts w:hint="eastAsia" w:ascii="仿宋" w:hAnsi="仿宋" w:eastAsia="仿宋" w:cs="仿宋"/>
          <w:b/>
          <w:bCs/>
          <w:spacing w:val="8"/>
          <w:sz w:val="31"/>
          <w:szCs w:val="31"/>
          <w:lang w:val="en-US" w:eastAsia="zh-CN"/>
        </w:rPr>
        <w:t>二是及时公开、完善细节。</w:t>
      </w:r>
      <w:r>
        <w:rPr>
          <w:rFonts w:hint="eastAsia" w:ascii="仿宋" w:hAnsi="仿宋" w:eastAsia="仿宋" w:cs="仿宋"/>
          <w:spacing w:val="8"/>
          <w:sz w:val="31"/>
          <w:szCs w:val="31"/>
          <w:lang w:val="en-US" w:eastAsia="zh-CN"/>
        </w:rPr>
        <w:t>在月底，各部门将本单位涉及政务公开的数据信息统一汇总到乡政务公开办公室，由业务人员统一把关审核后及时上传。</w:t>
      </w:r>
      <w:r>
        <w:rPr>
          <w:rFonts w:hint="eastAsia" w:ascii="仿宋" w:hAnsi="仿宋" w:eastAsia="仿宋" w:cs="仿宋"/>
          <w:b/>
          <w:bCs/>
          <w:spacing w:val="8"/>
          <w:sz w:val="31"/>
          <w:szCs w:val="31"/>
          <w:lang w:val="en-US" w:eastAsia="zh-CN"/>
        </w:rPr>
        <w:t>三是做到应公开尽公开。</w:t>
      </w:r>
      <w:r>
        <w:rPr>
          <w:rFonts w:hint="eastAsia" w:ascii="仿宋" w:hAnsi="仿宋" w:eastAsia="仿宋" w:cs="仿宋"/>
          <w:spacing w:val="8"/>
          <w:sz w:val="31"/>
          <w:szCs w:val="31"/>
          <w:lang w:val="en-US" w:eastAsia="zh-CN"/>
        </w:rPr>
        <w:t>对全乡涉及政府的决策、规划、政策、经济、社会、文化等方面的信息全面公开，严格按照网站模块对公开涉及村务、财务公开类，三资公开类，项目公开类，惠民补贴类，乡村振兴类等做到全面公开，方便公众获取和监督。</w:t>
      </w:r>
    </w:p>
    <w:p>
      <w:pPr>
        <w:spacing w:before="162" w:line="228" w:lineRule="auto"/>
        <w:ind w:left="519"/>
        <w:rPr>
          <w:rFonts w:ascii="仿宋" w:hAnsi="仿宋" w:eastAsia="仿宋" w:cs="仿宋"/>
          <w:sz w:val="31"/>
          <w:szCs w:val="31"/>
        </w:rPr>
      </w:pPr>
      <w:r>
        <w:rPr>
          <w:rFonts w:ascii="仿宋" w:hAnsi="仿宋" w:eastAsia="仿宋" w:cs="仿宋"/>
          <w:spacing w:val="7"/>
          <w:sz w:val="31"/>
          <w:szCs w:val="31"/>
        </w:rPr>
        <w:t>(</w:t>
      </w:r>
      <w:r>
        <w:rPr>
          <w:rFonts w:hint="eastAsia" w:ascii="仿宋" w:hAnsi="仿宋" w:eastAsia="仿宋" w:cs="仿宋"/>
          <w:spacing w:val="4"/>
          <w:sz w:val="31"/>
          <w:szCs w:val="31"/>
          <w:lang w:val="en-US" w:eastAsia="zh-CN"/>
        </w:rPr>
        <w:t>二</w:t>
      </w:r>
      <w:r>
        <w:rPr>
          <w:rFonts w:ascii="仿宋" w:hAnsi="仿宋" w:eastAsia="仿宋" w:cs="仿宋"/>
          <w:spacing w:val="4"/>
          <w:sz w:val="31"/>
          <w:szCs w:val="31"/>
        </w:rPr>
        <w:t>)</w:t>
      </w:r>
      <w:r>
        <w:rPr>
          <w:rFonts w:hint="eastAsia" w:ascii="仿宋" w:hAnsi="仿宋" w:eastAsia="仿宋" w:cs="仿宋"/>
          <w:spacing w:val="4"/>
          <w:sz w:val="31"/>
          <w:szCs w:val="31"/>
          <w:lang w:val="en-US" w:eastAsia="zh-CN"/>
        </w:rPr>
        <w:t>本年度存在的问题及整改</w:t>
      </w:r>
      <w:r>
        <w:rPr>
          <w:rFonts w:hint="eastAsia" w:ascii="仿宋" w:hAnsi="仿宋" w:eastAsia="仿宋" w:cs="仿宋"/>
          <w:spacing w:val="8"/>
          <w:sz w:val="31"/>
          <w:szCs w:val="31"/>
          <w:lang w:val="en-US" w:eastAsia="zh-CN"/>
        </w:rPr>
        <w:t>措</w:t>
      </w:r>
      <w:r>
        <w:rPr>
          <w:rFonts w:hint="eastAsia" w:ascii="仿宋" w:hAnsi="仿宋" w:eastAsia="仿宋" w:cs="仿宋"/>
          <w:spacing w:val="4"/>
          <w:sz w:val="31"/>
          <w:szCs w:val="31"/>
          <w:lang w:val="en-US" w:eastAsia="zh-CN"/>
        </w:rPr>
        <w:t>施</w:t>
      </w:r>
      <w:r>
        <w:rPr>
          <w:rFonts w:ascii="仿宋" w:hAnsi="仿宋" w:eastAsia="仿宋" w:cs="仿宋"/>
          <w:spacing w:val="4"/>
          <w:sz w:val="31"/>
          <w:szCs w:val="31"/>
        </w:rPr>
        <w:t>。</w:t>
      </w:r>
    </w:p>
    <w:p>
      <w:pPr>
        <w:spacing w:before="341" w:line="375" w:lineRule="auto"/>
        <w:ind w:left="36" w:right="14" w:firstLine="638"/>
        <w:rPr>
          <w:rFonts w:ascii="仿宋" w:hAnsi="仿宋" w:eastAsia="仿宋" w:cs="仿宋"/>
          <w:spacing w:val="8"/>
          <w:sz w:val="31"/>
          <w:szCs w:val="31"/>
        </w:rPr>
      </w:pPr>
      <w:r>
        <w:rPr>
          <w:rFonts w:hint="eastAsia" w:ascii="仿宋" w:hAnsi="仿宋" w:eastAsia="仿宋" w:cs="仿宋"/>
          <w:spacing w:val="8"/>
          <w:sz w:val="31"/>
          <w:szCs w:val="31"/>
        </w:rPr>
        <w:t>2023年，</w:t>
      </w:r>
      <w:r>
        <w:rPr>
          <w:rFonts w:hint="eastAsia" w:ascii="仿宋" w:hAnsi="仿宋" w:eastAsia="仿宋" w:cs="仿宋"/>
          <w:spacing w:val="8"/>
          <w:sz w:val="31"/>
          <w:szCs w:val="31"/>
          <w:lang w:val="en-US" w:eastAsia="zh-CN"/>
        </w:rPr>
        <w:t>城西湖乡</w:t>
      </w:r>
      <w:r>
        <w:rPr>
          <w:rFonts w:hint="eastAsia" w:ascii="仿宋" w:hAnsi="仿宋" w:eastAsia="仿宋" w:cs="仿宋"/>
          <w:spacing w:val="8"/>
          <w:sz w:val="31"/>
          <w:szCs w:val="31"/>
        </w:rPr>
        <w:t>人民政府信息公开工作取得了一定的成效，但也存在一些不足：一是政策解读方式较为单一，有待进一步丰富；二是业务培训仍需加大力度；三是信息审核机制有待进一步完善。2024年，我乡将进一步全面推进政府信息公开工作：一是加强</w:t>
      </w:r>
      <w:r>
        <w:rPr>
          <w:rFonts w:hint="eastAsia" w:ascii="仿宋" w:hAnsi="仿宋" w:eastAsia="仿宋" w:cs="仿宋"/>
          <w:spacing w:val="8"/>
          <w:sz w:val="31"/>
          <w:szCs w:val="31"/>
          <w:lang w:val="en-US" w:eastAsia="zh-CN"/>
        </w:rPr>
        <w:t>具体业务</w:t>
      </w:r>
      <w:r>
        <w:rPr>
          <w:rFonts w:hint="eastAsia" w:ascii="仿宋" w:hAnsi="仿宋" w:eastAsia="仿宋" w:cs="仿宋"/>
          <w:spacing w:val="8"/>
          <w:sz w:val="31"/>
          <w:szCs w:val="31"/>
        </w:rPr>
        <w:t>人员培训</w:t>
      </w:r>
      <w:r>
        <w:rPr>
          <w:rFonts w:hint="eastAsia" w:ascii="仿宋" w:hAnsi="仿宋" w:eastAsia="仿宋" w:cs="仿宋"/>
          <w:spacing w:val="16"/>
          <w:sz w:val="31"/>
          <w:szCs w:val="31"/>
        </w:rPr>
        <w:t>力度，不断提高政务公开工作人员的理论素养和业务水平，确保政务公开工作更稳健、更安全</w:t>
      </w:r>
      <w:r>
        <w:rPr>
          <w:rFonts w:hint="eastAsia" w:ascii="仿宋" w:hAnsi="仿宋" w:eastAsia="仿宋" w:cs="仿宋"/>
          <w:spacing w:val="16"/>
          <w:sz w:val="31"/>
          <w:szCs w:val="31"/>
          <w:lang w:eastAsia="zh-CN"/>
        </w:rPr>
        <w:t>，</w:t>
      </w:r>
      <w:r>
        <w:rPr>
          <w:rFonts w:hint="eastAsia" w:ascii="仿宋" w:hAnsi="仿宋" w:eastAsia="仿宋" w:cs="仿宋"/>
          <w:spacing w:val="16"/>
          <w:sz w:val="31"/>
          <w:szCs w:val="31"/>
          <w:lang w:val="en-US" w:eastAsia="zh-CN"/>
        </w:rPr>
        <w:t>花更多时间和精力做好政策解读模块内容</w:t>
      </w:r>
      <w:r>
        <w:rPr>
          <w:rFonts w:hint="eastAsia" w:ascii="仿宋" w:hAnsi="仿宋" w:eastAsia="仿宋" w:cs="仿宋"/>
          <w:spacing w:val="16"/>
          <w:sz w:val="31"/>
          <w:szCs w:val="31"/>
        </w:rPr>
        <w:t>。二是加大公开力度，充分利用好政府信息公开网站，对</w:t>
      </w:r>
      <w:r>
        <w:rPr>
          <w:rFonts w:hint="eastAsia" w:ascii="仿宋" w:hAnsi="仿宋" w:eastAsia="仿宋" w:cs="仿宋"/>
          <w:spacing w:val="16"/>
          <w:sz w:val="31"/>
          <w:szCs w:val="31"/>
          <w:lang w:val="en-US" w:eastAsia="zh-CN"/>
        </w:rPr>
        <w:t>全</w:t>
      </w:r>
      <w:r>
        <w:rPr>
          <w:rFonts w:hint="eastAsia" w:ascii="仿宋" w:hAnsi="仿宋" w:eastAsia="仿宋" w:cs="仿宋"/>
          <w:spacing w:val="16"/>
          <w:sz w:val="31"/>
          <w:szCs w:val="31"/>
        </w:rPr>
        <w:t>乡的重大事项等信息内容做到及时、准确公开。三是严格执行“分级审核、先审后发”程序，落实“三审三校”制</w:t>
      </w:r>
      <w:r>
        <w:rPr>
          <w:rFonts w:hint="eastAsia" w:ascii="仿宋" w:hAnsi="仿宋" w:eastAsia="仿宋" w:cs="仿宋"/>
          <w:spacing w:val="16"/>
          <w:sz w:val="31"/>
          <w:szCs w:val="31"/>
          <w:lang w:eastAsia="zh-CN"/>
        </w:rPr>
        <w:t>，确保网上信息发布准确、安全、高效</w:t>
      </w:r>
      <w:r>
        <w:rPr>
          <w:rFonts w:hint="eastAsia" w:ascii="仿宋" w:hAnsi="仿宋" w:eastAsia="仿宋" w:cs="仿宋"/>
          <w:spacing w:val="16"/>
          <w:sz w:val="31"/>
          <w:szCs w:val="31"/>
        </w:rPr>
        <w:t>。</w:t>
      </w:r>
    </w:p>
    <w:p>
      <w:pPr>
        <w:spacing w:before="70" w:line="233" w:lineRule="auto"/>
        <w:ind w:left="516"/>
        <w:outlineLvl w:val="0"/>
        <w:rPr>
          <w:rFonts w:ascii="黑体" w:hAnsi="黑体" w:eastAsia="黑体" w:cs="黑体"/>
          <w:sz w:val="31"/>
          <w:szCs w:val="31"/>
        </w:rPr>
      </w:pPr>
      <w:r>
        <w:rPr>
          <w:rFonts w:ascii="黑体" w:hAnsi="黑体" w:eastAsia="黑体" w:cs="黑体"/>
          <w:spacing w:val="10"/>
          <w:sz w:val="31"/>
          <w:szCs w:val="31"/>
          <w14:textOutline w14:w="5793" w14:cap="sq" w14:cmpd="sng">
            <w14:solidFill>
              <w14:srgbClr w14:val="000000"/>
            </w14:solidFill>
            <w14:prstDash w14:val="solid"/>
            <w14:bevel/>
          </w14:textOutline>
        </w:rPr>
        <w:t>六</w:t>
      </w:r>
      <w:r>
        <w:rPr>
          <w:rFonts w:ascii="黑体" w:hAnsi="黑体" w:eastAsia="黑体" w:cs="黑体"/>
          <w:spacing w:val="9"/>
          <w:sz w:val="31"/>
          <w:szCs w:val="31"/>
          <w14:textOutline w14:w="5793" w14:cap="sq" w14:cmpd="sng">
            <w14:solidFill>
              <w14:srgbClr w14:val="000000"/>
            </w14:solidFill>
            <w14:prstDash w14:val="solid"/>
            <w14:bevel/>
          </w14:textOutline>
        </w:rPr>
        <w:t>、其他需要报告的事项</w:t>
      </w:r>
    </w:p>
    <w:p>
      <w:pPr>
        <w:spacing w:before="333" w:line="377" w:lineRule="auto"/>
        <w:ind w:left="34" w:right="13" w:firstLine="657"/>
        <w:rPr>
          <w:rFonts w:ascii="仿宋" w:hAnsi="仿宋" w:eastAsia="仿宋" w:cs="仿宋"/>
          <w:b/>
          <w:bCs/>
          <w:spacing w:val="3"/>
          <w:sz w:val="31"/>
          <w:szCs w:val="31"/>
        </w:rPr>
      </w:pPr>
      <w:r>
        <w:rPr>
          <w:rFonts w:hint="eastAsia" w:ascii="仿宋" w:hAnsi="仿宋" w:eastAsia="仿宋" w:cs="仿宋"/>
          <w:spacing w:val="16"/>
          <w:sz w:val="31"/>
          <w:szCs w:val="31"/>
          <w:lang w:val="en-US" w:eastAsia="zh-CN"/>
        </w:rPr>
        <w:t>2023年我乡</w:t>
      </w:r>
      <w:r>
        <w:rPr>
          <w:rFonts w:hint="eastAsia" w:ascii="仿宋" w:hAnsi="仿宋" w:eastAsia="仿宋" w:cs="仿宋"/>
          <w:spacing w:val="16"/>
          <w:sz w:val="31"/>
          <w:szCs w:val="31"/>
          <w:lang w:eastAsia="zh-CN"/>
        </w:rPr>
        <w:t>创新政务公开载体。有效利用设置宣传展板、开展宣传活动等常规方式进行政务公开；积极拓展宣传渠道，有效利用</w:t>
      </w:r>
      <w:r>
        <w:rPr>
          <w:rFonts w:hint="eastAsia" w:ascii="仿宋" w:hAnsi="仿宋" w:eastAsia="仿宋" w:cs="仿宋"/>
          <w:spacing w:val="16"/>
          <w:sz w:val="31"/>
          <w:szCs w:val="31"/>
          <w:lang w:val="en-US" w:eastAsia="zh-CN"/>
        </w:rPr>
        <w:t>动态电子显示屏、有线电视等手段</w:t>
      </w:r>
      <w:r>
        <w:rPr>
          <w:rFonts w:hint="eastAsia" w:ascii="仿宋" w:hAnsi="仿宋" w:eastAsia="仿宋" w:cs="仿宋"/>
          <w:spacing w:val="16"/>
          <w:sz w:val="31"/>
          <w:szCs w:val="31"/>
          <w:lang w:eastAsia="zh-CN"/>
        </w:rPr>
        <w:t>，对各项</w:t>
      </w:r>
      <w:r>
        <w:rPr>
          <w:rFonts w:hint="eastAsia" w:ascii="仿宋" w:hAnsi="仿宋" w:eastAsia="仿宋" w:cs="仿宋"/>
          <w:spacing w:val="16"/>
          <w:sz w:val="31"/>
          <w:szCs w:val="31"/>
          <w:lang w:val="en-US" w:eastAsia="zh-CN"/>
        </w:rPr>
        <w:t>涉及群众切身利益的</w:t>
      </w:r>
      <w:r>
        <w:rPr>
          <w:rFonts w:hint="eastAsia" w:ascii="仿宋" w:hAnsi="仿宋" w:eastAsia="仿宋" w:cs="仿宋"/>
          <w:spacing w:val="16"/>
          <w:sz w:val="31"/>
          <w:szCs w:val="31"/>
          <w:lang w:eastAsia="zh-CN"/>
        </w:rPr>
        <w:t>政策法规、办事流程等予以公开，提升</w:t>
      </w:r>
      <w:r>
        <w:rPr>
          <w:rFonts w:hint="eastAsia" w:ascii="仿宋" w:hAnsi="仿宋" w:eastAsia="仿宋" w:cs="仿宋"/>
          <w:spacing w:val="16"/>
          <w:sz w:val="31"/>
          <w:szCs w:val="31"/>
          <w:lang w:val="en-US" w:eastAsia="zh-CN"/>
        </w:rPr>
        <w:t>全乡群众对政务公开</w:t>
      </w:r>
      <w:r>
        <w:rPr>
          <w:rFonts w:hint="eastAsia" w:ascii="仿宋" w:hAnsi="仿宋" w:eastAsia="仿宋" w:cs="仿宋"/>
          <w:spacing w:val="16"/>
          <w:sz w:val="31"/>
          <w:szCs w:val="31"/>
          <w:lang w:eastAsia="zh-CN"/>
        </w:rPr>
        <w:t>工作的知晓率、参与度。</w:t>
      </w:r>
      <w:r>
        <w:rPr>
          <w:rFonts w:ascii="仿宋" w:hAnsi="仿宋" w:eastAsia="仿宋" w:cs="仿宋"/>
          <w:b/>
          <w:bCs/>
          <w:spacing w:val="3"/>
          <w:sz w:val="31"/>
          <w:szCs w:val="31"/>
        </w:rPr>
        <w:t>按照《国务院办公厅关于印发&lt;政府信息公开信息处理费管理办法&gt;的通知》(国办函﹝2020﹞109号)规定的按件、按量收费标准，本年度没有产生信息公开处理费。</w:t>
      </w:r>
    </w:p>
    <w:p>
      <w:pPr>
        <w:spacing w:before="333" w:line="377" w:lineRule="auto"/>
        <w:ind w:left="34" w:right="13" w:firstLine="657"/>
        <w:rPr>
          <w:rFonts w:ascii="仿宋" w:hAnsi="仿宋" w:eastAsia="仿宋" w:cs="仿宋"/>
          <w:spacing w:val="3"/>
          <w:sz w:val="31"/>
          <w:szCs w:val="31"/>
        </w:rPr>
      </w:pPr>
    </w:p>
    <w:sectPr>
      <w:footerReference r:id="rId5" w:type="default"/>
      <w:pgSz w:w="11906" w:h="16839"/>
      <w:pgMar w:top="1431" w:right="1785" w:bottom="1157" w:left="178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Q2MmZiMTllYTEyMGM4ZWZhYTRmNWY0NDkwOGZjODkifQ=="/>
    <w:docVar w:name="KSO_WPS_MARK_KEY" w:val="80987e37-b126-4b8b-98a9-3be343a9144c"/>
  </w:docVars>
  <w:rsids>
    <w:rsidRoot w:val="00000000"/>
    <w:rsid w:val="001D4206"/>
    <w:rsid w:val="00287B2E"/>
    <w:rsid w:val="008B73C2"/>
    <w:rsid w:val="00CF5500"/>
    <w:rsid w:val="01C761D7"/>
    <w:rsid w:val="028D5673"/>
    <w:rsid w:val="02D768EE"/>
    <w:rsid w:val="037759DB"/>
    <w:rsid w:val="039E565E"/>
    <w:rsid w:val="03CE7CF1"/>
    <w:rsid w:val="04DD3F64"/>
    <w:rsid w:val="05595CE0"/>
    <w:rsid w:val="05685F23"/>
    <w:rsid w:val="05AD7DDA"/>
    <w:rsid w:val="061B4D44"/>
    <w:rsid w:val="069073D1"/>
    <w:rsid w:val="06C453DB"/>
    <w:rsid w:val="06DF0467"/>
    <w:rsid w:val="06F7130D"/>
    <w:rsid w:val="077706A0"/>
    <w:rsid w:val="07A62D33"/>
    <w:rsid w:val="07E61381"/>
    <w:rsid w:val="098765F6"/>
    <w:rsid w:val="099A6A6F"/>
    <w:rsid w:val="09E5677B"/>
    <w:rsid w:val="0A636CB9"/>
    <w:rsid w:val="0A876E4C"/>
    <w:rsid w:val="0B8A2278"/>
    <w:rsid w:val="0C1C35C4"/>
    <w:rsid w:val="0D7F3E0A"/>
    <w:rsid w:val="0D9A0C44"/>
    <w:rsid w:val="0DC65EDD"/>
    <w:rsid w:val="0DCA5FDA"/>
    <w:rsid w:val="0DF04D08"/>
    <w:rsid w:val="0E214EC1"/>
    <w:rsid w:val="0EF10D38"/>
    <w:rsid w:val="0F492922"/>
    <w:rsid w:val="0F847DFE"/>
    <w:rsid w:val="10E8342D"/>
    <w:rsid w:val="11A025A1"/>
    <w:rsid w:val="11F969CD"/>
    <w:rsid w:val="12255AA3"/>
    <w:rsid w:val="12D6271E"/>
    <w:rsid w:val="13AC16D1"/>
    <w:rsid w:val="13DC2400"/>
    <w:rsid w:val="14BF5434"/>
    <w:rsid w:val="16201F02"/>
    <w:rsid w:val="16556050"/>
    <w:rsid w:val="166221AA"/>
    <w:rsid w:val="1663076D"/>
    <w:rsid w:val="16C62AAA"/>
    <w:rsid w:val="16D90A2F"/>
    <w:rsid w:val="17C81AF1"/>
    <w:rsid w:val="196B16E7"/>
    <w:rsid w:val="1A442663"/>
    <w:rsid w:val="1C512E16"/>
    <w:rsid w:val="1CF13015"/>
    <w:rsid w:val="1DB93368"/>
    <w:rsid w:val="1DD46C72"/>
    <w:rsid w:val="1DDC2BB3"/>
    <w:rsid w:val="1E71777F"/>
    <w:rsid w:val="1EB853CE"/>
    <w:rsid w:val="1EBD29E4"/>
    <w:rsid w:val="1EC41FC5"/>
    <w:rsid w:val="21354AB4"/>
    <w:rsid w:val="21DE0DD2"/>
    <w:rsid w:val="220616B2"/>
    <w:rsid w:val="22723AE6"/>
    <w:rsid w:val="22B61C24"/>
    <w:rsid w:val="22EA7B20"/>
    <w:rsid w:val="23111551"/>
    <w:rsid w:val="231B417D"/>
    <w:rsid w:val="244871F4"/>
    <w:rsid w:val="24973CD7"/>
    <w:rsid w:val="24DE36B4"/>
    <w:rsid w:val="25164BFC"/>
    <w:rsid w:val="25641E0C"/>
    <w:rsid w:val="26647F85"/>
    <w:rsid w:val="26A83F7A"/>
    <w:rsid w:val="26DC3C24"/>
    <w:rsid w:val="27651E6B"/>
    <w:rsid w:val="2800405D"/>
    <w:rsid w:val="2818512F"/>
    <w:rsid w:val="28377DD2"/>
    <w:rsid w:val="28C72DDD"/>
    <w:rsid w:val="29231FDE"/>
    <w:rsid w:val="292518B2"/>
    <w:rsid w:val="2984482A"/>
    <w:rsid w:val="29EE439A"/>
    <w:rsid w:val="2A2B114A"/>
    <w:rsid w:val="2AAF75D6"/>
    <w:rsid w:val="2B563FA5"/>
    <w:rsid w:val="2B9B40AD"/>
    <w:rsid w:val="2C1D4AC2"/>
    <w:rsid w:val="2C444745"/>
    <w:rsid w:val="2CA945A8"/>
    <w:rsid w:val="2D590450"/>
    <w:rsid w:val="2D8D0067"/>
    <w:rsid w:val="2F063F34"/>
    <w:rsid w:val="2F4607D4"/>
    <w:rsid w:val="300A7D3C"/>
    <w:rsid w:val="30316D8E"/>
    <w:rsid w:val="31280191"/>
    <w:rsid w:val="31905D36"/>
    <w:rsid w:val="31A83080"/>
    <w:rsid w:val="325B4596"/>
    <w:rsid w:val="33042538"/>
    <w:rsid w:val="33B6442C"/>
    <w:rsid w:val="34FB5BBD"/>
    <w:rsid w:val="35463620"/>
    <w:rsid w:val="36301896"/>
    <w:rsid w:val="364F61C0"/>
    <w:rsid w:val="36D23C54"/>
    <w:rsid w:val="375867E7"/>
    <w:rsid w:val="376B0DD8"/>
    <w:rsid w:val="37731E6D"/>
    <w:rsid w:val="37AD13F0"/>
    <w:rsid w:val="39561614"/>
    <w:rsid w:val="3A2B484E"/>
    <w:rsid w:val="3ACA4067"/>
    <w:rsid w:val="3B253993"/>
    <w:rsid w:val="3BFE2889"/>
    <w:rsid w:val="3CEA279F"/>
    <w:rsid w:val="3D0C0B50"/>
    <w:rsid w:val="3D1912D6"/>
    <w:rsid w:val="3DC96858"/>
    <w:rsid w:val="3E063608"/>
    <w:rsid w:val="3E5E3444"/>
    <w:rsid w:val="3E9230EE"/>
    <w:rsid w:val="40155D85"/>
    <w:rsid w:val="40B97058"/>
    <w:rsid w:val="41E00614"/>
    <w:rsid w:val="429513FF"/>
    <w:rsid w:val="42BC698B"/>
    <w:rsid w:val="42CD0B98"/>
    <w:rsid w:val="431762B8"/>
    <w:rsid w:val="43340C18"/>
    <w:rsid w:val="440305EA"/>
    <w:rsid w:val="44801C3A"/>
    <w:rsid w:val="44FE14DD"/>
    <w:rsid w:val="4541586E"/>
    <w:rsid w:val="458A0FC3"/>
    <w:rsid w:val="45AF4585"/>
    <w:rsid w:val="47775DDF"/>
    <w:rsid w:val="47D227AD"/>
    <w:rsid w:val="47DE55F6"/>
    <w:rsid w:val="488717E9"/>
    <w:rsid w:val="49906C88"/>
    <w:rsid w:val="49B93C25"/>
    <w:rsid w:val="49E60792"/>
    <w:rsid w:val="4B2C6678"/>
    <w:rsid w:val="4B5E0F27"/>
    <w:rsid w:val="4B8464B4"/>
    <w:rsid w:val="4B9F509C"/>
    <w:rsid w:val="4BD27220"/>
    <w:rsid w:val="4C1E4213"/>
    <w:rsid w:val="4CA910F0"/>
    <w:rsid w:val="4CB132D9"/>
    <w:rsid w:val="4CE76CFB"/>
    <w:rsid w:val="4CEE1E37"/>
    <w:rsid w:val="4DA60964"/>
    <w:rsid w:val="4DDA060D"/>
    <w:rsid w:val="4DE1199C"/>
    <w:rsid w:val="4DF41D25"/>
    <w:rsid w:val="4DF47921"/>
    <w:rsid w:val="4E3917D8"/>
    <w:rsid w:val="4EC05A55"/>
    <w:rsid w:val="4EF37BD9"/>
    <w:rsid w:val="4F512B51"/>
    <w:rsid w:val="4F776199"/>
    <w:rsid w:val="4F7F76BE"/>
    <w:rsid w:val="50C855A8"/>
    <w:rsid w:val="50D61560"/>
    <w:rsid w:val="51112598"/>
    <w:rsid w:val="519A258E"/>
    <w:rsid w:val="51BD002A"/>
    <w:rsid w:val="52505342"/>
    <w:rsid w:val="52C673B2"/>
    <w:rsid w:val="52D03D8D"/>
    <w:rsid w:val="52F932E4"/>
    <w:rsid w:val="538C5F06"/>
    <w:rsid w:val="53D0673A"/>
    <w:rsid w:val="54866F2F"/>
    <w:rsid w:val="5492579E"/>
    <w:rsid w:val="54A778C0"/>
    <w:rsid w:val="55937A20"/>
    <w:rsid w:val="55EB160A"/>
    <w:rsid w:val="56075D18"/>
    <w:rsid w:val="563034C0"/>
    <w:rsid w:val="565C42B5"/>
    <w:rsid w:val="568D26C1"/>
    <w:rsid w:val="56AD4B11"/>
    <w:rsid w:val="57825F9E"/>
    <w:rsid w:val="57FB7462"/>
    <w:rsid w:val="582B03E3"/>
    <w:rsid w:val="586E6522"/>
    <w:rsid w:val="59170968"/>
    <w:rsid w:val="5975743C"/>
    <w:rsid w:val="59E77DE1"/>
    <w:rsid w:val="5B1C7B22"/>
    <w:rsid w:val="5BFD3E45"/>
    <w:rsid w:val="5CA72002"/>
    <w:rsid w:val="5D467089"/>
    <w:rsid w:val="5E4F2952"/>
    <w:rsid w:val="5E5835B4"/>
    <w:rsid w:val="60410761"/>
    <w:rsid w:val="60AC7BE7"/>
    <w:rsid w:val="613A51F3"/>
    <w:rsid w:val="616A29F0"/>
    <w:rsid w:val="63116428"/>
    <w:rsid w:val="63AB4186"/>
    <w:rsid w:val="640A35A3"/>
    <w:rsid w:val="6483520D"/>
    <w:rsid w:val="64A15D85"/>
    <w:rsid w:val="64B4350F"/>
    <w:rsid w:val="64D92461"/>
    <w:rsid w:val="64F1364B"/>
    <w:rsid w:val="6612673F"/>
    <w:rsid w:val="662621EA"/>
    <w:rsid w:val="66D97A6C"/>
    <w:rsid w:val="68184196"/>
    <w:rsid w:val="688C389A"/>
    <w:rsid w:val="68AB2E7A"/>
    <w:rsid w:val="68C74C17"/>
    <w:rsid w:val="69FA7C16"/>
    <w:rsid w:val="6A4C5F97"/>
    <w:rsid w:val="6A927E4E"/>
    <w:rsid w:val="6AE461D0"/>
    <w:rsid w:val="6B1E5B86"/>
    <w:rsid w:val="6C5C4BB7"/>
    <w:rsid w:val="6C725130"/>
    <w:rsid w:val="6D050DAB"/>
    <w:rsid w:val="6D374CDD"/>
    <w:rsid w:val="6D602485"/>
    <w:rsid w:val="6D6C0E2A"/>
    <w:rsid w:val="6D9640F9"/>
    <w:rsid w:val="6DE309C1"/>
    <w:rsid w:val="6E296D1B"/>
    <w:rsid w:val="6F433E0D"/>
    <w:rsid w:val="71020B78"/>
    <w:rsid w:val="7119579E"/>
    <w:rsid w:val="71213CDA"/>
    <w:rsid w:val="71235CA4"/>
    <w:rsid w:val="71A87F57"/>
    <w:rsid w:val="71CC00E9"/>
    <w:rsid w:val="722872EA"/>
    <w:rsid w:val="736600CA"/>
    <w:rsid w:val="737F73DD"/>
    <w:rsid w:val="741E09A4"/>
    <w:rsid w:val="748C590E"/>
    <w:rsid w:val="762304F4"/>
    <w:rsid w:val="76254258"/>
    <w:rsid w:val="76447C6A"/>
    <w:rsid w:val="76515061"/>
    <w:rsid w:val="77277B70"/>
    <w:rsid w:val="778925D9"/>
    <w:rsid w:val="78A53442"/>
    <w:rsid w:val="78DD0E2E"/>
    <w:rsid w:val="795D3DED"/>
    <w:rsid w:val="79BC6C95"/>
    <w:rsid w:val="79D57D57"/>
    <w:rsid w:val="7A080AFF"/>
    <w:rsid w:val="7A5E7D4D"/>
    <w:rsid w:val="7A6A66F1"/>
    <w:rsid w:val="7A884DCA"/>
    <w:rsid w:val="7A9E283F"/>
    <w:rsid w:val="7AC676A0"/>
    <w:rsid w:val="7B194887"/>
    <w:rsid w:val="7BC71D81"/>
    <w:rsid w:val="7CAA7279"/>
    <w:rsid w:val="7CE85FF3"/>
    <w:rsid w:val="7E1A3F8B"/>
    <w:rsid w:val="7F4F5EB6"/>
    <w:rsid w:val="7FB65F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3464</Words>
  <Characters>3577</Characters>
  <TotalTime>2</TotalTime>
  <ScaleCrop>false</ScaleCrop>
  <LinksUpToDate>false</LinksUpToDate>
  <CharactersWithSpaces>3577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2023-01-17T10:22:00Z</dcterms:created>
  <dc:creator>liuli</dc:creator>
  <cp:lastModifiedBy>Oding</cp:lastModifiedBy>
  <cp:lastPrinted>2024-01-24T03:29:00Z</cp:lastPrinted>
  <dcterms:modified xsi:type="dcterms:W3CDTF">2024-02-21T09:15:46Z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2023-01-17T10:23:12Z</vt:filetime>
  </property>
  <property fmtid="{D5CDD505-2E9C-101B-9397-08002B2CF9AE}" pid="4" name="KSOProductBuildVer">
    <vt:lpwstr>2052-12.1.0.16388</vt:lpwstr>
  </property>
  <property fmtid="{D5CDD505-2E9C-101B-9397-08002B2CF9AE}" pid="5" name="ICV">
    <vt:lpwstr>24ED91063AF143D088EEE3AF17F1AB09_13</vt:lpwstr>
  </property>
</Properties>
</file>