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霍邱县冯井镇人民政府2023年政府信息公开工作年度报告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《中华人民共和国政府信息公开条例》和《安徽省政务公开办公室关于做好2023年度政府信息公开工作年度报告编制和数据报送工作的通知》（皖政务办秘〔2024〕2号）、《六安市政务公开办公室关于做好2023年度政府信息公开年度报告编制和发布工作的通知》（六政务公开办〔2024〕2号）文件要求，霍邱县冯井镇人民政府办公室编制2023年政府信息公开工作年度报告。报告全文包括总体情况、主动公开政府信息情况、收到和处理政府信息公开申请情况、政府信息公开行政复议、行政诉讼情况、存在的主要问题及改进措施和其他需要报告事项等6方面内容。本年度报告中所列数据统计期限为2023年1月1日起至2023年12月31日。如对本报告有疑问，请与霍邱县冯井镇人民政府办公室联系(地址:霍邱县冯井镇人民政府大院；邮编:237400；电话:0564-6341001)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Calibri" w:hAnsi="Calibri" w:cs="Calibri"/>
          <w:sz w:val="32"/>
          <w:szCs w:val="32"/>
        </w:rPr>
      </w:pPr>
      <w:r>
        <w:rPr>
          <w:rFonts w:ascii="黑体" w:hAnsi="宋体" w:eastAsia="黑体" w:cs="黑体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，冯井镇政府信息公开工作在县委、县政府的坚强领导下，在县政务公开办公室的正确指导下，严格执行《中华人民共和国政府信息公开条例》，不断完善制度建设，提升主动公开信息质量，加大重点领域信息公开力度，改善依申请公开服务工作，加强政府信息公开平台建设，增强群众公开体验与获得感，努力保障人民群众的知情权、参与权、表达权和监督权，为服务和推进全镇经济社会发展，促进法治政府、创新政府、廉洁政府和服务型政府建设提供了坚强有力保障。结合省市区政府信息公开重点工作任务通知,制定分工文件，明确责任单位和完成时限，全面推动政府信息公开。2023年共发布信息1222条。紧紧围绕乡党建引领、项目建设、镇域经济发展、乡村振兴、农村人居环境整治、绿色发展、民生工程、教育、安全生产、市场监管、民政、法治建设、就业等重点工作。基础栏目信息642条，其中主动公开国民经济和社会发展规划信息10条，财政专项资金发放信息59条，主动回应涉疫信息和教育医疗养老等信息43条，政策解读信息6条。全力做好两化栏目更新，及时完成16个两化栏目更新任务，主动公开就业创业、社会救助、教育医疗等领域两化信息580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  <w:t>(二)依申请公开情况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一年来，我镇高度重视群众反映诉求，完善依申请公开制度和流程,依法依规受理办理回复依申请公开事项。2023年冯井镇收到1件依申请公开事项，已按要求按时办结，没有被申请行政复议和诉讼的情况。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  <w:t>（三）政府信息管理情况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按照“谁起草、谁解读”的原则，政策性文件与解读材料同步组织、同步部署。着重解读好政策措施的背景依据、目标任务、主要内容、涉及范围、执行标准、落实措施、工作进展以及注意事项、关键词诠释、惠民利民举措等。同时根据上级部门反馈清单，常态化开展涉密涉敏和典型错别字排查整改，2023年共排查整改涉敏涉密信息70余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  <w:t>（四）政府信息公开平台建设情况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按照县委、县政府统一要求，结合线上与线下的方式，积极推进政府信息公开工作，不断完善政府信息公开工作平台建设。线上以政府网站、宣传栏等作为信息公开基础平台，配备专人负责维护更新，提高信息发布、解读回应、政民互动、办事服务的整体水平。线下依托镇政务公开专区、各村村务公开栏、广播等丰富信息公开渠道，进一步完善民主监督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  <w:t>（五）监督保障情况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建立健全了政务公开监督考评机制。积极开展自查自纠，每月对镇公开栏目、村（社区）政务信息公开工作进行督查一次，确保信息公开及时、准确、公开、透明。二是强化问题整改落实。针对上级部门测评反馈问题，及时整改到位，按季度公开测评整改清单和整改报告。三是加强学习，切实提升业务能力。积极参加上级部门组织的培训会议和集中办公，同时加大对各村业务人员培训，共同提高镇村两级业务经办人员的业务素养。本年度，我镇社会评议良好，未发现责任追究、违反有关法律规定的情况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黑体" w:hAnsi="宋体" w:eastAsia="黑体" w:cs="黑体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2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2"/>
        <w:gridCol w:w="2312"/>
        <w:gridCol w:w="2352"/>
        <w:gridCol w:w="2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96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41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制发件数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本年废止件数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41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规章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 0　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 0 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41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行政规范性文件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96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9640" w:type="dxa"/>
            <w:gridSpan w:val="4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41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41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9640" w:type="dxa"/>
            <w:gridSpan w:val="4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41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41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41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9640" w:type="dxa"/>
            <w:gridSpan w:val="4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41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信息内容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41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行政事业性收费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黑体" w:hAnsi="宋体" w:eastAsia="黑体" w:cs="黑体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28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6"/>
        <w:gridCol w:w="928"/>
        <w:gridCol w:w="3004"/>
        <w:gridCol w:w="653"/>
        <w:gridCol w:w="653"/>
        <w:gridCol w:w="653"/>
        <w:gridCol w:w="653"/>
        <w:gridCol w:w="653"/>
        <w:gridCol w:w="680"/>
        <w:gridCol w:w="6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490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793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自然人</w:t>
            </w:r>
          </w:p>
        </w:tc>
        <w:tc>
          <w:tcPr>
            <w:tcW w:w="3423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社会公益组织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法律服务机构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59" w:type="dxa"/>
            <w:vMerge w:val="restart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1.属于国家秘密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2.其他法律行政法规禁止公开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3.危及“三安全一稳定”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4.保护第三方合法权益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5.属于三类内部事务信息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6.属于四类过程性信息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7.属于行政执法案卷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8.属于行政查询事项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1.本机关不掌握相关政府信息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2.没有现成信息需要另行制作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3.补正后申请内容仍不明确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1.信访举报投诉类申请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2.重复申请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3.要求提供公开出版物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4.无正当理由大量反复申请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79" w:type="dxa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3.其他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759" w:type="dxa"/>
            <w:vMerge w:val="continue"/>
            <w:tcBorders>
              <w:top w:val="nil"/>
              <w:left w:val="single" w:color="auto" w:sz="2" w:space="0"/>
              <w:bottom w:val="inset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四、结转下年度继续办理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黑体" w:hAnsi="宋体" w:eastAsia="黑体" w:cs="黑体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28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618"/>
        <w:gridCol w:w="618"/>
        <w:gridCol w:w="618"/>
        <w:gridCol w:w="622"/>
        <w:gridCol w:w="618"/>
        <w:gridCol w:w="618"/>
        <w:gridCol w:w="619"/>
        <w:gridCol w:w="619"/>
        <w:gridCol w:w="622"/>
        <w:gridCol w:w="619"/>
        <w:gridCol w:w="619"/>
        <w:gridCol w:w="619"/>
        <w:gridCol w:w="619"/>
        <w:gridCol w:w="6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324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行政复议</w:t>
            </w:r>
          </w:p>
        </w:tc>
        <w:tc>
          <w:tcPr>
            <w:tcW w:w="6495" w:type="dxa"/>
            <w:gridSpan w:val="10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纠正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3246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未经复议直接起诉</w:t>
            </w:r>
          </w:p>
        </w:tc>
        <w:tc>
          <w:tcPr>
            <w:tcW w:w="3249" w:type="dxa"/>
            <w:gridSpan w:val="5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7" w:hRule="atLeast"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维持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纠正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纠正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审结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jc w:val="center"/>
        </w:trPr>
        <w:tc>
          <w:tcPr>
            <w:tcW w:w="648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  <w:t>（一）上年度存在问题及整改情况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存在问题：信息公开不及时、不主动，信息公开内容不全面、信息质量不高等问题。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整改情况：根据我镇实际情况制定《冯井镇信息公开制度》，完善政府信息公开工作制度，形成长效机制，全方位、深层次、及时有效地稳步拓展信息公开的深度和广度。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caps w:val="0"/>
          <w:color w:val="000000"/>
          <w:spacing w:val="0"/>
          <w:sz w:val="32"/>
          <w:szCs w:val="32"/>
          <w:shd w:val="clear" w:fill="FFFFFF"/>
        </w:rPr>
        <w:t>（二）本年度存在问题及整改措施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存在问题：基层人员流动较大，岗位轮换较快，工作的衔接不畅，影响工作开展。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整改措施：进一步加强工作队伍建设，明确两名专职人员负责政府信息公开工作，避免人事调动导致工作滞后等问题。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黑体" w:hAnsi="宋体" w:eastAsia="黑体" w:cs="黑体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我镇扎实开展了政策解读进万家、政策宣讲进广场、政务服务融入夜间巡查。持续推进政务公开活动，不断拓宽公开领域，拓展公开渠道，创新公开形式，深化公开内容，提升政务服务质量，打通基层政务公开向村居延伸“最后一公里”，实现以公开促工作，以公开树形象，以公开赢民心的良性循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005C410D"/>
    <w:rsid w:val="0874656B"/>
    <w:rsid w:val="0C9E047D"/>
    <w:rsid w:val="1E264C78"/>
    <w:rsid w:val="3A6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2024-04-02T02:15:00Z</dcterms:created>
  <dc:creator>冯办办</dc:creator>
  <cp:lastModifiedBy>往</cp:lastModifiedBy>
  <dcterms:modified xsi:type="dcterms:W3CDTF">2024-04-02T07:09:29Z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99EC4D89E60A435AB18D07BDF6F766B6_13</vt:lpwstr>
  </property>
</Properties>
</file>