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6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6" w:lineRule="exact"/>
        <w:textAlignment w:val="auto"/>
        <w:rPr>
          <w:rFonts w:hint="eastAsia"/>
        </w:rPr>
      </w:pPr>
      <w:r>
        <w:rPr>
          <w:rFonts w:hint="eastAsia"/>
        </w:rPr>
        <w:t>霍邱县审计局202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年政府信息公开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6" w:lineRule="exact"/>
        <w:textAlignment w:val="auto"/>
        <w:rPr>
          <w:rFonts w:hint="eastAsia"/>
        </w:rPr>
      </w:pPr>
      <w:r>
        <w:rPr>
          <w:rFonts w:hint="eastAsia"/>
        </w:rPr>
        <w:t>工作年度报告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据《国务院办公厅政府信息与政务公开办公室关于印发&lt;政府信息公开工作年度报告格式&gt;的通知》（国办公开办函〔2021〕30号，以下</w:t>
      </w:r>
      <w:r>
        <w:rPr>
          <w:rFonts w:hint="eastAsia" w:ascii="仿宋_GB2312" w:hAnsi="仿宋_GB2312" w:eastAsia="仿宋_GB2312" w:cs="仿宋_GB2312"/>
          <w:sz w:val="32"/>
          <w:szCs w:val="32"/>
        </w:rPr>
        <w:t>简称《通知》），结合省市有关要求，编制霍邱县审计局202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年度信息公开年度报告。本年度报告中所列数据统计期限为202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年12月31日。如对本报告有任何疑问，可与霍邱县审计局办公室联系(地址：霍邱县政务中心13楼1307室，邮编：237400，联系电话：6080318，电子邮箱：hqsjj123@163.com)。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（一）主动公开。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按照“以公开为常态、不公开为例外”的原则，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发布主动公开信息182条，其中：政策法规8条，部门文件4条，重大决策预公开3条，规划计划6条，决策部署落实情况6条，建议提案办理6条，机构领导10条，人事信息4条，财政资金11条，应急管理4条，权责清单和动态调整情况2条，行政权力运行23条，招标采购1条，乡村振兴3条，新闻发布5条，政策解读5条，回应关切7条，监督保障12条，重点领域公开16条，“六稳”“六保”专项工作2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（二）依申请公开。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严格执行政府工作信息依申请公开标准，开通“依申请公开”栏目。202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年没有收到有关要求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（三）政府信息管理。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不断规范信息公开平台的信息发布和管理，确保信息发布准确、安全、高效。严格遵守国家有关规定，信息公开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发布符合国家法律和法规。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完善工作机制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扎实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信息公开审核、保密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有关要求，严格执行“分级审核、先审后发”程序，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层层把好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政府信息公开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平台建设。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对照上级政务公开规范要求，安排县审计局网络安全重要时段值班，做好24小时值班值守工作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及时清理调离人员账户，强化登录口令，加强了平台账户安全管理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要求办公电脑要安装杀毒软件，离开工位须进行锁屏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加强了日常防护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（五）监督保障。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动态调整局机关政务公开领导小组，制定《霍邱县审计局政务网站信息发布“三审三查”制度》，全年多次开展政府网站问题自查自纠工作，对发布的信息进行个人隐私信息、隐藏链接等排查整改，共发现并整改问题53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4"/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5"/>
        <w:gridCol w:w="2475"/>
        <w:gridCol w:w="2475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4"/>
        <w:tblW w:w="99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958"/>
        <w:gridCol w:w="3270"/>
        <w:gridCol w:w="699"/>
        <w:gridCol w:w="699"/>
        <w:gridCol w:w="699"/>
        <w:gridCol w:w="699"/>
        <w:gridCol w:w="699"/>
        <w:gridCol w:w="699"/>
        <w:gridCol w:w="6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7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double" w:color="auto" w:sz="2" w:space="0"/>
              <w:right w:val="double" w:color="auto" w:sz="2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4"/>
        <w:tblW w:w="73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35"/>
        <w:gridCol w:w="735"/>
        <w:gridCol w:w="73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40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总计</w:t>
            </w:r>
          </w:p>
        </w:tc>
        <w:tc>
          <w:tcPr>
            <w:tcW w:w="20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20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总计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政策解读质量不够高，方式和内容不够新颖多样，未能利用图表图解、音频视频等多种方式进行解读，多为文件内容的简单复制和概述。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下一步，将</w:t>
      </w:r>
      <w:r>
        <w:rPr>
          <w:rFonts w:hint="eastAsia" w:ascii="仿宋_GB2312" w:hAnsi="仿宋_GB2312" w:eastAsia="仿宋_GB2312" w:cs="仿宋_GB2312"/>
          <w:sz w:val="32"/>
          <w:szCs w:val="32"/>
        </w:rPr>
        <w:t>在解读形式上，创新方式方法，采取图文、视频等方式进行广泛解读；在解读内容上，聚焦政策背景、出台目的、主要内容等实质性信息进行精准解读；在解读流程上，按照“三同步”的要求进行规范解读。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ZDZmNzk2MGUxMDY1YjgyM2I2YjIxMWUzY2YwYmYifQ=="/>
  </w:docVars>
  <w:rsids>
    <w:rsidRoot w:val="66285C3D"/>
    <w:rsid w:val="03226851"/>
    <w:rsid w:val="04A535E1"/>
    <w:rsid w:val="0A7C5A2C"/>
    <w:rsid w:val="0B72647E"/>
    <w:rsid w:val="1292595E"/>
    <w:rsid w:val="16760C7E"/>
    <w:rsid w:val="1B0115E0"/>
    <w:rsid w:val="1CBE2AEB"/>
    <w:rsid w:val="25A47048"/>
    <w:rsid w:val="2BC03067"/>
    <w:rsid w:val="2E7E27EB"/>
    <w:rsid w:val="34166463"/>
    <w:rsid w:val="366079AF"/>
    <w:rsid w:val="40BF13F8"/>
    <w:rsid w:val="54F87FC7"/>
    <w:rsid w:val="66285C3D"/>
    <w:rsid w:val="6DD24A47"/>
    <w:rsid w:val="742E3A31"/>
    <w:rsid w:val="7CAC321D"/>
    <w:rsid w:val="7D2A70B8"/>
    <w:rsid w:val="7ECB0FF7"/>
    <w:rsid w:val="7EF3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ind w:firstLine="0" w:firstLineChars="0"/>
      <w:jc w:val="center"/>
      <w:outlineLvl w:val="0"/>
    </w:pPr>
    <w:rPr>
      <w:rFonts w:hint="eastAsia" w:ascii="宋体" w:hAnsi="宋体" w:eastAsia="方正小标宋简体" w:cs="宋体"/>
      <w:b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1968</Words>
  <Characters>2056</Characters>
  <Lines>0</Lines>
  <Paragraphs>0</Paragraphs>
  <TotalTime>79</TotalTime>
  <ScaleCrop>false</ScaleCrop>
  <LinksUpToDate>false</LinksUpToDate>
  <CharactersWithSpaces>2244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2023-01-16T08:49:00Z</dcterms:created>
  <dc:creator>Administrator</dc:creator>
  <cp:lastModifiedBy>Administrator</cp:lastModifiedBy>
  <dcterms:modified xsi:type="dcterms:W3CDTF">2024-02-21T08:03:33Z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129D05A00EF8467B82524A687998189E_13</vt:lpwstr>
  </property>
</Properties>
</file>