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霍邱县物资服务中心2023年政府信息公开工作年度报告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Calibri" w:hAnsi="Calibri" w:cs="Calibri"/>
          <w:i w:val="0"/>
          <w:iCs w:val="0"/>
          <w:caps w:val="0"/>
          <w:color w:val="333333"/>
          <w:spacing w:val="0"/>
          <w:sz w:val="21"/>
          <w:szCs w:val="21"/>
        </w:rPr>
      </w:pPr>
      <w:r>
        <w:rPr>
          <w:rFonts w:ascii="仿宋_GB2312" w:hAnsi="Calibri" w:eastAsia="仿宋_GB2312" w:cs="仿宋_GB2312"/>
          <w:i w:val="0"/>
          <w:iCs w:val="0"/>
          <w:caps w:val="0"/>
          <w:color w:val="333333"/>
          <w:spacing w:val="0"/>
          <w:sz w:val="32"/>
          <w:szCs w:val="32"/>
          <w:bdr w:val="none" w:color="auto" w:sz="0" w:space="0"/>
          <w:shd w:val="clear" w:fill="FFFFFF"/>
        </w:rPr>
        <w:t>按照《国务院办公厅政府信息与政务公开办公室关于印发</w:t>
      </w:r>
      <w:r>
        <w:rPr>
          <w:rFonts w:hint="eastAsia" w:ascii="仿宋_GB2312" w:hAnsi="Calibri" w:eastAsia="仿宋_GB2312" w:cs="仿宋_GB2312"/>
          <w:i w:val="0"/>
          <w:iCs w:val="0"/>
          <w:caps w:val="0"/>
          <w:color w:val="333333"/>
          <w:spacing w:val="0"/>
          <w:sz w:val="32"/>
          <w:szCs w:val="32"/>
          <w:bdr w:val="none" w:color="auto" w:sz="0" w:space="0"/>
          <w:shd w:val="clear" w:fill="FFFFFF"/>
        </w:rPr>
        <w:t>(中华人民共和国政府信息工作年度报告格式&gt;的通知》(国办公开办函 [2021]30号 )、《霍邱县政务公开工作领导组办公室关于做好20</w:t>
      </w:r>
      <w:bookmarkStart w:id="0" w:name="_GoBack"/>
      <w:bookmarkEnd w:id="0"/>
      <w:r>
        <w:rPr>
          <w:rFonts w:hint="eastAsia" w:ascii="仿宋_GB2312" w:hAnsi="Calibri" w:eastAsia="仿宋_GB2312" w:cs="仿宋_GB2312"/>
          <w:i w:val="0"/>
          <w:iCs w:val="0"/>
          <w:caps w:val="0"/>
          <w:color w:val="333333"/>
          <w:spacing w:val="0"/>
          <w:sz w:val="32"/>
          <w:szCs w:val="32"/>
          <w:bdr w:val="none" w:color="auto" w:sz="0" w:space="0"/>
          <w:shd w:val="clear" w:fill="FFFFFF"/>
        </w:rPr>
        <w:t>23年度政府信息公开年度报告编制和发布工作的通知》（霍政务公开办〔2024〕1号）等文件要求，贯彻制定霍邱县物资服务中心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疑问，请与霍邱县物资服务中心联系(地址:霍邱县城城隍庙大街与光明大道交叉口西160米处；邮编:237400；电话:0564-6025188)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ascii="黑体" w:hAnsi="宋体" w:eastAsia="黑体" w:cs="黑体"/>
          <w:b w:val="0"/>
          <w:bCs w:val="0"/>
          <w:i w:val="0"/>
          <w:iCs w:val="0"/>
          <w:caps w:val="0"/>
          <w:color w:val="333333"/>
          <w:spacing w:val="0"/>
          <w:sz w:val="32"/>
          <w:szCs w:val="32"/>
          <w:bdr w:val="none" w:color="auto" w:sz="0" w:space="0"/>
          <w:shd w:val="clear" w:fill="FFFFFF"/>
        </w:rPr>
        <w:t>一、</w:t>
      </w:r>
      <w:r>
        <w:rPr>
          <w:rFonts w:hint="eastAsia" w:ascii="黑体" w:hAnsi="宋体" w:eastAsia="黑体" w:cs="黑体"/>
          <w:b w:val="0"/>
          <w:bCs w:val="0"/>
          <w:i w:val="0"/>
          <w:iCs w:val="0"/>
          <w:caps w:val="0"/>
          <w:color w:val="333333"/>
          <w:spacing w:val="0"/>
          <w:sz w:val="32"/>
          <w:szCs w:val="32"/>
          <w:bdr w:val="none" w:color="auto" w:sz="0" w:space="0"/>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both"/>
        <w:rPr>
          <w:rFonts w:hint="default" w:ascii="Calibri" w:hAnsi="Calibri" w:cs="Calibri"/>
          <w:i w:val="0"/>
          <w:iCs w:val="0"/>
          <w:caps w:val="0"/>
          <w:color w:val="333333"/>
          <w:spacing w:val="0"/>
          <w:sz w:val="21"/>
          <w:szCs w:val="21"/>
        </w:rPr>
      </w:pPr>
      <w:r>
        <w:rPr>
          <w:rFonts w:ascii="楷体_GB2312" w:hAnsi="Calibri" w:eastAsia="楷体_GB2312" w:cs="楷体_GB2312"/>
          <w:b/>
          <w:bCs/>
          <w:i w:val="0"/>
          <w:iCs w:val="0"/>
          <w:caps w:val="0"/>
          <w:color w:val="333333"/>
          <w:spacing w:val="0"/>
          <w:sz w:val="32"/>
          <w:szCs w:val="32"/>
          <w:bdr w:val="none" w:color="auto" w:sz="0" w:space="0"/>
          <w:shd w:val="clear" w:fill="FFFFFF"/>
        </w:rPr>
        <w:t>（一）</w:t>
      </w:r>
      <w:r>
        <w:rPr>
          <w:rFonts w:hint="default" w:ascii="楷体_GB2312" w:hAnsi="Calibri" w:eastAsia="楷体_GB2312" w:cs="楷体_GB2312"/>
          <w:b/>
          <w:bCs/>
          <w:i w:val="0"/>
          <w:iCs w:val="0"/>
          <w:caps w:val="0"/>
          <w:color w:val="333333"/>
          <w:spacing w:val="0"/>
          <w:sz w:val="32"/>
          <w:szCs w:val="32"/>
          <w:bdr w:val="none" w:color="auto" w:sz="0" w:space="0"/>
          <w:shd w:val="clear" w:fill="FFFFFF"/>
        </w:rPr>
        <w:t>主动公开。</w:t>
      </w:r>
      <w:r>
        <w:rPr>
          <w:rFonts w:hint="eastAsia" w:ascii="仿宋_GB2312" w:hAnsi="Calibri" w:eastAsia="仿宋_GB2312" w:cs="仿宋_GB2312"/>
          <w:i w:val="0"/>
          <w:iCs w:val="0"/>
          <w:caps w:val="0"/>
          <w:color w:val="333333"/>
          <w:spacing w:val="0"/>
          <w:sz w:val="32"/>
          <w:szCs w:val="32"/>
          <w:bdr w:val="none" w:color="auto" w:sz="0" w:space="0"/>
          <w:shd w:val="clear" w:fill="FFFFFF"/>
        </w:rPr>
        <w:t>2023年来，我中心在霍邱县政务公开工作领导组办公室的具体指导下，贯彻落实好《霍邱县政务公开领导组办公室关于印发&lt;霍邱县政务公开季度考核制度&gt;的等三项制度的通知》（霍政务公开办[2023]2号）文件，</w:t>
      </w:r>
      <w:r>
        <w:rPr>
          <w:rFonts w:hint="eastAsia" w:ascii="仿宋_GB2312" w:hAnsi="Calibri" w:eastAsia="仿宋_GB2312" w:cs="仿宋_GB2312"/>
          <w:i w:val="0"/>
          <w:iCs w:val="0"/>
          <w:caps w:val="0"/>
          <w:color w:val="000000"/>
          <w:spacing w:val="0"/>
          <w:sz w:val="32"/>
          <w:szCs w:val="32"/>
          <w:bdr w:val="none" w:color="auto" w:sz="0" w:space="0"/>
          <w:shd w:val="clear" w:fill="FFFFFF"/>
        </w:rPr>
        <w:t>做好压实责任，把政务公开纳入物资服务中心年度工作目标体系，统一安排，统一部署，统一检查；</w:t>
      </w:r>
      <w:r>
        <w:rPr>
          <w:rFonts w:hint="eastAsia" w:ascii="仿宋_GB2312" w:hAnsi="Calibri" w:eastAsia="仿宋_GB2312" w:cs="仿宋_GB2312"/>
          <w:i w:val="0"/>
          <w:iCs w:val="0"/>
          <w:caps w:val="0"/>
          <w:color w:val="333333"/>
          <w:spacing w:val="0"/>
          <w:sz w:val="32"/>
          <w:szCs w:val="32"/>
          <w:bdr w:val="none" w:color="auto" w:sz="0" w:space="0"/>
          <w:shd w:val="clear" w:fill="FFFFFF"/>
        </w:rPr>
        <w:t>做好主动公开，公开财政预算、财政决算及“三公”经费信息</w:t>
      </w:r>
      <w:r>
        <w:rPr>
          <w:rFonts w:hint="eastAsia" w:ascii="仿宋_GB2312" w:hAnsi="Calibri" w:eastAsia="仿宋_GB2312" w:cs="仿宋_GB2312"/>
          <w:b/>
          <w:bCs/>
          <w:i w:val="0"/>
          <w:iCs w:val="0"/>
          <w:caps w:val="0"/>
          <w:color w:val="333333"/>
          <w:spacing w:val="0"/>
          <w:sz w:val="32"/>
          <w:szCs w:val="32"/>
          <w:bdr w:val="none" w:color="auto" w:sz="0" w:space="0"/>
          <w:shd w:val="clear" w:fill="FFFFFF"/>
        </w:rPr>
        <w:t>四条</w:t>
      </w:r>
      <w:r>
        <w:rPr>
          <w:rFonts w:hint="eastAsia" w:ascii="仿宋_GB2312" w:hAnsi="Calibri" w:eastAsia="仿宋_GB2312" w:cs="仿宋_GB2312"/>
          <w:i w:val="0"/>
          <w:iCs w:val="0"/>
          <w:caps w:val="0"/>
          <w:color w:val="333333"/>
          <w:spacing w:val="0"/>
          <w:sz w:val="32"/>
          <w:szCs w:val="32"/>
          <w:bdr w:val="none" w:color="auto" w:sz="0" w:space="0"/>
          <w:shd w:val="clear" w:fill="FFFFFF"/>
        </w:rPr>
        <w:t>；做好</w:t>
      </w:r>
      <w:r>
        <w:rPr>
          <w:rFonts w:hint="eastAsia" w:ascii="仿宋_GB2312" w:hAnsi="Calibri" w:eastAsia="仿宋_GB2312" w:cs="仿宋_GB2312"/>
          <w:i w:val="0"/>
          <w:iCs w:val="0"/>
          <w:caps w:val="0"/>
          <w:color w:val="000000"/>
          <w:spacing w:val="0"/>
          <w:sz w:val="32"/>
          <w:szCs w:val="32"/>
          <w:bdr w:val="none" w:color="auto" w:sz="0" w:space="0"/>
          <w:shd w:val="clear" w:fill="FFFFFF"/>
        </w:rPr>
        <w:t>格式规范，按照任务安排，统一对规范性文件格式进行更换，保障规范性文件格式统一。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left"/>
        <w:rPr>
          <w:rFonts w:hint="default" w:ascii="Calibri" w:hAnsi="Calibri" w:cs="Calibri"/>
          <w:i w:val="0"/>
          <w:iCs w:val="0"/>
          <w:caps w:val="0"/>
          <w:color w:val="333333"/>
          <w:spacing w:val="0"/>
          <w:sz w:val="21"/>
          <w:szCs w:val="21"/>
        </w:rPr>
      </w:pPr>
      <w:r>
        <w:rPr>
          <w:rFonts w:hint="default" w:ascii="楷体_GB2312" w:hAnsi="Calibri" w:eastAsia="楷体_GB2312" w:cs="楷体_GB2312"/>
          <w:b/>
          <w:bCs/>
          <w:i w:val="0"/>
          <w:iCs w:val="0"/>
          <w:caps w:val="0"/>
          <w:color w:val="333333"/>
          <w:spacing w:val="0"/>
          <w:sz w:val="32"/>
          <w:szCs w:val="32"/>
          <w:bdr w:val="none" w:color="auto" w:sz="0" w:space="0"/>
          <w:shd w:val="clear" w:fill="FFFFFF"/>
        </w:rPr>
        <w:t>（二）依申请公开。</w:t>
      </w:r>
      <w:r>
        <w:rPr>
          <w:rFonts w:hint="eastAsia" w:ascii="仿宋_GB2312" w:hAnsi="Calibri" w:eastAsia="仿宋_GB2312" w:cs="仿宋_GB2312"/>
          <w:b/>
          <w:bCs/>
          <w:i w:val="0"/>
          <w:iCs w:val="0"/>
          <w:caps w:val="0"/>
          <w:color w:val="333333"/>
          <w:spacing w:val="0"/>
          <w:sz w:val="32"/>
          <w:szCs w:val="32"/>
          <w:bdr w:val="none" w:color="auto" w:sz="0" w:space="0"/>
          <w:shd w:val="clear" w:fill="FFFFFF"/>
        </w:rPr>
        <w:t>一是</w:t>
      </w:r>
      <w:r>
        <w:rPr>
          <w:rFonts w:hint="eastAsia" w:ascii="仿宋_GB2312" w:hAnsi="Calibri" w:eastAsia="仿宋_GB2312" w:cs="仿宋_GB2312"/>
          <w:i w:val="0"/>
          <w:iCs w:val="0"/>
          <w:caps w:val="0"/>
          <w:color w:val="333333"/>
          <w:spacing w:val="0"/>
          <w:sz w:val="32"/>
          <w:szCs w:val="32"/>
          <w:bdr w:val="none" w:color="auto" w:sz="0" w:space="0"/>
          <w:shd w:val="clear" w:fill="FFFFFF"/>
        </w:rPr>
        <w:t>制定信息公开规定。明确在推进国有企业改革改制、保证国有资产不流失和为国有企业下岗职工服务等重点工作方面的信息公开范围、渠道和程序。</w:t>
      </w:r>
      <w:r>
        <w:rPr>
          <w:rFonts w:hint="eastAsia" w:ascii="仿宋_GB2312" w:hAnsi="Calibri" w:eastAsia="仿宋_GB2312" w:cs="仿宋_GB2312"/>
          <w:b/>
          <w:bCs/>
          <w:i w:val="0"/>
          <w:iCs w:val="0"/>
          <w:caps w:val="0"/>
          <w:color w:val="333333"/>
          <w:spacing w:val="0"/>
          <w:sz w:val="32"/>
          <w:szCs w:val="32"/>
          <w:bdr w:val="none" w:color="auto" w:sz="0" w:space="0"/>
          <w:shd w:val="clear" w:fill="FFFFFF"/>
        </w:rPr>
        <w:t>二是</w:t>
      </w:r>
      <w:r>
        <w:rPr>
          <w:rFonts w:hint="eastAsia" w:ascii="仿宋_GB2312" w:hAnsi="Calibri" w:eastAsia="仿宋_GB2312" w:cs="仿宋_GB2312"/>
          <w:i w:val="0"/>
          <w:iCs w:val="0"/>
          <w:caps w:val="0"/>
          <w:color w:val="333333"/>
          <w:spacing w:val="0"/>
          <w:sz w:val="32"/>
          <w:szCs w:val="32"/>
          <w:bdr w:val="none" w:color="auto" w:sz="0" w:space="0"/>
          <w:shd w:val="clear" w:fill="FFFFFF"/>
        </w:rPr>
        <w:t>设立信息公开渠道。中心通过政府网站 （如政府信息公开指南）等渠道，提高公众的知情权意识，接受公众的申请并公开信息。</w:t>
      </w:r>
      <w:r>
        <w:rPr>
          <w:rFonts w:hint="eastAsia" w:ascii="仿宋_GB2312" w:hAnsi="Calibri" w:eastAsia="仿宋_GB2312" w:cs="仿宋_GB2312"/>
          <w:b/>
          <w:bCs/>
          <w:i w:val="0"/>
          <w:iCs w:val="0"/>
          <w:caps w:val="0"/>
          <w:color w:val="333333"/>
          <w:spacing w:val="0"/>
          <w:sz w:val="32"/>
          <w:szCs w:val="32"/>
          <w:bdr w:val="none" w:color="auto" w:sz="0" w:space="0"/>
          <w:shd w:val="clear" w:fill="FFFFFF"/>
        </w:rPr>
        <w:t>三是</w:t>
      </w:r>
      <w:r>
        <w:rPr>
          <w:rFonts w:hint="eastAsia" w:ascii="仿宋_GB2312" w:hAnsi="Calibri" w:eastAsia="仿宋_GB2312" w:cs="仿宋_GB2312"/>
          <w:i w:val="0"/>
          <w:iCs w:val="0"/>
          <w:caps w:val="0"/>
          <w:color w:val="333333"/>
          <w:spacing w:val="0"/>
          <w:sz w:val="32"/>
          <w:szCs w:val="32"/>
          <w:bdr w:val="none" w:color="auto" w:sz="0" w:space="0"/>
          <w:shd w:val="clear" w:fill="FFFFFF"/>
        </w:rPr>
        <w:t>完善申请处理流程。中心简化申请流程，提高申请的处理效率和质量。2023年我中心没有接到依申请公开事项，没有收到相关投诉。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left"/>
        <w:rPr>
          <w:rFonts w:hint="default" w:ascii="Calibri" w:hAnsi="Calibri" w:cs="Calibri"/>
          <w:i w:val="0"/>
          <w:iCs w:val="0"/>
          <w:caps w:val="0"/>
          <w:color w:val="333333"/>
          <w:spacing w:val="0"/>
          <w:sz w:val="21"/>
          <w:szCs w:val="21"/>
        </w:rPr>
      </w:pPr>
      <w:r>
        <w:rPr>
          <w:rFonts w:hint="default" w:ascii="楷体_GB2312" w:hAnsi="Calibri" w:eastAsia="楷体_GB2312" w:cs="楷体_GB2312"/>
          <w:b/>
          <w:bCs/>
          <w:i w:val="0"/>
          <w:iCs w:val="0"/>
          <w:caps w:val="0"/>
          <w:color w:val="333333"/>
          <w:spacing w:val="0"/>
          <w:sz w:val="32"/>
          <w:szCs w:val="32"/>
          <w:bdr w:val="none" w:color="auto" w:sz="0" w:space="0"/>
          <w:shd w:val="clear" w:fill="FFFFFF"/>
        </w:rPr>
        <w:t>（三）政府信息管理。一是</w:t>
      </w:r>
      <w:r>
        <w:rPr>
          <w:rFonts w:ascii="方正仿宋_GB2312" w:hAnsi="方正仿宋_GB2312" w:eastAsia="方正仿宋_GB2312" w:cs="方正仿宋_GB2312"/>
          <w:i w:val="0"/>
          <w:iCs w:val="0"/>
          <w:caps w:val="0"/>
          <w:color w:val="333333"/>
          <w:spacing w:val="0"/>
          <w:sz w:val="32"/>
          <w:szCs w:val="32"/>
          <w:bdr w:val="none" w:color="auto" w:sz="0" w:space="0"/>
          <w:shd w:val="clear" w:fill="FFFFFF"/>
        </w:rPr>
        <w:t>压实工作责任。按照</w:t>
      </w:r>
      <w:r>
        <w:rPr>
          <w:rFonts w:hint="default" w:ascii="方正仿宋_GB2312" w:hAnsi="方正仿宋_GB2312" w:eastAsia="方正仿宋_GB2312" w:cs="方正仿宋_GB2312"/>
          <w:i w:val="0"/>
          <w:iCs w:val="0"/>
          <w:caps w:val="0"/>
          <w:color w:val="333333"/>
          <w:spacing w:val="0"/>
          <w:sz w:val="32"/>
          <w:szCs w:val="32"/>
          <w:bdr w:val="none" w:color="auto" w:sz="0" w:space="0"/>
          <w:shd w:val="clear" w:fill="FFFFFF"/>
        </w:rPr>
        <w:t>霍邱县</w:t>
      </w:r>
      <w:r>
        <w:rPr>
          <w:rFonts w:hint="eastAsia" w:ascii="仿宋_GB2312" w:hAnsi="Calibri" w:eastAsia="仿宋_GB2312" w:cs="仿宋_GB2312"/>
          <w:i w:val="0"/>
          <w:iCs w:val="0"/>
          <w:caps w:val="0"/>
          <w:color w:val="333333"/>
          <w:spacing w:val="0"/>
          <w:sz w:val="32"/>
          <w:szCs w:val="32"/>
          <w:bdr w:val="none" w:color="auto" w:sz="0" w:space="0"/>
          <w:shd w:val="clear" w:fill="FFFFFF"/>
        </w:rPr>
        <w:t>政务公开工作领导组办公室的要求，</w:t>
      </w:r>
      <w:r>
        <w:rPr>
          <w:rFonts w:hint="default" w:ascii="方正仿宋_GB2312" w:hAnsi="方正仿宋_GB2312" w:eastAsia="方正仿宋_GB2312" w:cs="方正仿宋_GB2312"/>
          <w:i w:val="0"/>
          <w:iCs w:val="0"/>
          <w:caps w:val="0"/>
          <w:color w:val="333333"/>
          <w:spacing w:val="0"/>
          <w:sz w:val="32"/>
          <w:szCs w:val="32"/>
          <w:bdr w:val="none" w:color="auto" w:sz="0" w:space="0"/>
          <w:shd w:val="clear" w:fill="FFFFFF"/>
        </w:rPr>
        <w:t>做到各股室提供信息后，由工作人员编辑完善，分管领导严格把关，主要领导强化审核，确保信息质量。</w:t>
      </w:r>
      <w:r>
        <w:rPr>
          <w:rFonts w:hint="default" w:ascii="方正仿宋_GB2312" w:hAnsi="方正仿宋_GB2312" w:eastAsia="方正仿宋_GB2312" w:cs="方正仿宋_GB2312"/>
          <w:b/>
          <w:bCs/>
          <w:i w:val="0"/>
          <w:iCs w:val="0"/>
          <w:caps w:val="0"/>
          <w:color w:val="333333"/>
          <w:spacing w:val="0"/>
          <w:sz w:val="32"/>
          <w:szCs w:val="32"/>
          <w:bdr w:val="none" w:color="auto" w:sz="0" w:space="0"/>
          <w:shd w:val="clear" w:fill="FFFFFF"/>
        </w:rPr>
        <w:t>二是</w:t>
      </w:r>
      <w:r>
        <w:rPr>
          <w:rFonts w:hint="default" w:ascii="方正仿宋_GB2312" w:hAnsi="方正仿宋_GB2312" w:eastAsia="方正仿宋_GB2312" w:cs="方正仿宋_GB2312"/>
          <w:i w:val="0"/>
          <w:iCs w:val="0"/>
          <w:caps w:val="0"/>
          <w:color w:val="333333"/>
          <w:spacing w:val="0"/>
          <w:sz w:val="32"/>
          <w:szCs w:val="32"/>
          <w:bdr w:val="none" w:color="auto" w:sz="0" w:space="0"/>
          <w:shd w:val="clear" w:fill="FFFFFF"/>
        </w:rPr>
        <w:t>注重涉密管理。指定专人负责信息发布，经常开展保密方面学习教育，严格执行《霍邱县政务信息公开保密审查制度》，对于一些涉及个人隐私等敏感词，做到严格审核，及时发现敏感词时，做到立刻整改。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left"/>
        <w:rPr>
          <w:rFonts w:hint="default" w:ascii="Calibri" w:hAnsi="Calibri" w:cs="Calibri"/>
          <w:i w:val="0"/>
          <w:iCs w:val="0"/>
          <w:caps w:val="0"/>
          <w:color w:val="333333"/>
          <w:spacing w:val="0"/>
          <w:sz w:val="21"/>
          <w:szCs w:val="21"/>
        </w:rPr>
      </w:pPr>
      <w:r>
        <w:rPr>
          <w:rFonts w:hint="default" w:ascii="楷体_GB2312" w:hAnsi="Calibri" w:eastAsia="楷体_GB2312" w:cs="楷体_GB2312"/>
          <w:b/>
          <w:bCs/>
          <w:i w:val="0"/>
          <w:iCs w:val="0"/>
          <w:caps w:val="0"/>
          <w:color w:val="333333"/>
          <w:spacing w:val="0"/>
          <w:sz w:val="32"/>
          <w:szCs w:val="32"/>
          <w:bdr w:val="none" w:color="auto" w:sz="0" w:space="0"/>
          <w:shd w:val="clear" w:fill="FFFFFF"/>
        </w:rPr>
        <w:t>（四）政府信息公开平台建设。</w:t>
      </w:r>
      <w:r>
        <w:rPr>
          <w:rFonts w:hint="eastAsia" w:ascii="仿宋_GB2312" w:hAnsi="Calibri" w:eastAsia="仿宋_GB2312" w:cs="仿宋_GB2312"/>
          <w:i w:val="0"/>
          <w:iCs w:val="0"/>
          <w:caps w:val="0"/>
          <w:color w:val="333333"/>
          <w:spacing w:val="0"/>
          <w:sz w:val="32"/>
          <w:szCs w:val="32"/>
          <w:bdr w:val="none" w:color="auto" w:sz="0" w:space="0"/>
          <w:shd w:val="clear" w:fill="FFFFFF"/>
        </w:rPr>
        <w:t>2023年度积极参与包括霍邱县政务公开工作领导组召开的政务公开工作推进会及组织的业务培训会</w:t>
      </w:r>
      <w:r>
        <w:rPr>
          <w:rFonts w:hint="eastAsia" w:ascii="仿宋_GB2312" w:hAnsi="Calibri" w:eastAsia="仿宋_GB2312" w:cs="仿宋_GB2312"/>
          <w:b/>
          <w:bCs/>
          <w:i w:val="0"/>
          <w:iCs w:val="0"/>
          <w:caps w:val="0"/>
          <w:color w:val="333333"/>
          <w:spacing w:val="0"/>
          <w:sz w:val="32"/>
          <w:szCs w:val="32"/>
          <w:bdr w:val="none" w:color="auto" w:sz="0" w:space="0"/>
          <w:shd w:val="clear" w:fill="FFFFFF"/>
        </w:rPr>
        <w:t>三次</w:t>
      </w:r>
      <w:r>
        <w:rPr>
          <w:rFonts w:hint="eastAsia" w:ascii="仿宋_GB2312" w:hAnsi="Calibri" w:eastAsia="仿宋_GB2312" w:cs="仿宋_GB2312"/>
          <w:i w:val="0"/>
          <w:iCs w:val="0"/>
          <w:caps w:val="0"/>
          <w:color w:val="333333"/>
          <w:spacing w:val="0"/>
          <w:sz w:val="32"/>
          <w:szCs w:val="32"/>
          <w:bdr w:val="none" w:color="auto" w:sz="0" w:space="0"/>
          <w:shd w:val="clear" w:fill="FFFFFF"/>
        </w:rPr>
        <w:t>，对照会议总体要求，调整公开目录，实现修改及删减的目录完整、准确、及时公开。并根据霍邱县政务公开工作领导组办公室的要求，常态化持续化认真查摆问题，确保及时整改实效到位。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both"/>
        <w:rPr>
          <w:rFonts w:hint="default" w:ascii="Calibri" w:hAnsi="Calibri" w:cs="Calibri"/>
          <w:i w:val="0"/>
          <w:iCs w:val="0"/>
          <w:caps w:val="0"/>
          <w:color w:val="333333"/>
          <w:spacing w:val="0"/>
          <w:sz w:val="21"/>
          <w:szCs w:val="21"/>
        </w:rPr>
      </w:pPr>
      <w:r>
        <w:rPr>
          <w:rFonts w:hint="default" w:ascii="楷体_GB2312" w:hAnsi="Calibri" w:eastAsia="楷体_GB2312" w:cs="楷体_GB2312"/>
          <w:b/>
          <w:bCs/>
          <w:i w:val="0"/>
          <w:iCs w:val="0"/>
          <w:caps w:val="0"/>
          <w:color w:val="333333"/>
          <w:spacing w:val="0"/>
          <w:sz w:val="32"/>
          <w:szCs w:val="32"/>
          <w:bdr w:val="none" w:color="auto" w:sz="0" w:space="0"/>
          <w:shd w:val="clear" w:fill="FFFFFF"/>
        </w:rPr>
        <w:t>（五）监督保障方面。</w:t>
      </w:r>
      <w:r>
        <w:rPr>
          <w:rFonts w:hint="eastAsia" w:ascii="仿宋_GB2312" w:hAnsi="Calibri" w:eastAsia="仿宋_GB2312" w:cs="仿宋_GB2312"/>
          <w:i w:val="0"/>
          <w:iCs w:val="0"/>
          <w:caps w:val="0"/>
          <w:color w:val="000000"/>
          <w:spacing w:val="0"/>
          <w:sz w:val="32"/>
          <w:szCs w:val="32"/>
          <w:bdr w:val="none" w:color="auto" w:sz="0" w:space="0"/>
          <w:shd w:val="clear" w:fill="FFFFFF"/>
        </w:rPr>
        <w:t>形成主要领导亲自抓，分管领导具体抓的工作局面，保障政务公开工作顺利开展；将政务公开与文明创建、拥军优属等考核同安排同部署同推进，按照《霍邱县 2023 年度目标管理绩效考核细则》，将政务公开作为考核的内容之一；根据县政务公开办反馈的问题清单，及时对政务信息公开工作存在的问题进行整改落实，并举一反三对每一栏目常态化开展自查，确保信息发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行政事业性收费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000000"/>
          <w:spacing w:val="0"/>
          <w:sz w:val="24"/>
          <w:szCs w:val="24"/>
          <w:bdr w:val="none" w:color="auto" w:sz="0" w:space="0"/>
          <w:shd w:val="clear"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tbl>
      <w:tblPr>
        <w:tblW w:w="97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4"/>
        <w:gridCol w:w="3224"/>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4936"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ascii="楷体" w:hAnsi="楷体" w:eastAsia="楷体" w:cs="楷体"/>
                <w:color w:val="000000"/>
                <w:sz w:val="20"/>
                <w:szCs w:val="20"/>
                <w:bdr w:val="none" w:color="auto" w:sz="0" w:space="0"/>
              </w:rPr>
              <w:t>（本列数据的勾稽关系为：第一项加第二项之和，等于第三项加第四项之和）</w:t>
            </w:r>
          </w:p>
        </w:tc>
        <w:tc>
          <w:tcPr>
            <w:tcW w:w="4823"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4936"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9"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自然人</w:t>
            </w:r>
          </w:p>
        </w:tc>
        <w:tc>
          <w:tcPr>
            <w:tcW w:w="3445"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法人或其他组织</w:t>
            </w:r>
          </w:p>
        </w:tc>
        <w:tc>
          <w:tcPr>
            <w:tcW w:w="689" w:type="dxa"/>
            <w:vMerge w:val="restart"/>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3" w:hRule="atLeast"/>
          <w:jc w:val="center"/>
        </w:trPr>
        <w:tc>
          <w:tcPr>
            <w:tcW w:w="4936"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9"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68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企业</w:t>
            </w:r>
          </w:p>
        </w:tc>
        <w:tc>
          <w:tcPr>
            <w:tcW w:w="68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机构</w:t>
            </w:r>
          </w:p>
        </w:tc>
        <w:tc>
          <w:tcPr>
            <w:tcW w:w="68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社会公益组织</w:t>
            </w:r>
          </w:p>
        </w:tc>
        <w:tc>
          <w:tcPr>
            <w:tcW w:w="68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法律服务机构</w:t>
            </w:r>
          </w:p>
        </w:tc>
        <w:tc>
          <w:tcPr>
            <w:tcW w:w="68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p>
        </w:tc>
        <w:tc>
          <w:tcPr>
            <w:tcW w:w="689" w:type="dxa"/>
            <w:vMerge w:val="continue"/>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4936"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一、本年新收政府信息公开申请数量</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4936"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二、上年结转政府信息公开申请数量</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三、本年度办理结果</w:t>
            </w:r>
          </w:p>
        </w:tc>
        <w:tc>
          <w:tcPr>
            <w:tcW w:w="4168"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（一）予以公开</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3"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8"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（二）部分公开</w:t>
            </w:r>
            <w:r>
              <w:rPr>
                <w:rFonts w:hint="eastAsia" w:ascii="楷体" w:hAnsi="楷体" w:eastAsia="楷体" w:cs="楷体"/>
                <w:color w:val="000000"/>
                <w:sz w:val="20"/>
                <w:szCs w:val="20"/>
                <w:bdr w:val="none" w:color="auto" w:sz="0" w:space="0"/>
              </w:rPr>
              <w:t>（区分处理的，只计这一情形，不计其他情形）</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210"/>
              <w:jc w:val="both"/>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（三）不予公开</w:t>
            </w: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1.属于国家秘密</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2.其他法律行政法规禁止公开</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3.危及“三安全一稳定”</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4.保护第三方合法权益</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5.属于三类内部事务信息</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6.属于四类过程性信息</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7.属于行政执法案卷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8.属于行政查询事项</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（四）无法提供</w:t>
            </w: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1.本机关不掌握相关政府信息</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2.没有现成信息需要另行制作</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3.补正后申请内容仍不明确</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（五）不予处理</w:t>
            </w: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1.信访举报投诉类申请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2.重复申请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3.要求提供公开出版物</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4.无正当理由大量反复申请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0"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5.要求行政机关确认或重新出具已获取信息</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3"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（六）其他处理</w:t>
            </w: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1.申请人无正当理由逾期不补正、行政机关不再处理其政府信息公开申请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3"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2.申请人逾期未按收费通知要求缴纳费用、行政机关不再处理其政府信息公开申请</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4"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24"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3.其他</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68"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8"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（七）总计</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5" w:hRule="atLeast"/>
          <w:jc w:val="center"/>
        </w:trPr>
        <w:tc>
          <w:tcPr>
            <w:tcW w:w="4936"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四、结转下年度继续办理</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c>
          <w:tcPr>
            <w:tcW w:w="68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宋体" w:cs="Calibri"/>
                <w:sz w:val="21"/>
                <w:szCs w:val="21"/>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000000"/>
          <w:spacing w:val="0"/>
          <w:sz w:val="24"/>
          <w:szCs w:val="24"/>
          <w:bdr w:val="none" w:color="auto" w:sz="0" w:space="0"/>
          <w:shd w:val="clear" w:fill="FFFFFF"/>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未经复议直接起诉</w:t>
            </w:r>
          </w:p>
        </w:tc>
        <w:tc>
          <w:tcPr>
            <w:tcW w:w="325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维持</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尚未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黑体" w:hAnsi="宋体" w:eastAsia="黑体" w:cs="黑体"/>
                <w:color w:val="000000"/>
                <w:sz w:val="20"/>
                <w:szCs w:val="20"/>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Calibri" w:hAnsi="Calibri" w:cs="Calibri"/>
          <w:i w:val="0"/>
          <w:iCs w:val="0"/>
          <w:caps w:val="0"/>
          <w:color w:val="333333"/>
          <w:spacing w:val="0"/>
          <w:sz w:val="21"/>
          <w:szCs w:val="21"/>
        </w:rPr>
      </w:pPr>
      <w:r>
        <w:rPr>
          <w:rFonts w:hint="eastAsia" w:ascii="仿宋_GB2312" w:hAnsi="Calibri" w:eastAsia="仿宋_GB2312" w:cs="仿宋_GB2312"/>
          <w:b/>
          <w:bCs/>
          <w:i w:val="0"/>
          <w:iCs w:val="0"/>
          <w:caps w:val="0"/>
          <w:color w:val="333333"/>
          <w:spacing w:val="0"/>
          <w:sz w:val="32"/>
          <w:szCs w:val="32"/>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ascii="仿宋" w:hAnsi="仿宋" w:eastAsia="仿宋" w:cs="仿宋"/>
          <w:b/>
          <w:bCs/>
          <w:i w:val="0"/>
          <w:iCs w:val="0"/>
          <w:caps w:val="0"/>
          <w:color w:val="000000"/>
          <w:spacing w:val="0"/>
          <w:sz w:val="32"/>
          <w:szCs w:val="32"/>
          <w:bdr w:val="none" w:color="auto" w:sz="0" w:space="0"/>
          <w:shd w:val="clear" w:fill="FFFFFF"/>
        </w:rPr>
        <w:t>（一）上年度存在问题及改进情况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1、存在问题：</w:t>
      </w:r>
      <w:r>
        <w:rPr>
          <w:rFonts w:hint="eastAsia" w:ascii="仿宋_GB2312" w:hAnsi="Calibri" w:eastAsia="仿宋_GB2312" w:cs="仿宋_GB2312"/>
          <w:i w:val="0"/>
          <w:iCs w:val="0"/>
          <w:caps w:val="0"/>
          <w:color w:val="000000"/>
          <w:spacing w:val="0"/>
          <w:sz w:val="32"/>
          <w:szCs w:val="32"/>
          <w:bdr w:val="none" w:color="auto" w:sz="0" w:space="0"/>
          <w:shd w:val="clear" w:fill="FFFFFF"/>
        </w:rPr>
        <w:t>一是信息公开的方式还有待完善；二是宣传力度不够大；三是信息公开容量、内容还不能完全满足群众需求。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2、改进情况：</w:t>
      </w:r>
      <w:r>
        <w:rPr>
          <w:rFonts w:hint="eastAsia" w:ascii="仿宋_GB2312" w:hAnsi="Calibri" w:eastAsia="仿宋_GB2312" w:cs="仿宋_GB2312"/>
          <w:i w:val="0"/>
          <w:iCs w:val="0"/>
          <w:caps w:val="0"/>
          <w:color w:val="000000"/>
          <w:spacing w:val="0"/>
          <w:sz w:val="32"/>
          <w:szCs w:val="32"/>
          <w:bdr w:val="none" w:color="auto" w:sz="0" w:space="0"/>
          <w:shd w:val="clear" w:fill="FFFFFF"/>
        </w:rPr>
        <w:t>进一步充实信息公开内容，突出重点、热点和难点问题，把群众最关心、反应最强烈的事项作为政府信息公开的主要内容，切实发挥好信息公开平台的桥梁作用。全体机关工作人员，尤其是具体业务承办人员要加强学习和培训，规范依法办理申请公开政府信息的水平。开展多种形式的宣传活动，创造条件，让更多公众了解政府信息的查询方式和基本内容，充分保障其知情权、参与权和监督权，全力将我中心政府信息公开工作提高到新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（二）本年度存在问题及改进措施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1、存在问题</w:t>
      </w:r>
      <w:r>
        <w:rPr>
          <w:rFonts w:hint="eastAsia" w:ascii="仿宋" w:hAnsi="仿宋" w:eastAsia="仿宋" w:cs="仿宋"/>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主动公开意识不够强。针对对政务公开工作主动公开意识不够的问题。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2、改进措施：</w:t>
      </w:r>
      <w:r>
        <w:rPr>
          <w:rFonts w:hint="eastAsia" w:ascii="仿宋_GB2312" w:hAnsi="Calibri" w:eastAsia="仿宋_GB2312" w:cs="仿宋_GB2312"/>
          <w:i w:val="0"/>
          <w:iCs w:val="0"/>
          <w:caps w:val="0"/>
          <w:color w:val="000000"/>
          <w:spacing w:val="0"/>
          <w:sz w:val="32"/>
          <w:szCs w:val="32"/>
          <w:bdr w:val="none" w:color="auto" w:sz="0" w:space="0"/>
          <w:shd w:val="clear" w:fill="FFFFFF"/>
        </w:rPr>
        <w:t>下一步要完善并充实政务公开内容。完善本部门信息目录内容，加强对中心推进国有企业改制改革、国有资产管理、为下岗职工服务、文明创建、乡村振兴等重点工作信息的梳理，进一步提升主动公开意识。严格按照相关政策文件规定进行公开，进一步拓展和深化中心信息公开的内容和范围，努力提高信息公开的质量，着力抓好政务公开工作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Calibri" w:hAnsi="Calibri" w:cs="Calibri"/>
          <w:i w:val="0"/>
          <w:iCs w:val="0"/>
          <w:caps w:val="0"/>
          <w:color w:val="333333"/>
          <w:spacing w:val="0"/>
          <w:sz w:val="21"/>
          <w:szCs w:val="21"/>
        </w:rPr>
      </w:pPr>
      <w:r>
        <w:rPr>
          <w:rFonts w:hint="eastAsia" w:ascii="仿宋_GB2312" w:hAnsi="Calibri" w:eastAsia="仿宋_GB2312" w:cs="仿宋_GB2312"/>
          <w:b/>
          <w:bCs/>
          <w:i w:val="0"/>
          <w:iCs w:val="0"/>
          <w:caps w:val="0"/>
          <w:color w:val="333333"/>
          <w:spacing w:val="0"/>
          <w:sz w:val="32"/>
          <w:szCs w:val="32"/>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jc w:val="left"/>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000000"/>
          <w:spacing w:val="0"/>
          <w:sz w:val="32"/>
          <w:szCs w:val="32"/>
          <w:bdr w:val="none" w:color="auto" w:sz="0" w:space="0"/>
          <w:shd w:val="clear" w:fill="FFFFFF"/>
        </w:rPr>
        <w:t>按照《国务院办公厅关于印发〈政府信息公开信息处理费管理办法〉 的通知》（国办函〔2020〕109号）规定的按件、按量收费标准，</w:t>
      </w:r>
      <w:r>
        <w:rPr>
          <w:rFonts w:hint="eastAsia" w:ascii="仿宋_GB2312" w:hAnsi="Calibri" w:eastAsia="仿宋_GB2312" w:cs="仿宋_GB2312"/>
          <w:b/>
          <w:bCs/>
          <w:i w:val="0"/>
          <w:iCs w:val="0"/>
          <w:caps w:val="0"/>
          <w:color w:val="000000"/>
          <w:spacing w:val="0"/>
          <w:sz w:val="32"/>
          <w:szCs w:val="32"/>
          <w:bdr w:val="none" w:color="auto" w:sz="0" w:space="0"/>
          <w:shd w:val="clear" w:fill="FFFFFF"/>
        </w:rPr>
        <w:t>本年度没有产生信息公开处理费</w:t>
      </w:r>
      <w:r>
        <w:rPr>
          <w:rFonts w:hint="eastAsia" w:ascii="仿宋_GB2312" w:hAnsi="Calibri" w:eastAsia="仿宋_GB2312" w:cs="仿宋_GB2312"/>
          <w:i w:val="0"/>
          <w:iCs w:val="0"/>
          <w:caps w:val="0"/>
          <w:color w:val="000000"/>
          <w:spacing w:val="0"/>
          <w:sz w:val="32"/>
          <w:szCs w:val="32"/>
          <w:bdr w:val="none" w:color="auto" w:sz="0" w:space="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YjQ0MTJkMmZiNzZiYjcyYTA0ZTA5NjU2NTQ1ZWEifQ=="/>
  </w:docVars>
  <w:rsids>
    <w:rsidRoot w:val="00000000"/>
    <w:rsid w:val="11A224B9"/>
    <w:rsid w:val="5898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2023-10-08T01:06:00Z</dcterms:created>
  <dc:creator>123</dc:creator>
  <cp:lastModifiedBy>孙晓雅</cp:lastModifiedBy>
  <dcterms:modified xsi:type="dcterms:W3CDTF">2024-02-21T06:55:59Z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12E86150063B4937AC89146EF5544926_13</vt:lpwstr>
  </property>
</Properties>
</file>