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方正小标宋简体" w:hAnsi="方正小标宋简体" w:eastAsia="方正小标宋简体" w:cs="方正小标宋简体"/>
          <w:color w:val="000000"/>
          <w:kern w:val="0"/>
          <w:sz w:val="44"/>
          <w:szCs w:val="44"/>
          <w:u w:val="none" w:color="auto"/>
          <w:shd w:val="clear" w:fill="auto"/>
          <w:lang w:val="en-US" w:eastAsia="zh-CN"/>
        </w:rPr>
      </w:pPr>
      <w:r>
        <w:rPr>
          <w:rFonts w:hint="eastAsia" w:ascii="方正小标宋简体" w:hAnsi="方正小标宋简体" w:eastAsia="方正小标宋简体" w:cs="方正小标宋简体"/>
          <w:color w:val="000000"/>
          <w:kern w:val="0"/>
          <w:sz w:val="44"/>
          <w:szCs w:val="44"/>
          <w:u w:val="none" w:color="auto"/>
          <w:shd w:val="clear" w:fill="auto"/>
          <w:lang w:val="en-US" w:eastAsia="zh-CN"/>
        </w:rPr>
        <w:t>霍邱县医疗保障局2023年政府信息公开</w:t>
      </w:r>
    </w:p>
    <w:p>
      <w:pPr>
        <w:widowControl/>
        <w:shd w:val="clear" w:color="auto" w:fill="FFFFFF"/>
        <w:jc w:val="center"/>
        <w:rPr>
          <w:rFonts w:hint="eastAsia" w:ascii="方正小标宋简体" w:hAnsi="方正小标宋简体" w:eastAsia="方正小标宋简体" w:cs="方正小标宋简体"/>
          <w:color w:val="000000"/>
          <w:kern w:val="0"/>
          <w:sz w:val="44"/>
          <w:szCs w:val="44"/>
          <w:u w:val="none" w:color="auto"/>
          <w:shd w:val="clear" w:fill="auto"/>
          <w:lang w:val="en-US" w:eastAsia="zh-CN"/>
        </w:rPr>
      </w:pPr>
      <w:r>
        <w:rPr>
          <w:rFonts w:hint="eastAsia" w:ascii="方正小标宋简体" w:hAnsi="方正小标宋简体" w:eastAsia="方正小标宋简体" w:cs="方正小标宋简体"/>
          <w:color w:val="000000"/>
          <w:kern w:val="0"/>
          <w:sz w:val="44"/>
          <w:szCs w:val="44"/>
          <w:u w:val="none" w:color="auto"/>
          <w:shd w:val="clear" w:fill="auto"/>
          <w:lang w:val="en-US" w:eastAsia="zh-CN"/>
        </w:rPr>
        <w:t>工作年度报告</w:t>
      </w:r>
    </w:p>
    <w:p>
      <w:p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u w:val="none" w:color="auto"/>
          <w:shd w:val="clear" w:color="auto" w:fill="auto"/>
          <w:lang w:val="en-US" w:eastAsia="zh-CN" w:bidi="ar"/>
        </w:rPr>
      </w:pPr>
      <w:r>
        <w:rPr>
          <w:rFonts w:hint="eastAsia" w:ascii="仿宋_GB2312" w:hAnsi="仿宋_GB2312" w:eastAsia="仿宋_GB2312" w:cs="仿宋_GB2312"/>
          <w:i w:val="0"/>
          <w:iCs w:val="0"/>
          <w:caps w:val="0"/>
          <w:color w:val="333333"/>
          <w:spacing w:val="0"/>
          <w:kern w:val="0"/>
          <w:sz w:val="32"/>
          <w:szCs w:val="32"/>
          <w:u w:val="none" w:color="auto"/>
          <w:shd w:val="clear" w:color="auto" w:fill="auto"/>
          <w:lang w:val="en-US" w:eastAsia="zh-CN" w:bidi="ar"/>
        </w:rPr>
        <w:t>根据《中华人民共和国政府信息公开条例》、《安徽省政务公开办公室关于做好2023年度政府信息公开工作年度报告编制和数据报送工作的通知》(皖政务办秘[2024]2号)和《六安市政务公开办公室关于做好2023年度政府信息公开年度报告编制和发布工作的通知》(六政务公开办[2024]2号)，</w:t>
      </w:r>
      <w:r>
        <w:rPr>
          <w:rFonts w:hint="eastAsia" w:ascii="仿宋_GB2312" w:hAnsi="仿宋_GB2312" w:eastAsia="仿宋_GB2312" w:cs="仿宋_GB2312"/>
          <w:i w:val="0"/>
          <w:iCs w:val="0"/>
          <w:caps w:val="0"/>
          <w:color w:val="333333"/>
          <w:spacing w:val="0"/>
          <w:kern w:val="0"/>
          <w:sz w:val="32"/>
          <w:szCs w:val="32"/>
          <w:shd w:val="clear" w:color="auto" w:fill="FFFFFF"/>
          <w:lang w:val="en-US" w:eastAsia="zh-CN" w:bidi="ar"/>
        </w:rPr>
        <w:t>结合</w:t>
      </w:r>
      <w:r>
        <w:rPr>
          <w:rFonts w:hint="eastAsia" w:ascii="仿宋_GB2312" w:hAnsi="仿宋_GB2312" w:eastAsia="仿宋_GB2312" w:cs="仿宋_GB2312"/>
          <w:i w:val="0"/>
          <w:iCs w:val="0"/>
          <w:caps w:val="0"/>
          <w:color w:val="333333"/>
          <w:spacing w:val="0"/>
          <w:kern w:val="0"/>
          <w:sz w:val="32"/>
          <w:szCs w:val="32"/>
          <w:u w:val="none" w:color="auto"/>
          <w:shd w:val="clear" w:color="auto" w:fill="auto"/>
          <w:lang w:val="en-US" w:eastAsia="zh-CN" w:bidi="ar"/>
        </w:rPr>
        <w:t>县级有关文件要求，编制霍邱县医疗保障局2023年政府信息公开工作年度报告。本年度报告中所列数据统计期限为2023年1月1日起至2023年12月31日。如对本报告有任何疑问，请与霍邱县医疗保障局联系（地址：霍邱县城关镇政务服务中心16楼；邮编：237400；联系电话：0564-2777900）。</w:t>
      </w:r>
    </w:p>
    <w:p>
      <w:pPr>
        <w:widowControl/>
        <w:numPr>
          <w:ilvl w:val="0"/>
          <w:numId w:val="1"/>
        </w:numPr>
        <w:shd w:val="clear" w:color="auto" w:fill="FFFFFF"/>
        <w:ind w:firstLine="480"/>
        <w:rPr>
          <w:rFonts w:hint="eastAsia" w:ascii="黑体" w:hAnsi="黑体" w:eastAsia="黑体" w:cs="黑体"/>
          <w:b/>
          <w:bCs/>
          <w:color w:val="000000"/>
          <w:kern w:val="0"/>
          <w:sz w:val="32"/>
          <w:szCs w:val="32"/>
          <w:u w:val="none" w:color="auto"/>
          <w:shd w:val="clear" w:fill="auto"/>
        </w:rPr>
      </w:pPr>
      <w:r>
        <w:rPr>
          <w:rFonts w:hint="eastAsia" w:ascii="黑体" w:hAnsi="黑体" w:eastAsia="黑体" w:cs="黑体"/>
          <w:b/>
          <w:bCs/>
          <w:color w:val="000000"/>
          <w:kern w:val="0"/>
          <w:sz w:val="32"/>
          <w:szCs w:val="32"/>
          <w:u w:val="none" w:color="auto"/>
          <w:shd w:val="clear" w:fill="auto"/>
        </w:rPr>
        <w:t>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仿宋_GB2312" w:hAnsi="仿宋_GB2312" w:eastAsia="仿宋_GB2312" w:cs="仿宋_GB2312"/>
          <w:i w:val="0"/>
          <w:iCs w:val="0"/>
          <w:caps w:val="0"/>
          <w:color w:val="333333"/>
          <w:spacing w:val="0"/>
          <w:kern w:val="0"/>
          <w:sz w:val="32"/>
          <w:szCs w:val="32"/>
          <w:u w:val="none" w:color="auto"/>
          <w:shd w:val="clear" w:color="auto" w:fill="auto"/>
          <w:lang w:val="en-US" w:eastAsia="zh-CN" w:bidi="ar"/>
        </w:rPr>
      </w:pPr>
      <w:r>
        <w:rPr>
          <w:rFonts w:hint="eastAsia" w:ascii="仿宋_GB2312" w:hAnsi="仿宋_GB2312" w:eastAsia="仿宋_GB2312" w:cs="仿宋_GB2312"/>
          <w:i w:val="0"/>
          <w:iCs w:val="0"/>
          <w:caps w:val="0"/>
          <w:color w:val="333333"/>
          <w:spacing w:val="0"/>
          <w:kern w:val="0"/>
          <w:sz w:val="32"/>
          <w:szCs w:val="32"/>
          <w:u w:val="none" w:color="auto"/>
          <w:shd w:val="clear" w:color="auto" w:fill="auto"/>
          <w:lang w:val="en-US" w:eastAsia="zh-CN" w:bidi="ar"/>
        </w:rPr>
        <w:t>2023年，在县委、县政府的精心指导下，我局政府信息公开工作紧密围绕《中华人民共和国政府信息公开条例》的指引，严格落实县政府办有关文件要求，不断规范信息公开流程、提高信息公开质量、加大信息公开力度，切实保障群众的知情权、参与权和监督权。</w:t>
      </w:r>
    </w:p>
    <w:p>
      <w:pPr>
        <w:widowControl/>
        <w:numPr>
          <w:ilvl w:val="0"/>
          <w:numId w:val="2"/>
        </w:numPr>
        <w:shd w:val="clear" w:color="auto" w:fill="FFFFFF"/>
        <w:ind w:left="0" w:leftChars="0" w:firstLine="420" w:firstLineChars="0"/>
        <w:rPr>
          <w:rFonts w:hint="eastAsia" w:ascii="楷体_GB2312" w:hAnsi="楷体_GB2312" w:eastAsia="楷体_GB2312" w:cs="楷体_GB2312"/>
          <w:b/>
          <w:bCs/>
          <w:color w:val="000000"/>
          <w:kern w:val="0"/>
          <w:sz w:val="32"/>
          <w:szCs w:val="32"/>
          <w:u w:val="none" w:color="auto"/>
          <w:shd w:val="clear" w:fill="auto"/>
          <w:lang w:val="en-US" w:eastAsia="zh-CN"/>
        </w:rPr>
      </w:pPr>
      <w:r>
        <w:rPr>
          <w:rFonts w:hint="eastAsia" w:ascii="楷体_GB2312" w:hAnsi="楷体_GB2312" w:eastAsia="楷体_GB2312" w:cs="楷体_GB2312"/>
          <w:b/>
          <w:bCs/>
          <w:color w:val="000000"/>
          <w:kern w:val="0"/>
          <w:sz w:val="32"/>
          <w:szCs w:val="32"/>
          <w:u w:val="none" w:color="auto"/>
          <w:shd w:val="clear" w:fill="auto"/>
          <w:lang w:val="en-US" w:eastAsia="zh-CN"/>
        </w:rPr>
        <w:t>主动公开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3" w:firstLineChars="200"/>
        <w:jc w:val="left"/>
        <w:textAlignment w:val="auto"/>
        <w:rPr>
          <w:rFonts w:hint="default" w:ascii="仿宋_GB2312" w:hAnsi="仿宋_GB2312" w:eastAsia="仿宋_GB2312" w:cs="仿宋_GB2312"/>
          <w:i w:val="0"/>
          <w:iCs w:val="0"/>
          <w:caps w:val="0"/>
          <w:color w:val="333333"/>
          <w:spacing w:val="0"/>
          <w:kern w:val="0"/>
          <w:sz w:val="32"/>
          <w:szCs w:val="32"/>
          <w:u w:val="none" w:color="auto"/>
          <w:shd w:val="clear" w:color="auto" w:fill="auto"/>
          <w:lang w:val="en-US" w:eastAsia="zh-CN" w:bidi="ar"/>
        </w:rPr>
      </w:pPr>
      <w:r>
        <w:rPr>
          <w:rFonts w:hint="eastAsia" w:ascii="仿宋_GB2312" w:hAnsi="仿宋_GB2312" w:eastAsia="仿宋_GB2312" w:cs="仿宋_GB2312"/>
          <w:b/>
          <w:bCs/>
          <w:i w:val="0"/>
          <w:iCs w:val="0"/>
          <w:caps w:val="0"/>
          <w:color w:val="333333"/>
          <w:spacing w:val="0"/>
          <w:kern w:val="0"/>
          <w:sz w:val="32"/>
          <w:szCs w:val="32"/>
          <w:u w:val="none" w:color="auto"/>
          <w:shd w:val="clear" w:color="auto" w:fill="auto"/>
          <w:lang w:val="en-US" w:eastAsia="zh-CN" w:bidi="ar"/>
        </w:rPr>
        <w:t>一是</w:t>
      </w:r>
      <w:r>
        <w:rPr>
          <w:rFonts w:hint="eastAsia" w:ascii="仿宋_GB2312" w:hAnsi="仿宋_GB2312" w:eastAsia="仿宋_GB2312" w:cs="仿宋_GB2312"/>
          <w:i w:val="0"/>
          <w:iCs w:val="0"/>
          <w:caps w:val="0"/>
          <w:color w:val="333333"/>
          <w:spacing w:val="0"/>
          <w:kern w:val="0"/>
          <w:sz w:val="32"/>
          <w:szCs w:val="32"/>
          <w:u w:val="none" w:color="auto"/>
          <w:shd w:val="clear" w:color="auto" w:fill="auto"/>
          <w:lang w:val="en-US" w:eastAsia="zh-CN" w:bidi="ar"/>
        </w:rPr>
        <w:t>丰富公开形式。我局充分利用媒体窗口，举办新闻发布会1期，在线访谈1期，制作城乡居民参保缴费视频解读1期，创新政务公开新载体、新形式，方便群众及时高效准确了解信息。</w:t>
      </w:r>
      <w:r>
        <w:rPr>
          <w:rFonts w:hint="eastAsia" w:ascii="仿宋_GB2312" w:hAnsi="仿宋_GB2312" w:eastAsia="仿宋_GB2312" w:cs="仿宋_GB2312"/>
          <w:b/>
          <w:bCs/>
          <w:i w:val="0"/>
          <w:iCs w:val="0"/>
          <w:caps w:val="0"/>
          <w:color w:val="333333"/>
          <w:spacing w:val="0"/>
          <w:kern w:val="0"/>
          <w:sz w:val="32"/>
          <w:szCs w:val="32"/>
          <w:u w:val="none" w:color="auto"/>
          <w:shd w:val="clear" w:color="auto" w:fill="auto"/>
          <w:lang w:val="en-US" w:eastAsia="zh-CN" w:bidi="ar"/>
        </w:rPr>
        <w:t>二是</w:t>
      </w:r>
      <w:r>
        <w:rPr>
          <w:rFonts w:hint="eastAsia" w:ascii="仿宋_GB2312" w:hAnsi="仿宋_GB2312" w:eastAsia="仿宋_GB2312" w:cs="仿宋_GB2312"/>
          <w:i w:val="0"/>
          <w:iCs w:val="0"/>
          <w:caps w:val="0"/>
          <w:color w:val="333333"/>
          <w:spacing w:val="0"/>
          <w:kern w:val="0"/>
          <w:sz w:val="32"/>
          <w:szCs w:val="32"/>
          <w:u w:val="none" w:color="auto"/>
          <w:shd w:val="clear" w:color="auto" w:fill="auto"/>
          <w:lang w:val="en-US" w:eastAsia="zh-CN" w:bidi="ar"/>
        </w:rPr>
        <w:t>围绕重点工作公开。县医保局2023年度围绕2024年城乡居民参保、基金监管等重点工作抓好落实。2024年集中参保前，医保局提前谋划，整理县域内资助参保人员身份信息，实行动态更新，并在医保系统内及时标识。定期召开城乡居民医保基金运行安全会商会，将上月基金运行情况进行分析研判，对存在预期风险较大的医共体，及时发预警提示函。</w:t>
      </w:r>
      <w:r>
        <w:rPr>
          <w:rFonts w:hint="eastAsia" w:ascii="仿宋_GB2312" w:hAnsi="仿宋_GB2312" w:eastAsia="仿宋_GB2312" w:cs="仿宋_GB2312"/>
          <w:b/>
          <w:bCs/>
          <w:i w:val="0"/>
          <w:iCs w:val="0"/>
          <w:caps w:val="0"/>
          <w:color w:val="333333"/>
          <w:spacing w:val="0"/>
          <w:kern w:val="0"/>
          <w:sz w:val="32"/>
          <w:szCs w:val="32"/>
          <w:u w:val="none" w:color="auto"/>
          <w:shd w:val="clear" w:color="auto" w:fill="auto"/>
          <w:lang w:val="en-US" w:eastAsia="zh-CN" w:bidi="ar"/>
        </w:rPr>
        <w:t>三是</w:t>
      </w:r>
      <w:r>
        <w:rPr>
          <w:rFonts w:hint="eastAsia" w:ascii="仿宋_GB2312" w:hAnsi="仿宋_GB2312" w:eastAsia="仿宋_GB2312" w:cs="仿宋_GB2312"/>
          <w:i w:val="0"/>
          <w:iCs w:val="0"/>
          <w:caps w:val="0"/>
          <w:color w:val="333333"/>
          <w:spacing w:val="0"/>
          <w:kern w:val="0"/>
          <w:sz w:val="32"/>
          <w:szCs w:val="32"/>
          <w:u w:val="none" w:color="auto"/>
          <w:shd w:val="clear" w:color="auto" w:fill="auto"/>
          <w:lang w:val="en-US" w:eastAsia="zh-CN" w:bidi="ar"/>
        </w:rPr>
        <w:t>落实好主动回应。针对医保报销的误区、异地就医流程、药品耗材目录变动等社会公众关切的问题主动进行回应，共公开主动回应28条。全年医保局共主动公开486条。</w:t>
      </w:r>
    </w:p>
    <w:p>
      <w:pPr>
        <w:widowControl/>
        <w:numPr>
          <w:ilvl w:val="0"/>
          <w:numId w:val="2"/>
        </w:numPr>
        <w:shd w:val="clear" w:color="auto" w:fill="FFFFFF"/>
        <w:ind w:left="0" w:leftChars="0" w:firstLine="420" w:firstLineChars="0"/>
        <w:rPr>
          <w:rFonts w:hint="eastAsia" w:ascii="楷体_GB2312" w:hAnsi="楷体_GB2312" w:eastAsia="楷体_GB2312" w:cs="楷体_GB2312"/>
          <w:b/>
          <w:bCs/>
          <w:color w:val="000000"/>
          <w:kern w:val="0"/>
          <w:sz w:val="32"/>
          <w:szCs w:val="32"/>
          <w:u w:val="none" w:color="auto"/>
          <w:shd w:val="clear" w:fill="auto"/>
          <w:lang w:val="en-US" w:eastAsia="zh-CN"/>
        </w:rPr>
      </w:pPr>
      <w:r>
        <w:rPr>
          <w:rFonts w:hint="eastAsia" w:ascii="楷体_GB2312" w:hAnsi="楷体_GB2312" w:eastAsia="楷体_GB2312" w:cs="楷体_GB2312"/>
          <w:b/>
          <w:bCs/>
          <w:color w:val="000000"/>
          <w:kern w:val="0"/>
          <w:sz w:val="32"/>
          <w:szCs w:val="32"/>
          <w:u w:val="none" w:color="auto"/>
          <w:shd w:val="clear" w:fill="auto"/>
          <w:lang w:val="en-US" w:eastAsia="zh-CN"/>
        </w:rPr>
        <w:t>依申请公开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仿宋_GB2312" w:hAnsi="仿宋_GB2312" w:eastAsia="仿宋_GB2312" w:cs="仿宋_GB2312"/>
          <w:i w:val="0"/>
          <w:iCs w:val="0"/>
          <w:caps w:val="0"/>
          <w:color w:val="333333"/>
          <w:spacing w:val="0"/>
          <w:kern w:val="0"/>
          <w:sz w:val="32"/>
          <w:szCs w:val="32"/>
          <w:u w:val="none" w:color="auto"/>
          <w:shd w:val="clear" w:color="auto" w:fill="auto"/>
          <w:lang w:val="en-US" w:eastAsia="zh-CN" w:bidi="ar"/>
        </w:rPr>
      </w:pPr>
      <w:r>
        <w:rPr>
          <w:rFonts w:hint="eastAsia" w:ascii="仿宋_GB2312" w:hAnsi="仿宋_GB2312" w:eastAsia="仿宋_GB2312" w:cs="仿宋_GB2312"/>
          <w:i w:val="0"/>
          <w:iCs w:val="0"/>
          <w:caps w:val="0"/>
          <w:color w:val="333333"/>
          <w:spacing w:val="0"/>
          <w:kern w:val="0"/>
          <w:sz w:val="32"/>
          <w:szCs w:val="32"/>
          <w:u w:val="none" w:color="auto"/>
          <w:shd w:val="clear" w:color="auto" w:fill="auto"/>
          <w:lang w:val="en-US" w:eastAsia="zh-CN" w:bidi="ar"/>
        </w:rPr>
        <w:t>严格执行依申请公开制度和流程，2023年我局收到线上依申请公开事项1项，已按程序在法定期限内进行答复。本年度未收到行政诉讼、行政复议案件。</w:t>
      </w:r>
    </w:p>
    <w:p>
      <w:pPr>
        <w:widowControl/>
        <w:numPr>
          <w:ilvl w:val="0"/>
          <w:numId w:val="2"/>
        </w:numPr>
        <w:shd w:val="clear" w:color="auto" w:fill="FFFFFF"/>
        <w:ind w:left="0" w:leftChars="0" w:firstLine="420" w:firstLineChars="0"/>
        <w:rPr>
          <w:rFonts w:hint="eastAsia" w:ascii="楷体_GB2312" w:hAnsi="楷体_GB2312" w:eastAsia="楷体_GB2312" w:cs="楷体_GB2312"/>
          <w:b/>
          <w:bCs/>
          <w:color w:val="000000"/>
          <w:kern w:val="0"/>
          <w:sz w:val="32"/>
          <w:szCs w:val="32"/>
          <w:u w:val="none" w:color="auto"/>
          <w:shd w:val="clear" w:fill="auto"/>
          <w:lang w:val="en-US" w:eastAsia="zh-CN"/>
        </w:rPr>
      </w:pPr>
      <w:r>
        <w:rPr>
          <w:rFonts w:hint="eastAsia" w:ascii="楷体_GB2312" w:hAnsi="楷体_GB2312" w:eastAsia="楷体_GB2312" w:cs="楷体_GB2312"/>
          <w:b/>
          <w:bCs/>
          <w:color w:val="000000"/>
          <w:kern w:val="0"/>
          <w:sz w:val="32"/>
          <w:szCs w:val="32"/>
          <w:u w:val="none" w:color="auto"/>
          <w:shd w:val="clear" w:fill="auto"/>
          <w:lang w:val="en-US" w:eastAsia="zh-CN"/>
        </w:rPr>
        <w:t>政府信息管理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仿宋_GB2312" w:hAnsi="仿宋_GB2312" w:eastAsia="仿宋_GB2312" w:cs="仿宋_GB2312"/>
          <w:i w:val="0"/>
          <w:iCs w:val="0"/>
          <w:caps w:val="0"/>
          <w:color w:val="333333"/>
          <w:spacing w:val="0"/>
          <w:kern w:val="0"/>
          <w:sz w:val="32"/>
          <w:szCs w:val="32"/>
          <w:u w:val="none" w:color="auto"/>
          <w:shd w:val="clear" w:color="auto" w:fill="auto"/>
          <w:lang w:val="en-US" w:eastAsia="zh-CN" w:bidi="ar"/>
        </w:rPr>
      </w:pPr>
      <w:r>
        <w:rPr>
          <w:rFonts w:hint="eastAsia" w:ascii="仿宋_GB2312" w:hAnsi="仿宋_GB2312" w:eastAsia="仿宋_GB2312" w:cs="仿宋_GB2312"/>
          <w:i w:val="0"/>
          <w:iCs w:val="0"/>
          <w:caps w:val="0"/>
          <w:color w:val="333333"/>
          <w:spacing w:val="0"/>
          <w:kern w:val="0"/>
          <w:sz w:val="32"/>
          <w:szCs w:val="32"/>
          <w:u w:val="none" w:color="auto"/>
          <w:shd w:val="clear" w:color="auto" w:fill="auto"/>
          <w:lang w:val="en-US" w:eastAsia="zh-CN" w:bidi="ar"/>
        </w:rPr>
        <w:t>定期开展规范性文件清理工作，2023年根据省、市、县有关规范性文件格式要求，逐条修改规范性文件格式问题，确保公开规范性文件格式标准化、规范化。持续落实政府信息公开源头认定、“三审三校”、保密性审查制度，按季度开展隐私信息排查整改工作，2023年医保局政府信息公开不存在泄密和隐私信息泄露等问题。</w:t>
      </w:r>
    </w:p>
    <w:p>
      <w:pPr>
        <w:widowControl/>
        <w:numPr>
          <w:ilvl w:val="0"/>
          <w:numId w:val="2"/>
        </w:numPr>
        <w:shd w:val="clear" w:color="auto" w:fill="FFFFFF"/>
        <w:ind w:left="0" w:leftChars="0" w:firstLine="420" w:firstLineChars="0"/>
        <w:rPr>
          <w:rFonts w:hint="eastAsia" w:ascii="楷体_GB2312" w:hAnsi="楷体_GB2312" w:eastAsia="楷体_GB2312" w:cs="楷体_GB2312"/>
          <w:b/>
          <w:bCs/>
          <w:color w:val="000000"/>
          <w:kern w:val="0"/>
          <w:sz w:val="32"/>
          <w:szCs w:val="32"/>
          <w:u w:val="none" w:color="auto"/>
          <w:shd w:val="clear" w:fill="auto"/>
          <w:lang w:val="en-US" w:eastAsia="zh-CN"/>
        </w:rPr>
      </w:pPr>
      <w:r>
        <w:rPr>
          <w:rFonts w:hint="eastAsia" w:ascii="楷体_GB2312" w:hAnsi="楷体_GB2312" w:eastAsia="楷体_GB2312" w:cs="楷体_GB2312"/>
          <w:b/>
          <w:bCs/>
          <w:color w:val="000000"/>
          <w:kern w:val="0"/>
          <w:sz w:val="32"/>
          <w:szCs w:val="32"/>
          <w:u w:val="none" w:color="auto"/>
          <w:shd w:val="clear" w:fill="auto"/>
          <w:lang w:val="en-US" w:eastAsia="zh-CN"/>
        </w:rPr>
        <w:t>政府信息公开平台建设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仿宋_GB2312" w:hAnsi="仿宋_GB2312" w:eastAsia="仿宋_GB2312" w:cs="仿宋_GB2312"/>
          <w:i w:val="0"/>
          <w:iCs w:val="0"/>
          <w:caps w:val="0"/>
          <w:color w:val="333333"/>
          <w:spacing w:val="0"/>
          <w:kern w:val="0"/>
          <w:sz w:val="32"/>
          <w:szCs w:val="32"/>
          <w:u w:val="none" w:color="auto"/>
          <w:shd w:val="clear" w:color="auto" w:fill="auto"/>
          <w:lang w:val="en-US" w:eastAsia="zh-CN" w:bidi="ar"/>
        </w:rPr>
      </w:pPr>
      <w:r>
        <w:rPr>
          <w:rFonts w:hint="eastAsia" w:ascii="仿宋_GB2312" w:hAnsi="仿宋_GB2312" w:eastAsia="仿宋_GB2312" w:cs="仿宋_GB2312"/>
          <w:i w:val="0"/>
          <w:iCs w:val="0"/>
          <w:caps w:val="0"/>
          <w:color w:val="333333"/>
          <w:spacing w:val="0"/>
          <w:kern w:val="0"/>
          <w:sz w:val="32"/>
          <w:szCs w:val="32"/>
          <w:u w:val="none" w:color="auto"/>
          <w:shd w:val="clear" w:color="auto" w:fill="auto"/>
          <w:lang w:val="en-US" w:eastAsia="zh-CN" w:bidi="ar"/>
        </w:rPr>
        <w:t>积极参与霍邱县政府信息公开平台专题专栏建设，完善网站公开信息发布制度，定期梳理专题专栏发布内容，确保信息公开的全面性、准确性和规范性。</w:t>
      </w:r>
    </w:p>
    <w:p>
      <w:pPr>
        <w:widowControl/>
        <w:numPr>
          <w:ilvl w:val="0"/>
          <w:numId w:val="2"/>
        </w:numPr>
        <w:shd w:val="clear" w:color="auto" w:fill="FFFFFF"/>
        <w:ind w:left="0" w:leftChars="0" w:firstLine="420" w:firstLineChars="0"/>
        <w:rPr>
          <w:rFonts w:hint="eastAsia" w:ascii="楷体_GB2312" w:hAnsi="楷体_GB2312" w:eastAsia="楷体_GB2312" w:cs="楷体_GB2312"/>
          <w:b/>
          <w:bCs/>
          <w:color w:val="000000"/>
          <w:kern w:val="0"/>
          <w:sz w:val="32"/>
          <w:szCs w:val="32"/>
          <w:u w:val="none" w:color="auto"/>
          <w:shd w:val="clear" w:fill="auto"/>
          <w:lang w:val="en-US" w:eastAsia="zh-CN"/>
        </w:rPr>
      </w:pPr>
      <w:r>
        <w:rPr>
          <w:rFonts w:hint="eastAsia" w:ascii="楷体_GB2312" w:hAnsi="楷体_GB2312" w:eastAsia="楷体_GB2312" w:cs="楷体_GB2312"/>
          <w:b/>
          <w:bCs/>
          <w:color w:val="000000"/>
          <w:kern w:val="0"/>
          <w:sz w:val="32"/>
          <w:szCs w:val="32"/>
          <w:u w:val="none" w:color="auto"/>
          <w:shd w:val="clear" w:fill="auto"/>
          <w:lang w:val="en-US" w:eastAsia="zh-CN"/>
        </w:rPr>
        <w:t>政府信息公开监督保障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仿宋_GB2312" w:hAnsi="仿宋_GB2312" w:eastAsia="仿宋_GB2312" w:cs="仿宋_GB2312"/>
          <w:i w:val="0"/>
          <w:iCs w:val="0"/>
          <w:caps w:val="0"/>
          <w:color w:val="FF0000"/>
          <w:spacing w:val="0"/>
          <w:kern w:val="0"/>
          <w:sz w:val="32"/>
          <w:szCs w:val="32"/>
          <w:u w:val="none" w:color="auto"/>
          <w:shd w:val="clear" w:color="auto" w:fill="auto"/>
          <w:lang w:val="en-US" w:eastAsia="zh-CN" w:bidi="ar"/>
        </w:rPr>
      </w:pPr>
      <w:r>
        <w:rPr>
          <w:rFonts w:hint="eastAsia" w:ascii="仿宋_GB2312" w:hAnsi="仿宋_GB2312" w:eastAsia="仿宋_GB2312" w:cs="仿宋_GB2312"/>
          <w:i w:val="0"/>
          <w:iCs w:val="0"/>
          <w:caps w:val="0"/>
          <w:color w:val="333333"/>
          <w:spacing w:val="0"/>
          <w:kern w:val="0"/>
          <w:sz w:val="32"/>
          <w:szCs w:val="32"/>
          <w:u w:val="none" w:color="auto"/>
          <w:shd w:val="clear" w:color="auto" w:fill="auto"/>
          <w:lang w:val="en-US" w:eastAsia="zh-CN" w:bidi="ar"/>
        </w:rPr>
        <w:t>霍邱县医保局积极响应县政府和社会公众的监督，根据县政府排查出的信息更新、错敏词、错链等问题，立即进行核查整改。积极选派工作人员参与县政府举办的培训、集中整改等活动，提升业务人员政府信息公开业务水平。医保局年初制定政府信息公开计划，将任务分解落实到各股室，各股室按计划要求报送信息材料，2023年该项任务已完成。县医保局政府信息公开受社会群众监督，截至目前，医保局未收到不满意的社会评议和有关政府信息公开意见建议。医保局严格落实政府信息公开责任追究制度，2023年无因政府信息公开造成严重问题被责任追究的情况。</w:t>
      </w:r>
    </w:p>
    <w:p>
      <w:pPr>
        <w:widowControl/>
        <w:shd w:val="clear" w:color="auto" w:fill="FFFFFF"/>
        <w:ind w:firstLine="480"/>
        <w:rPr>
          <w:rFonts w:hint="default" w:ascii="Times New Roman" w:hAnsi="Times New Roman" w:eastAsia="仿宋_GB2312" w:cs="Times New Roman"/>
          <w:color w:val="000000"/>
          <w:kern w:val="0"/>
          <w:sz w:val="24"/>
          <w:szCs w:val="32"/>
          <w:u w:val="none" w:color="auto"/>
          <w:shd w:val="clear" w:fill="auto"/>
          <w:lang w:val="en-US" w:eastAsia="zh-CN"/>
        </w:rPr>
      </w:pPr>
    </w:p>
    <w:p>
      <w:pPr>
        <w:widowControl/>
        <w:shd w:val="clear" w:color="auto" w:fill="FFFFFF"/>
        <w:ind w:firstLine="480"/>
        <w:rPr>
          <w:rFonts w:hint="eastAsia" w:ascii="黑体" w:hAnsi="黑体" w:eastAsia="黑体" w:cs="黑体"/>
          <w:b/>
          <w:bCs/>
          <w:color w:val="000000"/>
          <w:kern w:val="0"/>
          <w:sz w:val="32"/>
          <w:szCs w:val="32"/>
          <w:u w:val="none" w:color="auto"/>
          <w:shd w:val="clear" w:fill="auto"/>
          <w:lang w:val="en-US" w:eastAsia="zh-CN"/>
        </w:rPr>
      </w:pPr>
      <w:r>
        <w:rPr>
          <w:rFonts w:hint="eastAsia" w:ascii="黑体" w:hAnsi="黑体" w:eastAsia="黑体" w:cs="黑体"/>
          <w:b/>
          <w:bCs/>
          <w:color w:val="000000"/>
          <w:kern w:val="0"/>
          <w:sz w:val="32"/>
          <w:szCs w:val="32"/>
          <w:u w:val="none" w:color="auto"/>
          <w:shd w:val="clear" w:fill="auto"/>
          <w:lang w:val="en-US" w:eastAsia="zh-CN"/>
        </w:rPr>
        <w:t>二、主动公开政府信息情况</w:t>
      </w:r>
    </w:p>
    <w:tbl>
      <w:tblPr>
        <w:tblStyle w:val="4"/>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u w:val="none" w:color="auto"/>
                <w:shd w:val="clear" w:fill="auto"/>
              </w:rPr>
            </w:pPr>
            <w:r>
              <w:rPr>
                <w:rFonts w:hint="eastAsia" w:ascii="宋体" w:hAnsi="宋体" w:eastAsia="宋体" w:cs="宋体"/>
                <w:color w:val="000000"/>
                <w:kern w:val="0"/>
                <w:sz w:val="20"/>
                <w:szCs w:val="20"/>
                <w:u w:val="none" w:color="auto"/>
                <w:shd w:val="clear" w:fill="auto"/>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宋体" w:hAnsi="宋体" w:eastAsia="宋体" w:cs="宋体"/>
                <w:color w:val="000000"/>
                <w:kern w:val="0"/>
                <w:sz w:val="20"/>
                <w:szCs w:val="20"/>
                <w:u w:val="none" w:color="auto"/>
                <w:shd w:val="clear" w:fill="auto"/>
                <w:lang w:val="en-US" w:eastAsia="zh-CN"/>
              </w:rPr>
            </w:pPr>
            <w:r>
              <w:rPr>
                <w:rFonts w:hint="eastAsia" w:ascii="宋体" w:hAnsi="宋体" w:eastAsia="宋体" w:cs="宋体"/>
                <w:color w:val="000000"/>
                <w:kern w:val="0"/>
                <w:sz w:val="20"/>
                <w:szCs w:val="20"/>
                <w:u w:val="none" w:color="auto"/>
                <w:shd w:val="clear" w:fill="auto"/>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color w:val="000000"/>
                <w:kern w:val="0"/>
                <w:sz w:val="20"/>
                <w:szCs w:val="20"/>
                <w:u w:val="none" w:color="auto"/>
                <w:shd w:val="clear" w:fill="auto"/>
                <w:lang w:eastAsia="zh-CN"/>
              </w:rPr>
            </w:pPr>
            <w:r>
              <w:rPr>
                <w:rFonts w:hint="eastAsia" w:ascii="宋体" w:hAnsi="宋体" w:eastAsia="宋体" w:cs="宋体"/>
                <w:color w:val="000000"/>
                <w:kern w:val="0"/>
                <w:sz w:val="20"/>
                <w:szCs w:val="20"/>
                <w:u w:val="none" w:color="auto"/>
                <w:shd w:val="clear" w:fill="auto"/>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宋体" w:hAnsi="宋体" w:eastAsia="宋体" w:cs="宋体"/>
                <w:color w:val="000000"/>
                <w:kern w:val="0"/>
                <w:sz w:val="20"/>
                <w:szCs w:val="20"/>
                <w:u w:val="none" w:color="auto"/>
                <w:shd w:val="clear" w:fill="auto"/>
                <w:lang w:val="en-US" w:eastAsia="zh-CN"/>
              </w:rPr>
            </w:pPr>
            <w:r>
              <w:rPr>
                <w:rFonts w:hint="eastAsia" w:ascii="宋体" w:hAnsi="宋体" w:eastAsia="宋体" w:cs="宋体"/>
                <w:color w:val="000000"/>
                <w:kern w:val="0"/>
                <w:sz w:val="20"/>
                <w:szCs w:val="20"/>
                <w:u w:val="none" w:color="auto"/>
                <w:shd w:val="clear" w:fill="auto"/>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u w:val="none" w:color="auto"/>
                <w:shd w:val="clear" w:fill="auto"/>
              </w:rPr>
            </w:pPr>
            <w:r>
              <w:rPr>
                <w:rFonts w:hint="eastAsia" w:ascii="宋体" w:hAnsi="宋体" w:eastAsia="宋体" w:cs="宋体"/>
                <w:color w:val="000000"/>
                <w:kern w:val="0"/>
                <w:sz w:val="20"/>
                <w:szCs w:val="20"/>
                <w:u w:val="none" w:color="auto"/>
                <w:shd w:val="clear" w:fill="auto"/>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宋体" w:hAnsi="宋体" w:eastAsia="宋体" w:cs="宋体"/>
                <w:color w:val="000000"/>
                <w:kern w:val="0"/>
                <w:sz w:val="20"/>
                <w:szCs w:val="20"/>
                <w:u w:val="none" w:color="auto"/>
                <w:shd w:val="clear" w:fill="auto"/>
                <w:lang w:val="en-US" w:eastAsia="zh-CN"/>
              </w:rPr>
            </w:pPr>
            <w:r>
              <w:rPr>
                <w:rFonts w:hint="eastAsia" w:ascii="宋体" w:hAnsi="宋体" w:eastAsia="宋体" w:cs="宋体"/>
                <w:color w:val="000000"/>
                <w:kern w:val="0"/>
                <w:sz w:val="20"/>
                <w:szCs w:val="20"/>
                <w:u w:val="none" w:color="auto"/>
                <w:shd w:val="clear" w:fill="auto"/>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color w:val="000000"/>
                <w:kern w:val="0"/>
                <w:sz w:val="20"/>
                <w:szCs w:val="20"/>
                <w:u w:val="none" w:color="auto"/>
                <w:shd w:val="clear" w:fill="auto"/>
                <w:lang w:eastAsia="zh-CN"/>
              </w:rPr>
            </w:pPr>
            <w:r>
              <w:rPr>
                <w:rFonts w:hint="eastAsia" w:ascii="宋体" w:hAnsi="宋体" w:eastAsia="宋体" w:cs="宋体"/>
                <w:color w:val="000000"/>
                <w:kern w:val="0"/>
                <w:sz w:val="20"/>
                <w:szCs w:val="20"/>
                <w:u w:val="none" w:color="auto"/>
                <w:shd w:val="clear" w:fill="auto"/>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宋体" w:hAnsi="宋体" w:eastAsia="宋体" w:cs="宋体"/>
                <w:color w:val="000000"/>
                <w:kern w:val="0"/>
                <w:sz w:val="20"/>
                <w:szCs w:val="20"/>
                <w:u w:val="none" w:color="auto"/>
                <w:shd w:val="clear" w:fill="auto"/>
                <w:lang w:val="en-US" w:eastAsia="zh-CN"/>
              </w:rPr>
            </w:pPr>
            <w:r>
              <w:rPr>
                <w:rFonts w:hint="eastAsia" w:ascii="宋体" w:hAnsi="宋体" w:eastAsia="宋体" w:cs="宋体"/>
                <w:color w:val="000000"/>
                <w:kern w:val="0"/>
                <w:sz w:val="20"/>
                <w:szCs w:val="20"/>
                <w:u w:val="none" w:color="auto"/>
                <w:shd w:val="clear" w:fill="auto"/>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u w:val="none" w:color="auto"/>
                <w:shd w:val="clear" w:fill="auto"/>
              </w:rPr>
            </w:pPr>
            <w:r>
              <w:rPr>
                <w:rFonts w:hint="eastAsia" w:ascii="宋体" w:hAnsi="宋体" w:eastAsia="宋体" w:cs="宋体"/>
                <w:color w:val="000000"/>
                <w:kern w:val="0"/>
                <w:sz w:val="20"/>
                <w:szCs w:val="20"/>
                <w:u w:val="none" w:color="auto"/>
                <w:shd w:val="clear" w:fill="auto"/>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u w:val="none" w:color="auto"/>
                <w:shd w:val="clear" w:fill="auto"/>
              </w:rPr>
            </w:pPr>
            <w:r>
              <w:rPr>
                <w:rFonts w:hint="eastAsia" w:ascii="宋体" w:hAnsi="宋体" w:eastAsia="宋体" w:cs="宋体"/>
                <w:color w:val="000000"/>
                <w:kern w:val="0"/>
                <w:sz w:val="20"/>
                <w:szCs w:val="20"/>
                <w:u w:val="none" w:color="auto"/>
                <w:shd w:val="clear" w:fill="auto"/>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u w:val="none" w:color="auto"/>
                <w:shd w:val="clear" w:fill="auto"/>
              </w:rPr>
            </w:pPr>
            <w:r>
              <w:rPr>
                <w:rFonts w:hint="eastAsia" w:ascii="宋体" w:hAnsi="宋体" w:eastAsia="宋体" w:cs="宋体"/>
                <w:color w:val="000000"/>
                <w:kern w:val="0"/>
                <w:sz w:val="20"/>
                <w:szCs w:val="20"/>
                <w:u w:val="none" w:color="auto"/>
                <w:shd w:val="clear" w:fill="auto"/>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u w:val="none" w:color="auto"/>
                <w:shd w:val="clear" w:fill="auto"/>
              </w:rPr>
            </w:pPr>
            <w:r>
              <w:rPr>
                <w:rFonts w:hint="eastAsia" w:ascii="宋体" w:hAnsi="宋体" w:eastAsia="宋体" w:cs="宋体"/>
                <w:color w:val="000000"/>
                <w:kern w:val="0"/>
                <w:sz w:val="20"/>
                <w:szCs w:val="20"/>
                <w:u w:val="none" w:color="auto"/>
                <w:shd w:val="clear" w:fill="auto"/>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hAnsi="Times New Roman" w:eastAsia="仿宋_GB2312" w:cs="Times New Roman"/>
                <w:color w:val="000000"/>
                <w:sz w:val="24"/>
                <w:szCs w:val="24"/>
                <w:u w:val="none" w:color="auto"/>
                <w:shd w:val="clear" w:fill="auto"/>
              </w:rPr>
            </w:pPr>
            <w:r>
              <w:rPr>
                <w:rFonts w:hint="eastAsia" w:ascii="宋体" w:hAnsi="宋体" w:eastAsia="宋体" w:cs="宋体"/>
                <w:color w:val="000000"/>
                <w:kern w:val="0"/>
                <w:sz w:val="20"/>
                <w:szCs w:val="20"/>
                <w:u w:val="none" w:color="auto"/>
                <w:shd w:val="clear" w:fill="auto"/>
                <w:lang w:val="en-US" w:eastAsia="zh-CN" w:bidi="ar"/>
              </w:rPr>
              <w:t>0</w:t>
            </w:r>
          </w:p>
        </w:tc>
      </w:tr>
    </w:tbl>
    <w:p>
      <w:pPr>
        <w:widowControl/>
        <w:jc w:val="left"/>
        <w:rPr>
          <w:rFonts w:ascii="仿宋_GB2312" w:hAnsi="Times New Roman" w:eastAsia="仿宋_GB2312" w:cs="Times New Roman"/>
          <w:color w:val="000000"/>
          <w:sz w:val="32"/>
          <w:szCs w:val="32"/>
          <w:u w:val="none" w:color="auto"/>
          <w:shd w:val="clear" w:fill="auto"/>
        </w:rPr>
      </w:pPr>
    </w:p>
    <w:p>
      <w:pPr>
        <w:widowControl/>
        <w:shd w:val="clear" w:color="auto" w:fill="FFFFFF"/>
        <w:ind w:firstLine="480"/>
        <w:rPr>
          <w:rFonts w:hint="eastAsia" w:ascii="黑体" w:hAnsi="黑体" w:eastAsia="黑体" w:cs="黑体"/>
          <w:b/>
          <w:bCs/>
          <w:color w:val="000000"/>
          <w:kern w:val="0"/>
          <w:sz w:val="32"/>
          <w:szCs w:val="32"/>
          <w:u w:val="none" w:color="auto"/>
          <w:shd w:val="clear" w:fill="auto"/>
          <w:lang w:val="en-US" w:eastAsia="zh-CN"/>
        </w:rPr>
      </w:pPr>
      <w:r>
        <w:rPr>
          <w:rFonts w:hint="eastAsia" w:ascii="黑体" w:hAnsi="黑体" w:eastAsia="黑体" w:cs="黑体"/>
          <w:b/>
          <w:bCs/>
          <w:color w:val="000000"/>
          <w:kern w:val="0"/>
          <w:sz w:val="32"/>
          <w:szCs w:val="32"/>
          <w:u w:val="none" w:color="auto"/>
          <w:shd w:val="clear" w:fill="auto"/>
          <w:lang w:val="en-US" w:eastAsia="zh-CN"/>
        </w:rPr>
        <w:t>三、收到和处理政府信息公开申请情况</w:t>
      </w:r>
    </w:p>
    <w:p>
      <w:pPr>
        <w:widowControl/>
        <w:shd w:val="clear" w:color="auto" w:fill="FFFFFF"/>
        <w:spacing w:before="0" w:beforeAutospacing="0" w:after="0" w:afterAutospacing="0"/>
        <w:ind w:firstLine="420"/>
        <w:jc w:val="both"/>
        <w:rPr>
          <w:rFonts w:ascii="宋体" w:hAnsi="宋体" w:eastAsia="宋体" w:cs="宋体"/>
          <w:color w:val="000000"/>
          <w:kern w:val="0"/>
          <w:sz w:val="24"/>
          <w:szCs w:val="24"/>
          <w:u w:val="none" w:color="auto"/>
          <w:shd w:val="clear" w:fill="auto"/>
          <w:lang w:val="en-US" w:eastAsia="zh-CN" w:bidi="ar-SA"/>
        </w:rPr>
      </w:pPr>
    </w:p>
    <w:tbl>
      <w:tblPr>
        <w:tblStyle w:val="4"/>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ascii="仿宋_GB2312" w:hAnsi="Times New Roman" w:eastAsia="仿宋_GB2312" w:cs="Times New Roman"/>
                <w:color w:val="000000"/>
                <w:sz w:val="32"/>
                <w:szCs w:val="32"/>
                <w:u w:val="none" w:color="auto"/>
                <w:shd w:val="clear" w:fill="auto"/>
              </w:rPr>
            </w:pPr>
            <w:r>
              <w:rPr>
                <w:rFonts w:ascii="楷体" w:hAnsi="楷体" w:eastAsia="楷体" w:cs="楷体"/>
                <w:color w:val="000000"/>
                <w:kern w:val="0"/>
                <w:sz w:val="20"/>
                <w:szCs w:val="20"/>
                <w:u w:val="none" w:color="auto"/>
                <w:shd w:val="clear" w:fill="auto"/>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u w:val="none" w:color="auto"/>
                <w:shd w:val="clear" w:fill="auto"/>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u w:val="none" w:color="auto"/>
                <w:shd w:val="clear" w:fill="auto"/>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商业</w:t>
            </w:r>
          </w:p>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科研</w:t>
            </w:r>
          </w:p>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u w:val="none" w:color="auto"/>
                <w:shd w:val="clear" w:fill="auto"/>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二、上年结转政府信息公开申请数量</w:t>
            </w:r>
          </w:p>
        </w:tc>
        <w:tc>
          <w:tcPr>
            <w:tcW w:w="688" w:type="dxa"/>
            <w:tcBorders>
              <w:top w:val="nil"/>
              <w:left w:val="nil"/>
              <w:bottom w:val="single" w:color="auto" w:sz="4"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4"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4"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4"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4"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4"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single" w:color="auto" w:sz="4" w:space="0"/>
              <w:left w:val="single" w:color="auto" w:sz="8" w:space="0"/>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三、本年度办理结果</w:t>
            </w:r>
          </w:p>
        </w:tc>
        <w:tc>
          <w:tcPr>
            <w:tcW w:w="4162" w:type="dxa"/>
            <w:gridSpan w:val="2"/>
            <w:tcBorders>
              <w:top w:val="single" w:color="auto" w:sz="4" w:space="0"/>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（一）予以公开</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top"/>
          </w:tcPr>
          <w:p>
            <w:pPr>
              <w:widowControl/>
              <w:jc w:val="center"/>
              <w:rPr>
                <w:rFonts w:hint="default"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（二）部分公开</w:t>
            </w:r>
            <w:r>
              <w:rPr>
                <w:rFonts w:hint="eastAsia" w:ascii="楷体" w:hAnsi="楷体" w:eastAsia="楷体" w:cs="楷体"/>
                <w:color w:val="000000"/>
                <w:kern w:val="0"/>
                <w:sz w:val="20"/>
                <w:szCs w:val="20"/>
                <w:u w:val="none" w:color="auto"/>
                <w:shd w:val="clear" w:fill="auto"/>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（三）不予公开</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top"/>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（四）无法提供</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（五）不予处理</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3219" w:type="dxa"/>
            <w:tcBorders>
              <w:top w:val="nil"/>
              <w:left w:val="nil"/>
              <w:bottom w:val="outset"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u w:val="none" w:color="auto"/>
                <w:shd w:val="clear" w:fill="auto"/>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ascii="Calibri" w:hAnsi="Calibri" w:eastAsia="仿宋_GB2312" w:cs="Calibri"/>
                <w:color w:val="000000"/>
                <w:kern w:val="0"/>
                <w:sz w:val="20"/>
                <w:szCs w:val="20"/>
                <w:u w:val="none" w:color="auto"/>
                <w:shd w:val="clear" w:fill="auto"/>
                <w:lang w:val="en-US" w:eastAsia="zh-CN"/>
              </w:rPr>
            </w:pPr>
            <w:r>
              <w:rPr>
                <w:rFonts w:hint="eastAsia" w:ascii="Calibri" w:hAnsi="Calibri" w:eastAsia="仿宋_GB2312" w:cs="Calibri"/>
                <w:color w:val="000000"/>
                <w:kern w:val="0"/>
                <w:sz w:val="20"/>
                <w:szCs w:val="20"/>
                <w:u w:val="none" w:color="auto"/>
                <w:shd w:val="clear" w:fill="auto"/>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r>
    </w:tbl>
    <w:p>
      <w:pPr>
        <w:widowControl/>
        <w:shd w:val="clear" w:color="auto" w:fill="FFFFFF"/>
        <w:jc w:val="center"/>
        <w:rPr>
          <w:rFonts w:ascii="宋体" w:hAnsi="宋体" w:eastAsia="宋体" w:cs="宋体"/>
          <w:color w:val="000000"/>
          <w:sz w:val="24"/>
          <w:szCs w:val="24"/>
          <w:u w:val="none" w:color="auto"/>
          <w:shd w:val="clear" w:fill="auto"/>
        </w:rPr>
      </w:pPr>
    </w:p>
    <w:p>
      <w:pPr>
        <w:widowControl/>
        <w:shd w:val="clear" w:color="auto" w:fill="FFFFFF"/>
        <w:ind w:firstLine="480"/>
        <w:rPr>
          <w:rFonts w:hint="eastAsia" w:ascii="黑体" w:hAnsi="黑体" w:eastAsia="黑体" w:cs="黑体"/>
          <w:b/>
          <w:bCs/>
          <w:color w:val="000000"/>
          <w:kern w:val="0"/>
          <w:sz w:val="32"/>
          <w:szCs w:val="32"/>
          <w:u w:val="none" w:color="auto"/>
          <w:shd w:val="clear" w:fill="auto"/>
          <w:lang w:val="en-US" w:eastAsia="zh-CN"/>
        </w:rPr>
      </w:pPr>
      <w:r>
        <w:rPr>
          <w:rFonts w:hint="eastAsia" w:ascii="黑体" w:hAnsi="黑体" w:eastAsia="黑体" w:cs="黑体"/>
          <w:b/>
          <w:bCs/>
          <w:color w:val="000000"/>
          <w:kern w:val="0"/>
          <w:sz w:val="32"/>
          <w:szCs w:val="32"/>
          <w:u w:val="none" w:color="auto"/>
          <w:shd w:val="clear" w:fill="auto"/>
          <w:lang w:val="en-US" w:eastAsia="zh-CN"/>
        </w:rPr>
        <w:t>四、政府信息公开行政复议、行政诉讼情况</w:t>
      </w:r>
    </w:p>
    <w:p>
      <w:pPr>
        <w:widowControl/>
        <w:shd w:val="clear" w:color="auto" w:fill="FFFFFF"/>
        <w:jc w:val="center"/>
        <w:rPr>
          <w:rFonts w:ascii="宋体" w:hAnsi="宋体" w:eastAsia="宋体" w:cs="宋体"/>
          <w:color w:val="000000"/>
          <w:sz w:val="24"/>
          <w:szCs w:val="24"/>
          <w:u w:val="none" w:color="auto"/>
          <w:shd w:val="clear" w:fill="auto"/>
        </w:rPr>
      </w:pPr>
    </w:p>
    <w:tbl>
      <w:tblPr>
        <w:tblStyle w:val="4"/>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结果</w:t>
            </w:r>
            <w:r>
              <w:rPr>
                <w:rFonts w:hint="eastAsia" w:ascii="宋体" w:hAnsi="宋体" w:eastAsia="宋体" w:cs="宋体"/>
                <w:color w:val="000000"/>
                <w:kern w:val="0"/>
                <w:sz w:val="20"/>
                <w:szCs w:val="20"/>
                <w:u w:val="none" w:color="auto"/>
                <w:shd w:val="clear" w:fill="auto"/>
              </w:rPr>
              <w:br w:type="textWrapping"/>
            </w:r>
            <w:r>
              <w:rPr>
                <w:rFonts w:hint="eastAsia" w:ascii="宋体" w:hAnsi="宋体" w:eastAsia="宋体" w:cs="宋体"/>
                <w:color w:val="000000"/>
                <w:kern w:val="0"/>
                <w:sz w:val="20"/>
                <w:szCs w:val="20"/>
                <w:u w:val="none" w:color="auto"/>
                <w:shd w:val="clear" w:fill="auto"/>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其他</w:t>
            </w:r>
            <w:r>
              <w:rPr>
                <w:rFonts w:hint="eastAsia" w:ascii="宋体" w:hAnsi="宋体" w:eastAsia="宋体" w:cs="宋体"/>
                <w:color w:val="000000"/>
                <w:kern w:val="0"/>
                <w:sz w:val="20"/>
                <w:szCs w:val="20"/>
                <w:u w:val="none" w:color="auto"/>
                <w:shd w:val="clear" w:fill="auto"/>
              </w:rPr>
              <w:br w:type="textWrapping"/>
            </w:r>
            <w:r>
              <w:rPr>
                <w:rFonts w:hint="eastAsia" w:ascii="宋体" w:hAnsi="宋体" w:eastAsia="宋体" w:cs="宋体"/>
                <w:color w:val="000000"/>
                <w:kern w:val="0"/>
                <w:sz w:val="20"/>
                <w:szCs w:val="20"/>
                <w:u w:val="none" w:color="auto"/>
                <w:shd w:val="clear" w:fill="auto"/>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尚未</w:t>
            </w:r>
            <w:r>
              <w:rPr>
                <w:rFonts w:hint="eastAsia" w:ascii="宋体" w:hAnsi="宋体" w:eastAsia="宋体" w:cs="宋体"/>
                <w:color w:val="000000"/>
                <w:kern w:val="0"/>
                <w:sz w:val="20"/>
                <w:szCs w:val="20"/>
                <w:u w:val="none" w:color="auto"/>
                <w:shd w:val="clear" w:fill="auto"/>
              </w:rPr>
              <w:br w:type="textWrapping"/>
            </w:r>
            <w:r>
              <w:rPr>
                <w:rFonts w:hint="eastAsia" w:ascii="宋体" w:hAnsi="宋体" w:eastAsia="宋体" w:cs="宋体"/>
                <w:color w:val="000000"/>
                <w:kern w:val="0"/>
                <w:sz w:val="20"/>
                <w:szCs w:val="20"/>
                <w:u w:val="none" w:color="auto"/>
                <w:shd w:val="clear" w:fill="auto"/>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u w:val="none" w:color="auto"/>
                <w:shd w:val="clear" w:fill="auto"/>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u w:val="none" w:color="auto"/>
                <w:shd w:val="clear" w:fill="auto"/>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u w:val="none" w:color="auto"/>
                <w:shd w:val="clear" w:fill="auto"/>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u w:val="none" w:color="auto"/>
                <w:shd w:val="clear" w:fill="auto"/>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u w:val="none" w:color="auto"/>
                <w:shd w:val="clear" w:fill="auto"/>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结果</w:t>
            </w:r>
            <w:r>
              <w:rPr>
                <w:rFonts w:hint="eastAsia" w:ascii="宋体" w:hAnsi="宋体" w:eastAsia="宋体" w:cs="宋体"/>
                <w:color w:val="000000"/>
                <w:kern w:val="0"/>
                <w:sz w:val="20"/>
                <w:szCs w:val="20"/>
                <w:u w:val="none" w:color="auto"/>
                <w:shd w:val="clear" w:fill="auto"/>
              </w:rPr>
              <w:br w:type="textWrapping"/>
            </w:r>
            <w:r>
              <w:rPr>
                <w:rFonts w:hint="eastAsia" w:ascii="宋体" w:hAnsi="宋体" w:eastAsia="宋体" w:cs="宋体"/>
                <w:color w:val="000000"/>
                <w:kern w:val="0"/>
                <w:sz w:val="20"/>
                <w:szCs w:val="20"/>
                <w:u w:val="none" w:color="auto"/>
                <w:shd w:val="clear" w:fill="auto"/>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结果</w:t>
            </w:r>
            <w:r>
              <w:rPr>
                <w:rFonts w:hint="eastAsia" w:ascii="宋体" w:hAnsi="宋体" w:eastAsia="宋体" w:cs="宋体"/>
                <w:color w:val="000000"/>
                <w:kern w:val="0"/>
                <w:sz w:val="20"/>
                <w:szCs w:val="20"/>
                <w:u w:val="none" w:color="auto"/>
                <w:shd w:val="clear" w:fill="auto"/>
              </w:rPr>
              <w:br w:type="textWrapping"/>
            </w:r>
            <w:r>
              <w:rPr>
                <w:rFonts w:hint="eastAsia" w:ascii="宋体" w:hAnsi="宋体" w:eastAsia="宋体" w:cs="宋体"/>
                <w:color w:val="000000"/>
                <w:kern w:val="0"/>
                <w:sz w:val="20"/>
                <w:szCs w:val="20"/>
                <w:u w:val="none" w:color="auto"/>
                <w:shd w:val="clear" w:fill="auto"/>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其他</w:t>
            </w:r>
            <w:r>
              <w:rPr>
                <w:rFonts w:hint="eastAsia" w:ascii="宋体" w:hAnsi="宋体" w:eastAsia="宋体" w:cs="宋体"/>
                <w:color w:val="000000"/>
                <w:kern w:val="0"/>
                <w:sz w:val="20"/>
                <w:szCs w:val="20"/>
                <w:u w:val="none" w:color="auto"/>
                <w:shd w:val="clear" w:fill="auto"/>
              </w:rPr>
              <w:br w:type="textWrapping"/>
            </w:r>
            <w:r>
              <w:rPr>
                <w:rFonts w:hint="eastAsia" w:ascii="宋体" w:hAnsi="宋体" w:eastAsia="宋体" w:cs="宋体"/>
                <w:color w:val="000000"/>
                <w:kern w:val="0"/>
                <w:sz w:val="20"/>
                <w:szCs w:val="20"/>
                <w:u w:val="none" w:color="auto"/>
                <w:shd w:val="clear" w:fill="auto"/>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尚未</w:t>
            </w:r>
            <w:r>
              <w:rPr>
                <w:rFonts w:hint="eastAsia" w:ascii="宋体" w:hAnsi="宋体" w:eastAsia="宋体" w:cs="宋体"/>
                <w:color w:val="000000"/>
                <w:kern w:val="0"/>
                <w:sz w:val="20"/>
                <w:szCs w:val="20"/>
                <w:u w:val="none" w:color="auto"/>
                <w:shd w:val="clear" w:fill="auto"/>
              </w:rPr>
              <w:br w:type="textWrapping"/>
            </w:r>
            <w:r>
              <w:rPr>
                <w:rFonts w:hint="eastAsia" w:ascii="宋体" w:hAnsi="宋体" w:eastAsia="宋体" w:cs="宋体"/>
                <w:color w:val="000000"/>
                <w:kern w:val="0"/>
                <w:sz w:val="20"/>
                <w:szCs w:val="20"/>
                <w:u w:val="none" w:color="auto"/>
                <w:shd w:val="clear" w:fill="auto"/>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结果</w:t>
            </w:r>
            <w:r>
              <w:rPr>
                <w:rFonts w:hint="eastAsia" w:ascii="宋体" w:hAnsi="宋体" w:eastAsia="宋体" w:cs="宋体"/>
                <w:color w:val="000000"/>
                <w:kern w:val="0"/>
                <w:sz w:val="20"/>
                <w:szCs w:val="20"/>
                <w:u w:val="none" w:color="auto"/>
                <w:shd w:val="clear" w:fill="auto"/>
              </w:rPr>
              <w:br w:type="textWrapping"/>
            </w:r>
            <w:r>
              <w:rPr>
                <w:rFonts w:hint="eastAsia" w:ascii="宋体" w:hAnsi="宋体" w:eastAsia="宋体" w:cs="宋体"/>
                <w:color w:val="000000"/>
                <w:kern w:val="0"/>
                <w:sz w:val="20"/>
                <w:szCs w:val="20"/>
                <w:u w:val="none" w:color="auto"/>
                <w:shd w:val="clear" w:fill="auto"/>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结果</w:t>
            </w:r>
            <w:r>
              <w:rPr>
                <w:rFonts w:hint="eastAsia" w:ascii="宋体" w:hAnsi="宋体" w:eastAsia="宋体" w:cs="宋体"/>
                <w:color w:val="000000"/>
                <w:kern w:val="0"/>
                <w:sz w:val="20"/>
                <w:szCs w:val="20"/>
                <w:u w:val="none" w:color="auto"/>
                <w:shd w:val="clear" w:fill="auto"/>
              </w:rPr>
              <w:br w:type="textWrapping"/>
            </w:r>
            <w:r>
              <w:rPr>
                <w:rFonts w:hint="eastAsia" w:ascii="宋体" w:hAnsi="宋体" w:eastAsia="宋体" w:cs="宋体"/>
                <w:color w:val="000000"/>
                <w:kern w:val="0"/>
                <w:sz w:val="20"/>
                <w:szCs w:val="20"/>
                <w:u w:val="none" w:color="auto"/>
                <w:shd w:val="clear" w:fill="auto"/>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其他</w:t>
            </w:r>
            <w:r>
              <w:rPr>
                <w:rFonts w:hint="eastAsia" w:ascii="宋体" w:hAnsi="宋体" w:eastAsia="宋体" w:cs="宋体"/>
                <w:color w:val="000000"/>
                <w:kern w:val="0"/>
                <w:sz w:val="20"/>
                <w:szCs w:val="20"/>
                <w:u w:val="none" w:color="auto"/>
                <w:shd w:val="clear" w:fill="auto"/>
              </w:rPr>
              <w:br w:type="textWrapping"/>
            </w:r>
            <w:r>
              <w:rPr>
                <w:rFonts w:hint="eastAsia" w:ascii="宋体" w:hAnsi="宋体" w:eastAsia="宋体" w:cs="宋体"/>
                <w:color w:val="000000"/>
                <w:kern w:val="0"/>
                <w:sz w:val="20"/>
                <w:szCs w:val="20"/>
                <w:u w:val="none" w:color="auto"/>
                <w:shd w:val="clear" w:fill="auto"/>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尚未</w:t>
            </w:r>
            <w:r>
              <w:rPr>
                <w:rFonts w:hint="eastAsia" w:ascii="宋体" w:hAnsi="宋体" w:eastAsia="宋体" w:cs="宋体"/>
                <w:color w:val="000000"/>
                <w:kern w:val="0"/>
                <w:sz w:val="20"/>
                <w:szCs w:val="20"/>
                <w:u w:val="none" w:color="auto"/>
                <w:shd w:val="clear" w:fill="auto"/>
              </w:rPr>
              <w:br w:type="textWrapping"/>
            </w:r>
            <w:r>
              <w:rPr>
                <w:rFonts w:hint="eastAsia" w:ascii="宋体" w:hAnsi="宋体" w:eastAsia="宋体" w:cs="宋体"/>
                <w:color w:val="000000"/>
                <w:kern w:val="0"/>
                <w:sz w:val="20"/>
                <w:szCs w:val="20"/>
                <w:u w:val="none" w:color="auto"/>
                <w:shd w:val="clear" w:fill="auto"/>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u w:val="none" w:color="auto"/>
                <w:shd w:val="clear" w:fill="auto"/>
              </w:rPr>
            </w:pPr>
            <w:r>
              <w:rPr>
                <w:rFonts w:hint="eastAsia" w:ascii="宋体" w:hAnsi="宋体" w:eastAsia="宋体" w:cs="宋体"/>
                <w:color w:val="000000"/>
                <w:kern w:val="0"/>
                <w:sz w:val="20"/>
                <w:szCs w:val="20"/>
                <w:u w:val="none" w:color="auto"/>
                <w:shd w:val="clear" w:fill="auto"/>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kern w:val="2"/>
                <w:sz w:val="32"/>
                <w:szCs w:val="32"/>
                <w:u w:val="none" w:color="auto"/>
                <w:shd w:val="clear" w:fill="auto"/>
                <w:lang w:val="en-US" w:eastAsia="zh-CN" w:bidi="ar-SA"/>
              </w:rPr>
            </w:pPr>
            <w:r>
              <w:rPr>
                <w:rFonts w:hint="eastAsia" w:ascii="Calibri" w:hAnsi="Calibri" w:eastAsia="仿宋_GB2312" w:cs="Calibri"/>
                <w:color w:val="000000"/>
                <w:kern w:val="0"/>
                <w:sz w:val="20"/>
                <w:szCs w:val="20"/>
                <w:u w:val="none" w:color="auto"/>
                <w:shd w:val="clear"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Times New Roman" w:eastAsia="仿宋_GB2312" w:cs="Times New Roman"/>
                <w:color w:val="000000"/>
                <w:sz w:val="24"/>
                <w:szCs w:val="24"/>
                <w:u w:val="none" w:color="auto"/>
                <w:shd w:val="clear" w:fill="auto"/>
                <w:lang w:val="en-US" w:eastAsia="zh-CN"/>
              </w:rPr>
            </w:pPr>
            <w:r>
              <w:rPr>
                <w:rFonts w:hint="eastAsia" w:ascii="宋体" w:hAnsi="Times New Roman" w:eastAsia="仿宋_GB2312" w:cs="Times New Roman"/>
                <w:color w:val="000000"/>
                <w:sz w:val="24"/>
                <w:szCs w:val="24"/>
                <w:u w:val="none" w:color="auto"/>
                <w:shd w:val="clear" w:fill="auto"/>
                <w:lang w:val="en-US" w:eastAsia="zh-CN"/>
              </w:rPr>
              <w:t>0</w:t>
            </w:r>
          </w:p>
        </w:tc>
      </w:tr>
    </w:tbl>
    <w:p>
      <w:pPr>
        <w:widowControl/>
        <w:jc w:val="left"/>
        <w:rPr>
          <w:rFonts w:ascii="仿宋_GB2312" w:hAnsi="Times New Roman" w:eastAsia="仿宋_GB2312" w:cs="Times New Roman"/>
          <w:color w:val="000000"/>
          <w:sz w:val="32"/>
          <w:szCs w:val="32"/>
          <w:u w:val="none" w:color="auto"/>
          <w:shd w:val="clear" w:fill="auto"/>
        </w:rPr>
      </w:pPr>
    </w:p>
    <w:p>
      <w:pPr>
        <w:widowControl/>
        <w:numPr>
          <w:ilvl w:val="0"/>
          <w:numId w:val="3"/>
        </w:numPr>
        <w:shd w:val="clear" w:color="auto" w:fill="FFFFFF"/>
        <w:ind w:firstLine="480"/>
        <w:rPr>
          <w:rFonts w:hint="eastAsia" w:ascii="黑体" w:hAnsi="黑体" w:eastAsia="黑体" w:cs="黑体"/>
          <w:b/>
          <w:bCs/>
          <w:color w:val="000000"/>
          <w:kern w:val="0"/>
          <w:sz w:val="32"/>
          <w:szCs w:val="32"/>
          <w:u w:val="none" w:color="auto"/>
          <w:shd w:val="clear" w:fill="auto"/>
          <w:lang w:val="en-US" w:eastAsia="zh-CN"/>
        </w:rPr>
      </w:pPr>
      <w:r>
        <w:rPr>
          <w:rFonts w:hint="eastAsia" w:ascii="黑体" w:hAnsi="黑体" w:eastAsia="黑体" w:cs="黑体"/>
          <w:b/>
          <w:bCs/>
          <w:color w:val="000000"/>
          <w:kern w:val="0"/>
          <w:sz w:val="32"/>
          <w:szCs w:val="32"/>
          <w:u w:val="none" w:color="auto"/>
          <w:shd w:val="clear" w:fill="auto"/>
          <w:lang w:val="en-US" w:eastAsia="zh-CN"/>
        </w:rPr>
        <w:t>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1.上一年度存在问题及改进情况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存在问题；政策解读、宣传形式较为单一、宣传力度不够等问题。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改进情况：2023年，医保局通过开展新闻发布会1期，在线访谈1期，制作参保视频等方式，创新宣传形式，与霍邱县融媒体中心合作加大宣传力度，有效解决政策解读、宣传形式较为单一、宣传力度不够的问题。</w:t>
      </w:r>
    </w:p>
    <w:p>
      <w:pPr>
        <w:pStyle w:val="3"/>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color w:val="000000"/>
          <w:kern w:val="0"/>
          <w:sz w:val="32"/>
          <w:szCs w:val="32"/>
          <w:u w:val="none" w:color="auto"/>
          <w:shd w:val="clear" w:color="auto" w:fill="auto"/>
          <w:lang w:val="en-US" w:eastAsia="zh-CN" w:bidi="ar-SA"/>
        </w:rPr>
      </w:pPr>
      <w:r>
        <w:rPr>
          <w:rFonts w:hint="eastAsia" w:ascii="仿宋_GB2312" w:hAnsi="仿宋_GB2312" w:eastAsia="仿宋_GB2312" w:cs="仿宋_GB2312"/>
          <w:b w:val="0"/>
          <w:bCs w:val="0"/>
          <w:color w:val="000000"/>
          <w:kern w:val="0"/>
          <w:sz w:val="32"/>
          <w:szCs w:val="32"/>
          <w:u w:val="none" w:color="auto"/>
          <w:shd w:val="clear" w:color="auto" w:fill="auto"/>
          <w:lang w:val="en-US" w:eastAsia="zh-CN" w:bidi="ar-SA"/>
        </w:rPr>
        <w:t>本年度存在问题及整改情况：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rPr>
          <w:rFonts w:hint="eastAsia" w:ascii="仿宋_GB2312" w:hAnsi="仿宋_GB2312" w:eastAsia="仿宋_GB2312" w:cs="仿宋_GB2312"/>
          <w:b w:val="0"/>
          <w:bCs w:val="0"/>
          <w:color w:val="000000"/>
          <w:kern w:val="0"/>
          <w:sz w:val="32"/>
          <w:szCs w:val="32"/>
          <w:u w:val="none" w:color="auto"/>
          <w:shd w:val="clear" w:color="auto" w:fill="auto"/>
          <w:lang w:val="en-US" w:eastAsia="zh-CN" w:bidi="ar-SA"/>
        </w:rPr>
      </w:pPr>
      <w:r>
        <w:rPr>
          <w:rFonts w:hint="eastAsia" w:ascii="仿宋_GB2312" w:hAnsi="仿宋_GB2312" w:eastAsia="仿宋_GB2312" w:cs="仿宋_GB2312"/>
          <w:b w:val="0"/>
          <w:bCs w:val="0"/>
          <w:color w:val="000000"/>
          <w:kern w:val="0"/>
          <w:sz w:val="32"/>
          <w:szCs w:val="32"/>
          <w:u w:val="none" w:color="auto"/>
          <w:shd w:val="clear" w:color="auto" w:fill="auto"/>
          <w:lang w:val="en-US" w:eastAsia="zh-CN" w:bidi="ar-SA"/>
        </w:rPr>
        <w:t>存在问题：规范性文件格式公开不规范、政策解读缺乏深度。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rPr>
          <w:rFonts w:hint="default" w:ascii="仿宋_GB2312" w:hAnsi="仿宋_GB2312" w:eastAsia="仿宋_GB2312" w:cs="仿宋_GB2312"/>
          <w:b w:val="0"/>
          <w:bCs w:val="0"/>
          <w:color w:val="000000"/>
          <w:kern w:val="0"/>
          <w:sz w:val="32"/>
          <w:szCs w:val="32"/>
          <w:u w:val="none" w:color="auto"/>
          <w:shd w:val="clear" w:color="auto" w:fill="auto"/>
          <w:lang w:val="en-US" w:eastAsia="zh-CN" w:bidi="ar-SA"/>
        </w:rPr>
      </w:pPr>
      <w:r>
        <w:rPr>
          <w:rFonts w:hint="eastAsia" w:ascii="仿宋_GB2312" w:hAnsi="仿宋_GB2312" w:eastAsia="仿宋_GB2312" w:cs="仿宋_GB2312"/>
          <w:b w:val="0"/>
          <w:bCs w:val="0"/>
          <w:color w:val="000000"/>
          <w:kern w:val="0"/>
          <w:sz w:val="32"/>
          <w:szCs w:val="32"/>
          <w:u w:val="none" w:color="auto"/>
          <w:shd w:val="clear" w:color="auto" w:fill="auto"/>
          <w:lang w:val="en-US" w:eastAsia="zh-CN" w:bidi="ar-SA"/>
        </w:rPr>
        <w:t>改进情况:一是加强政府信息公开培训，强化人员力量，提高工作人员业务素质和能力水平。二是规范政府公开信息目录和内容格式。政府信息公开不断推进标准化、规范化，对部分早期更新的信息目录和内容格式与现行标准存在不统一的情况进行整改，提升网页美观度和阅读体验感。三是严格落实“谁起草、谁解读，发布与解读同步”的原则，丰富解读形式，扩大解读的深度和广度。</w:t>
      </w:r>
    </w:p>
    <w:p>
      <w:pPr>
        <w:widowControl/>
        <w:shd w:val="clear" w:color="auto" w:fill="FFFFFF"/>
        <w:ind w:firstLine="480"/>
        <w:rPr>
          <w:rFonts w:hint="eastAsia" w:ascii="黑体" w:hAnsi="黑体" w:eastAsia="黑体" w:cs="黑体"/>
          <w:b/>
          <w:bCs/>
          <w:color w:val="000000"/>
          <w:kern w:val="0"/>
          <w:sz w:val="32"/>
          <w:szCs w:val="32"/>
          <w:u w:val="none" w:color="auto"/>
          <w:shd w:val="clear" w:fill="auto"/>
          <w:lang w:val="en-US" w:eastAsia="zh-CN"/>
        </w:rPr>
      </w:pPr>
      <w:r>
        <w:rPr>
          <w:rFonts w:hint="eastAsia" w:ascii="黑体" w:hAnsi="黑体" w:eastAsia="黑体" w:cs="黑体"/>
          <w:b/>
          <w:bCs/>
          <w:color w:val="000000"/>
          <w:kern w:val="0"/>
          <w:sz w:val="32"/>
          <w:szCs w:val="32"/>
          <w:u w:val="none" w:color="auto"/>
          <w:shd w:val="clear" w:fill="auto"/>
          <w:lang w:val="en-US" w:eastAsia="zh-CN"/>
        </w:rPr>
        <w:t>六、其他需要报告的事项</w:t>
      </w:r>
    </w:p>
    <w:p>
      <w:pPr>
        <w:widowControl/>
        <w:shd w:val="clear" w:color="auto" w:fill="FFFFFF"/>
        <w:spacing w:before="0" w:beforeAutospacing="0" w:after="0" w:afterAutospacing="0"/>
        <w:ind w:firstLine="420"/>
        <w:jc w:val="left"/>
        <w:rPr>
          <w:rFonts w:hint="eastAsia" w:ascii="仿宋_GB2312" w:hAnsi="仿宋_GB2312" w:eastAsia="仿宋_GB2312" w:cs="仿宋_GB2312"/>
          <w:b w:val="0"/>
          <w:bCs w:val="0"/>
          <w:color w:val="000000"/>
          <w:kern w:val="0"/>
          <w:sz w:val="32"/>
          <w:szCs w:val="32"/>
          <w:u w:val="none" w:color="auto"/>
          <w:shd w:val="clear" w:color="auto" w:fill="auto"/>
          <w:lang w:val="en-US" w:eastAsia="zh-CN" w:bidi="ar-SA"/>
        </w:rPr>
      </w:pPr>
      <w:r>
        <w:rPr>
          <w:rFonts w:hint="eastAsia" w:ascii="仿宋_GB2312" w:hAnsi="仿宋_GB2312" w:eastAsia="仿宋_GB2312" w:cs="仿宋_GB2312"/>
          <w:b w:val="0"/>
          <w:bCs w:val="0"/>
          <w:color w:val="000000"/>
          <w:kern w:val="0"/>
          <w:sz w:val="32"/>
          <w:szCs w:val="32"/>
          <w:u w:val="none" w:color="auto"/>
          <w:shd w:val="clear" w:color="auto" w:fill="auto"/>
          <w:lang w:val="en-US" w:eastAsia="zh-CN" w:bidi="ar-SA"/>
        </w:rPr>
        <w:t>2023年医保围绕重点工作、重点领域公开，探索解读新形式，与县融媒体中心合作加大宣传力度，定期整理、维护专题专栏内容，确保政府信息公开及时、准确。按照《国务院办公厅关于印发〈政府信息公开信息处理费管理办法〉的通知》（国办函〔2020〕109号）规定的按件、按量收费标准，本年度没有产生信息公开处理费。</w:t>
      </w:r>
    </w:p>
    <w:p>
      <w:pPr>
        <w:widowControl/>
        <w:shd w:val="clear" w:color="auto" w:fill="FFFFFF"/>
        <w:spacing w:before="0" w:beforeAutospacing="0" w:after="0" w:afterAutospacing="0"/>
        <w:ind w:firstLine="420"/>
        <w:jc w:val="left"/>
        <w:rPr>
          <w:rFonts w:hint="eastAsia" w:ascii="仿宋_GB2312" w:hAnsi="仿宋_GB2312" w:eastAsia="仿宋_GB2312" w:cs="仿宋_GB2312"/>
          <w:b w:val="0"/>
          <w:bCs w:val="0"/>
          <w:color w:val="000000"/>
          <w:kern w:val="0"/>
          <w:sz w:val="32"/>
          <w:szCs w:val="32"/>
          <w:u w:val="none" w:color="auto"/>
          <w:shd w:val="clear" w:color="auto" w:fill="auto"/>
          <w:lang w:val="en-US" w:eastAsia="zh-CN" w:bidi="ar-SA"/>
        </w:rPr>
      </w:pPr>
    </w:p>
    <w:p>
      <w:pPr>
        <w:widowControl/>
        <w:shd w:val="clear" w:color="auto" w:fill="FFFFFF"/>
        <w:spacing w:before="0" w:beforeAutospacing="0" w:after="0" w:afterAutospacing="0"/>
        <w:ind w:firstLine="420"/>
        <w:jc w:val="left"/>
        <w:rPr>
          <w:rFonts w:hint="eastAsia" w:ascii="仿宋_GB2312" w:hAnsi="仿宋_GB2312" w:eastAsia="仿宋_GB2312" w:cs="仿宋_GB2312"/>
          <w:b w:val="0"/>
          <w:bCs w:val="0"/>
          <w:color w:val="000000"/>
          <w:kern w:val="0"/>
          <w:sz w:val="32"/>
          <w:szCs w:val="32"/>
          <w:u w:val="none" w:color="auto"/>
          <w:shd w:val="clear" w:color="auto" w:fill="auto"/>
          <w:lang w:val="en-US" w:eastAsia="zh-CN" w:bidi="ar-SA"/>
        </w:rPr>
      </w:pPr>
    </w:p>
    <w:p>
      <w:pPr>
        <w:widowControl/>
        <w:shd w:val="clear" w:color="auto" w:fill="FFFFFF"/>
        <w:spacing w:before="0" w:beforeAutospacing="0" w:after="0" w:afterAutospacing="0"/>
        <w:ind w:firstLine="420"/>
        <w:jc w:val="left"/>
        <w:rPr>
          <w:rFonts w:hint="eastAsia" w:ascii="仿宋_GB2312" w:hAnsi="仿宋_GB2312" w:eastAsia="仿宋_GB2312" w:cs="仿宋_GB2312"/>
          <w:b w:val="0"/>
          <w:bCs w:val="0"/>
          <w:color w:val="000000"/>
          <w:kern w:val="0"/>
          <w:sz w:val="32"/>
          <w:szCs w:val="32"/>
          <w:u w:val="none" w:color="auto"/>
          <w:shd w:val="clear" w:color="auto" w:fill="auto"/>
          <w:lang w:val="en-US" w:eastAsia="zh-CN" w:bidi="ar-SA"/>
        </w:rPr>
      </w:pPr>
    </w:p>
    <w:p>
      <w:pPr>
        <w:widowControl/>
        <w:shd w:val="clear" w:color="auto" w:fill="FFFFFF"/>
        <w:spacing w:before="0" w:beforeAutospacing="0" w:after="0" w:afterAutospacing="0"/>
        <w:ind w:firstLine="420"/>
        <w:jc w:val="left"/>
        <w:rPr>
          <w:rFonts w:hint="eastAsia" w:ascii="仿宋_GB2312" w:hAnsi="仿宋_GB2312" w:eastAsia="仿宋_GB2312" w:cs="仿宋_GB2312"/>
          <w:b w:val="0"/>
          <w:bCs w:val="0"/>
          <w:color w:val="000000"/>
          <w:kern w:val="0"/>
          <w:sz w:val="32"/>
          <w:szCs w:val="32"/>
          <w:u w:val="none" w:color="auto"/>
          <w:shd w:val="clear" w:color="auto" w:fill="auto"/>
          <w:lang w:val="en-US" w:eastAsia="zh-CN" w:bidi="ar-SA"/>
        </w:rPr>
      </w:pPr>
    </w:p>
    <w:p>
      <w:pPr>
        <w:widowControl/>
        <w:shd w:val="clear" w:color="auto" w:fill="FFFFFF"/>
        <w:wordWrap w:val="0"/>
        <w:spacing w:before="0" w:beforeAutospacing="0" w:after="0" w:afterAutospacing="0"/>
        <w:ind w:firstLine="420"/>
        <w:jc w:val="right"/>
        <w:rPr>
          <w:rFonts w:hint="default" w:ascii="仿宋_GB2312" w:hAnsi="仿宋_GB2312" w:eastAsia="仿宋_GB2312" w:cs="仿宋_GB2312"/>
          <w:b w:val="0"/>
          <w:bCs w:val="0"/>
          <w:color w:val="000000"/>
          <w:kern w:val="0"/>
          <w:sz w:val="32"/>
          <w:szCs w:val="32"/>
          <w:u w:val="none" w:color="auto"/>
          <w:shd w:val="clear" w:color="auto" w:fill="auto"/>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35298"/>
    <w:multiLevelType w:val="singleLevel"/>
    <w:tmpl w:val="8AF35298"/>
    <w:lvl w:ilvl="0" w:tentative="0">
      <w:start w:val="5"/>
      <w:numFmt w:val="chineseCounting"/>
      <w:suff w:val="nothing"/>
      <w:lvlText w:val="%1、"/>
      <w:lvlJc w:val="left"/>
      <w:rPr>
        <w:rFonts w:hint="eastAsia"/>
      </w:rPr>
    </w:lvl>
  </w:abstractNum>
  <w:abstractNum w:abstractNumId="1">
    <w:nsid w:val="9DD84807"/>
    <w:multiLevelType w:val="singleLevel"/>
    <w:tmpl w:val="9DD84807"/>
    <w:lvl w:ilvl="0" w:tentative="0">
      <w:start w:val="2"/>
      <w:numFmt w:val="decimal"/>
      <w:lvlText w:val="%1."/>
      <w:lvlJc w:val="left"/>
      <w:pPr>
        <w:tabs>
          <w:tab w:val="left" w:pos="312"/>
        </w:tabs>
      </w:pPr>
    </w:lvl>
  </w:abstractNum>
  <w:abstractNum w:abstractNumId="2">
    <w:nsid w:val="C76B6783"/>
    <w:multiLevelType w:val="singleLevel"/>
    <w:tmpl w:val="C76B6783"/>
    <w:lvl w:ilvl="0" w:tentative="0">
      <w:start w:val="1"/>
      <w:numFmt w:val="chineseCounting"/>
      <w:suff w:val="nothing"/>
      <w:lvlText w:val="%1、"/>
      <w:lvlJc w:val="left"/>
      <w:rPr>
        <w:rFonts w:hint="eastAsia"/>
      </w:rPr>
    </w:lvl>
  </w:abstractNum>
  <w:abstractNum w:abstractNumId="3">
    <w:nsid w:val="DBBD5829"/>
    <w:multiLevelType w:val="singleLevel"/>
    <w:tmpl w:val="DBBD5829"/>
    <w:lvl w:ilvl="0" w:tentative="0">
      <w:start w:val="1"/>
      <w:numFmt w:val="chineseCounting"/>
      <w:suff w:val="nothing"/>
      <w:lvlText w:val="（%1）"/>
      <w:lvlJc w:val="left"/>
      <w:pPr>
        <w:ind w:left="0" w:firstLine="42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4OTU3OWE3ZDQ5NjdkN2FhZWY2NmJiYWE0ODAxMjgifQ=="/>
  </w:docVars>
  <w:rsids>
    <w:rsidRoot w:val="00000000"/>
    <w:rsid w:val="0093008B"/>
    <w:rsid w:val="012639F3"/>
    <w:rsid w:val="066D7F67"/>
    <w:rsid w:val="0C45419C"/>
    <w:rsid w:val="0E256FA8"/>
    <w:rsid w:val="2380113F"/>
    <w:rsid w:val="25EB72CF"/>
    <w:rsid w:val="2905019B"/>
    <w:rsid w:val="2D032107"/>
    <w:rsid w:val="31576C5B"/>
    <w:rsid w:val="326D1D0B"/>
    <w:rsid w:val="3E463B81"/>
    <w:rsid w:val="3EBC63BD"/>
    <w:rsid w:val="3FF70416"/>
    <w:rsid w:val="4C725850"/>
    <w:rsid w:val="4D834522"/>
    <w:rsid w:val="52EA3518"/>
    <w:rsid w:val="599F0C04"/>
    <w:rsid w:val="5CA459EC"/>
    <w:rsid w:val="5FE162CC"/>
    <w:rsid w:val="61744FEB"/>
    <w:rsid w:val="73EB540F"/>
    <w:rsid w:val="7FE80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autoRedefine/>
    <w:qFormat/>
    <w:uiPriority w:val="0"/>
    <w:pPr>
      <w:widowControl w:val="0"/>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autoRedefine/>
    <w:qFormat/>
    <w:uiPriority w:val="0"/>
    <w:pPr>
      <w:widowControl w:val="0"/>
      <w:spacing w:before="100" w:beforeAutospacing="1" w:after="100" w:afterAutospacing="1"/>
      <w:ind w:left="0" w:right="0"/>
      <w:jc w:val="left"/>
    </w:pPr>
    <w:rPr>
      <w:rFonts w:ascii="Calibri" w:hAnsi="Calibri" w:eastAsia="仿宋"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leovo</cp:lastModifiedBy>
  <cp:lastPrinted>2024-01-25T01:35:00Z</cp:lastPrinted>
  <dcterms:modified xsi:type="dcterms:W3CDTF">2024-02-21T00:52:35Z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532D5EB1067045AFB222A65694E8EAEA_13</vt:lpwstr>
  </property>
</Properties>
</file>