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霍邱县发展和改革委员会2023年度政府</w:t>
      </w:r>
    </w:p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center"/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ascii="仿宋_GB2312" w:hAnsi="Times New Roman" w:eastAsia="仿宋_GB2312" w:cs="仿宋_GB2312"/>
          <w:color w:val="00000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ascii="Calibri" w:hAnsi="Calibri" w:cs="Calibri"/>
          <w:sz w:val="24"/>
          <w:szCs w:val="24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  <w:shd w:val="clear" w:fill="FFFFFF"/>
        </w:rPr>
        <w:t>根据《中华人民共和国政府信息公开条例》、《六安市政务公开办公室关于做好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2023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年政府信息公开年度报告编制和发布工作的通知》（六政务公开办〔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2024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fill="FFFFFF"/>
        </w:rPr>
        <w:t>2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号）、《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霍邱县政务公开工作领导组办公室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关于做好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2024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年政府信息公开年度报告编制和发布工作的通知》（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霍政务公开办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〔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fill="FFFFFF"/>
        </w:rPr>
        <w:t>4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号）等文件要求，霍邱县发改委编制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2023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年度政府信息公开工作年度报告。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报告包括总体情况、主动公开政府信息情况、收到和处理政府信息公开申请情况、政府信息公开行政复议、行政诉讼情况、存在的主要问题及改进措施和其他需要报告事项等内容。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本年度报告中使用数据统计期限为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2023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日至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2023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12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31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日，电子版可在霍邱县发改委信息公开平台下载。如对本报告有任何疑问，请与霍邱县发改委办公室联系（地址：霍邱县行政中心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A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区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14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层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1403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室；邮编：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237000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；联系电话：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0564—6080217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ascii="黑体" w:hAnsi="宋体" w:eastAsia="黑体" w:cs="黑体"/>
          <w:color w:val="00000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ascii="楷体_GB2312" w:hAnsi="Times New Roman" w:eastAsia="楷体_GB2312" w:cs="楷体_GB2312"/>
          <w:b/>
          <w:bCs/>
          <w:color w:val="000000"/>
          <w:sz w:val="32"/>
          <w:szCs w:val="32"/>
          <w:shd w:val="clear" w:fill="FFFFFF"/>
        </w:rPr>
        <w:t>（一）主动公开情况。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2023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年，根据县政府及政务公开办相关要求，我委进一步健全政府信息公开工作制度，努力提升政府信息公开水平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，扩大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公开具体内容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透明度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，更大限度方便公民、法人和其他组织获取本委政府公开信息。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我委主动公开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领导活动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、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行政权力运行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、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主动回应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信息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fill="FFFFFF"/>
        </w:rPr>
        <w:t>330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余条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；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重点领域栏目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政府投资项目审批、企业投资项目备案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、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节能审查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、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变更结果信息共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464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件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；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公开民生价格监测、商品服务价格公示、行政许可类信息、规范性文件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、</w:t>
      </w:r>
      <w:r>
        <w:rPr>
          <w:rFonts w:hint="eastAsia" w:ascii="仿宋_GB2312" w:hAnsi="Calibri" w:eastAsia="仿宋_GB2312" w:cs="仿宋_GB2312"/>
          <w:sz w:val="32"/>
          <w:szCs w:val="32"/>
        </w:rPr>
        <w:t>三次产业高质量协同发展、支持市场主体纾困发展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等重点工作。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认真完成规范性文件公布，</w:t>
      </w:r>
      <w:r>
        <w:rPr>
          <w:rFonts w:hint="eastAsia" w:ascii="仿宋_GB2312" w:hAnsi="Calibri" w:eastAsia="仿宋_GB2312" w:cs="仿宋_GB2312"/>
          <w:sz w:val="32"/>
          <w:szCs w:val="32"/>
        </w:rPr>
        <w:t>按照“谁起草谁解读”原则，对涉及公众切身利益政策文件，严格落实配套解读。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同时，我委设立民生专栏栏目，重点公开与群众切身利益相关的事项以及群众最关心的热点问题。全年我委主动公开各类政府信息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1017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条。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_GB2312" w:hAnsi="Times New Roman" w:eastAsia="楷体_GB2312" w:cs="楷体_GB2312"/>
          <w:b/>
          <w:bCs/>
          <w:color w:val="000000"/>
          <w:sz w:val="32"/>
          <w:szCs w:val="32"/>
          <w:shd w:val="clear" w:fill="FFFFFF"/>
        </w:rPr>
        <w:t>（二）依申请公开情况。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我委高度重视依申请公开工作，严格按照依申请公开条例制度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，规范、优化依申请公开流程。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2023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年，我委收到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1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条依申请公开信息，在办理时限内完成受理、审查、处理、答复等程序，全年没有出现行政复议、提起行政诉讼和申诉的情况。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_GB2312" w:hAnsi="Times New Roman" w:eastAsia="楷体_GB2312" w:cs="楷体_GB2312"/>
          <w:b/>
          <w:bCs/>
          <w:color w:val="000000"/>
          <w:sz w:val="32"/>
          <w:szCs w:val="32"/>
          <w:shd w:val="clear" w:fill="FFFFFF"/>
        </w:rPr>
        <w:t>（三）政府信息管理。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我委按要求贯彻落实政府信息公开审查制度，制定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“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三审三校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”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制度，履行初审、复审和终审三道程序，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严格保密审查，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对文字表述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、公文格式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等不低于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fill="FFFFFF"/>
        </w:rPr>
        <w:t>3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次的校对。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按照省市规范性文件格式要求，进行文字格式排查，整改梳理规范性文件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fill="FFFFFF"/>
        </w:rPr>
        <w:t>14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条。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细化职责分工，明确政务公开工作责任到股室及完成时限，确保政务信息公开工作有序运转。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_GB2312" w:hAnsi="Times New Roman" w:eastAsia="楷体_GB2312" w:cs="楷体_GB2312"/>
          <w:b/>
          <w:bCs/>
          <w:color w:val="000000"/>
          <w:sz w:val="32"/>
          <w:szCs w:val="32"/>
          <w:shd w:val="clear" w:fill="FFFFFF"/>
        </w:rPr>
        <w:t>（四）政府信息公开平台建设情况。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我委积极学习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其他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县区信息公开经验，坚持以公开为常态、不公开为例外，不断加强信息公开平台的建设，充分保证了社会群众对发改工作的知情权、参与权和监督权。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_GB2312" w:hAnsi="Times New Roman" w:eastAsia="楷体_GB2312" w:cs="楷体_GB2312"/>
          <w:b/>
          <w:bCs/>
          <w:color w:val="000000"/>
          <w:sz w:val="32"/>
          <w:szCs w:val="32"/>
          <w:shd w:val="clear" w:fill="FFFFFF"/>
        </w:rPr>
        <w:t>（五）监督和保障情况。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我委认真梳理整改市、县两级测评结果，根据市、县两级测评结果，按县政务公开办要求，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我委积极参加公开业务培训和集中整改会，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主动完成公开整改清单及整改报告，并在监督保障栏目公开，确保整改到位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，线下未收到社会评议差评和其他现象，也未出现因信息公开引起的问责追责情形。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  二、主动公开政府信息情况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   三、收到和处理政府信息公开申请情况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shd w:val="clear" w:fill="FFFFFF"/>
        </w:rPr>
        <w:t> </w:t>
      </w:r>
    </w:p>
    <w:tbl>
      <w:tblPr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color w:val="00000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危及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三安全一稳定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 四、政府信息公开行政复议、行政诉讼情况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shd w:val="clear" w:fill="FFFFFF"/>
        </w:rPr>
        <w:t> </w:t>
      </w:r>
    </w:p>
    <w:tbl>
      <w:tblPr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 五、存在的主要问题及改进情况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（一）上年度存在问题和改进情况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、存在的问题。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部分信息公布不及时，信息数量、质量有待提升，公开的范围有待进一步扩大：公开内容不规范、不具体、重点不突出，主动公开意识还需进一步加强。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、改进情况。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进一步完善政府信息公开网站建设，及时公开人民群众关心的重大问题，加强政府信息公开工作人员的学习培训，保证信息公开的时效性，确保政府信息公开顺利进行，已完成对上年度整改情况。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楷体_GB2312" w:hAnsi="Calibri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（二）本年度存在问题及改进措施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、存在问题。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政府信息公开的内容有待进一步完善，部分信息公开数量、质量有待提高，政策解读形式单一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、改进措施。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建立健全政府信息主动公开机制，增强信息公开的主动性，积极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性，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主动公开公众关心的热点领域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通过开展政务公开培训、整改会等形式，提高信息公开的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准确性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加强政策解读的多样化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。通过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图解、视频，问答等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多种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形式解读政策性文件，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确保公开的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内容通俗易懂，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进一步提升人民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群众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知晓度。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全面落实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“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应公开尽公开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”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要求，加大公开力度，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我委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在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价格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、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民生、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国民经济和社会发展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规划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等信息进行了主动公开，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更加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方便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了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群众及时查阅和下载相关信息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按照《国务院办公厅关于印发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&lt;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政府信息公开信息处理费管理办法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&gt;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的通知》（国办函〔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2020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109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clear" w:fill="FFFFFF"/>
        </w:rPr>
        <w:t>号）规定的按件、按量收费标准，本年度没有产生信息公开处理费。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after="120" w:afterAutospacing="0"/>
        <w:ind w:left="0" w:firstLine="315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NDVjODJmY2UwZGFhOTIxYzVhN2E3NGY5Njk3ZWEifQ=="/>
  </w:docVars>
  <w:rsids>
    <w:rsidRoot w:val="62D05773"/>
    <w:rsid w:val="4E9179F4"/>
    <w:rsid w:val="62D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2024-02-21T00:32:00Z</dcterms:created>
  <dc:creator>汪宏宇</dc:creator>
  <cp:lastModifiedBy>汪宏宇</cp:lastModifiedBy>
  <dcterms:modified xsi:type="dcterms:W3CDTF">2024-02-21T00:36:20Z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8090BFE0C0D94762ABB822014E96A99B_13</vt:lpwstr>
  </property>
</Properties>
</file>